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sz w:val="32"/>
          <w:szCs w:val="32"/>
        </w:rPr>
        <w:t xml:space="preserve">EQI §119 압축본 v10</w:t>
      </w:r>
    </w:p>
    <w:p>
      <w:pPr>
        <w:spacing w:after="100" w:before="0"/>
        <w:jc w:val="center"/>
      </w:pPr>
      <w:r>
        <w:rPr>
          <w:sz w:val="20"/>
          <w:szCs w:val="20"/>
        </w:rPr>
        <w:t xml:space="preserve">트리거: "§4k" | S111 | 2026-10-11 | v10</w:t>
      </w:r>
    </w:p>
    <w:p>
      <w:pPr>
        <w:spacing w:after="100" w:before="0"/>
        <w:jc w:val="center"/>
      </w:pPr>
      <w:r>
        <w:rPr>
          <w:sz w:val="20"/>
          <w:szCs w:val="20"/>
        </w:rPr>
        <w:t xml:space="preserve">Maestro: MAPSI(맏이) | Verifier: 딥시크 | 문헌조사: perplexity pro</w:t>
      </w:r>
    </w:p>
    <w:p>
      <w:pPr>
        <w:spacing w:after="300" w:before="0"/>
        <w:jc w:val="center"/>
      </w:pPr>
      <w:r>
        <w:rPr>
          <w:sz w:val="20"/>
          <w:szCs w:val="20"/>
        </w:rPr>
        <w:t xml:space="preserve">perplexity 1~20차 완전체 | v9 14층 → v10 확장 | §116-F 사이클 + 정산 사슬</w:t>
      </w:r>
    </w:p>
    <w:p>
      <w:pPr>
        <w:pStyle w:val="Heading1"/>
        <w:spacing w:after="200" w:before="400"/>
      </w:pPr>
      <w:r>
        <w:t xml:space="preserve">[0] 결론 먼저</w:t>
      </w:r>
    </w:p>
    <w:p>
      <w:pPr>
        <w:spacing w:after="80" w:before="80"/>
      </w:pPr>
      <w:r>
        <w:t xml:space="preserve">맥스웰 도깨비 &amp; 란다우 원리 = 기후변화&amp;AI시대 강제 채택</w:t>
      </w:r>
    </w:p>
    <w:p>
      <w:pPr>
        <w:spacing w:after="80" w:before="80"/>
      </w:pPr>
      <w:r>
        <w:t xml:space="preserve">강제 = 논리적 필연 / 시점 = 세대 교체 (시간문제)</w:t>
      </w:r>
    </w:p>
    <w:p/>
    <w:p>
      <w:pPr>
        <w:pStyle w:val="Heading1"/>
        <w:spacing w:after="200" w:before="400"/>
      </w:pPr>
      <w:r>
        <w:t xml:space="preserve">[1] 3전제</w:t>
      </w:r>
    </w:p>
    <w:p>
      <w:pPr>
        <w:pStyle w:val="Heading2"/>
        <w:spacing w:after="150" w:before="300"/>
      </w:pPr>
      <w:r>
        <w:t xml:space="preserve">[전제 1] 란다우 원리 = 확립</w:t>
      </w:r>
    </w:p>
    <w:p>
      <w:pPr>
        <w:spacing w:after="80" w:before="80"/>
      </w:pPr>
      <w:r>
        <w:t xml:space="preserve">[1961, Landauer] 정보 소거 1비트 = k_B T ln2 = 물리 법칙</w:t>
      </w:r>
    </w:p>
    <w:p>
      <w:pPr>
        <w:spacing w:after="80" w:before="80"/>
      </w:pPr>
      <w:r>
        <w:t xml:space="preserve">실험 검증: Bérut et al. Nature 2012 / Jun et al. PRL 2014</w:t>
      </w:r>
    </w:p>
    <w:p>
      <w:pPr>
        <w:spacing w:after="80" w:before="80"/>
      </w:pPr>
      <w:r>
        <w:t xml:space="preserve">[1982, Bennett] 맥스웰 도깨비 역설 해결 = 제2법칙 유지</w:t>
      </w:r>
    </w:p>
    <w:p/>
    <w:p>
      <w:pPr>
        <w:pStyle w:val="Heading2"/>
        <w:spacing w:after="150" w:before="300"/>
      </w:pPr>
      <w:r>
        <w:t xml:space="preserve">[전제 2] AI 스케일링 = GAP=0</w:t>
      </w:r>
    </w:p>
    <w:p>
      <w:pPr>
        <w:spacing w:after="80" w:before="80"/>
      </w:pPr>
      <w:r>
        <w:t xml:space="preserve">실측 CAPEX: 2024 약 $300B / 2025+ $500B+ / 자산 특성: GAP=0 최적화</w:t>
      </w:r>
    </w:p>
    <w:p/>
    <w:p>
      <w:pPr>
        <w:pStyle w:val="Heading3"/>
        <w:spacing w:after="100" w:before="200"/>
      </w:pPr>
      <w:r>
        <w:t xml:space="preserve">[그린워싱 각주 — 고립계 회계 vs 열린계 실태]</w:t>
      </w:r>
    </w:p>
    <w:p>
      <w:pPr>
        <w:spacing w:after="80" w:before="80"/>
      </w:pPr>
      <w:r>
        <w:t xml:space="preserve">[A] 회사 장부: 넷제로/100% 재생/water-positive = 고립계 회계 (GAP=0)</w:t>
      </w:r>
    </w:p>
    <w:p>
      <w:pPr>
        <w:spacing w:after="80" w:before="80"/>
      </w:pPr>
      <w:r>
        <w:t xml:space="preserve">[B] 독립 측정: 장부 밖으로 잔류 발산·누적 = 열린계 실태 (GAP≠0)</w:t>
      </w:r>
    </w:p>
    <w:p>
      <w:pPr>
        <w:spacing w:after="80" w:before="80"/>
      </w:pPr>
      <w:r>
        <w:t xml:space="preserve">Google FY2025 내부 불일치 (Type IV-[A]):</w:t>
      </w:r>
    </w:p>
    <w:p>
      <w:pPr>
        <w:spacing w:after="60" w:before="60"/>
        <w:ind w:left="720"/>
      </w:pPr>
      <w:r>
        <w:t xml:space="preserve">연간 100% ↔ 시간별 65% CFE / 운영 2%↓ ↔ 공급망 25%↑ / 전력 37%↑</w:t>
      </w:r>
    </w:p>
    <w:p/>
    <w:p>
      <w:pPr>
        <w:pStyle w:val="Heading2"/>
        <w:spacing w:after="150" w:before="300"/>
      </w:pPr>
      <w:r>
        <w:t xml:space="preserve">[전제 3] 기후변화 = 외부 소멸</w:t>
      </w:r>
    </w:p>
    <w:p>
      <w:pPr>
        <w:spacing w:after="80" w:before="80"/>
      </w:pPr>
      <w:r>
        <w:t xml:space="preserve">CO₂ 포화 / 해양 산성화 / AMOC 약화 / 남미·아프리카 = 피해자</w:t>
      </w:r>
    </w:p>
    <w:p/>
    <w:p>
      <w:pPr>
        <w:pStyle w:val="Heading1"/>
        <w:spacing w:after="200" w:before="400"/>
      </w:pPr>
      <w:r>
        <w:t xml:space="preserve">[2] 3추론</w:t>
      </w:r>
    </w:p>
    <w:p>
      <w:pPr>
        <w:spacing w:after="80" w:before="80"/>
      </w:pPr>
      <w:r>
        <w:t xml:space="preserve">[추론 1] 스케일링 = 란다우 위반 = 물리 법칙 위반</w:t>
      </w:r>
    </w:p>
    <w:p>
      <w:pPr>
        <w:spacing w:after="80" w:before="80"/>
      </w:pPr>
      <w:r>
        <w:t xml:space="preserve">[추론 2] 위반 비용 = 전가 불가 = 내부화 강제</w:t>
      </w:r>
    </w:p>
    <w:p>
      <w:pPr>
        <w:spacing w:after="80" w:before="80"/>
      </w:pPr>
      <w:r>
        <w:t xml:space="preserve">[추론 3] GAP=0 → GAP≠0 = 학계/산업 자기부정 = 회피 X</w:t>
      </w:r>
    </w:p>
    <w:p/>
    <w:p>
      <w:pPr>
        <w:pStyle w:val="Heading1"/>
        <w:spacing w:after="200" w:before="400"/>
      </w:pPr>
      <w:r>
        <w:t xml:space="preserve">[3] 결론 — §116-F 4단</w:t>
      </w:r>
    </w:p>
    <w:p>
      <w:pPr>
        <w:pStyle w:val="Heading2"/>
        <w:spacing w:after="150" w:before="300"/>
      </w:pPr>
      <w:r>
        <w:t xml:space="preserve">[1단] 란다우 잔류 외부 누적</w:t>
      </w:r>
    </w:p>
    <w:p>
      <w:pPr>
        <w:spacing w:after="60" w:before="60"/>
        <w:ind w:left="720"/>
      </w:pPr>
      <w:r>
        <w:t xml:space="preserve">· UPS 전환 반복 + 계통 완충 소모</w:t>
      </w:r>
    </w:p>
    <w:p>
      <w:pPr>
        <w:spacing w:after="60" w:before="60"/>
        <w:ind w:left="720"/>
      </w:pPr>
      <w:r>
        <w:t xml:space="preserve">· ERCOT: 접속 요청 누적 → "all previous studies invalidated"</w:t>
      </w:r>
    </w:p>
    <w:p>
      <w:pPr>
        <w:spacing w:after="60" w:before="60"/>
        <w:ind w:left="720"/>
      </w:pPr>
      <w:r>
        <w:t xml:space="preserve">· 유역·대기·토지 분산 누적</w:t>
      </w:r>
    </w:p>
    <w:p/>
    <w:p>
      <w:pPr>
        <w:pStyle w:val="Heading2"/>
        <w:spacing w:after="150" w:before="300"/>
      </w:pPr>
      <w:r>
        <w:t xml:space="preserve">[2단] 임계 도달 (Λ=0)</w:t>
      </w:r>
    </w:p>
    <w:p>
      <w:pPr>
        <w:spacing w:after="60" w:before="60"/>
        <w:ind w:left="720"/>
      </w:pPr>
      <w:r>
        <w:t xml:space="preserve">· PJM 168,158 MW preliminary unrestricted peak (2026-07-02, 비제약 추정) / NERC Level 3 (2026-05-04)</w:t>
      </w:r>
    </w:p>
    <w:p>
      <w:pPr>
        <w:spacing w:after="60" w:before="60"/>
        <w:ind w:left="720"/>
      </w:pPr>
      <w:r>
        <w:t xml:space="preserve">· PJM 202-26-33: "all available generation resources and load management tools are exhausted"</w:t>
      </w:r>
    </w:p>
    <w:p>
      <w:pPr>
        <w:spacing w:after="60" w:before="60"/>
        <w:ind w:left="720"/>
      </w:pPr>
      <w:r>
        <w:t xml:space="preserve">· NERC: "available balancing reserves could exhaust"</w:t>
      </w:r>
    </w:p>
    <w:p/>
    <w:p>
      <w:pPr>
        <w:pStyle w:val="Heading2"/>
        <w:spacing w:after="150" w:before="300"/>
      </w:pPr>
      <w:r>
        <w:t xml:space="preserve">[3단] 비용 내부화</w:t>
      </w:r>
    </w:p>
    <w:p>
      <w:pPr>
        <w:spacing w:after="60" w:before="60"/>
        <w:ind w:left="720"/>
      </w:pPr>
      <w:r>
        <w:t xml:space="preserve">· PJM 202-26-33: 15분 내 백업 전환 의무 (≥50 MW)</w:t>
      </w:r>
    </w:p>
    <w:p>
      <w:pPr>
        <w:spacing w:after="60" w:before="60"/>
        <w:ind w:left="720"/>
      </w:pPr>
      <w:r>
        <w:t xml:space="preserve">· Oregon Order 26-239: 데이터센터 요율 29%↑ / Wisconsin 6630-TE-113: 75%→100%</w:t>
      </w:r>
    </w:p>
    <w:p>
      <w:pPr>
        <w:spacing w:after="60" w:before="60"/>
        <w:ind w:left="720"/>
      </w:pPr>
      <w:r>
        <w:t xml:space="preserve">· DOE→FERC (2026-10): 귀속 추적 요구 — 진행 중</w:t>
      </w:r>
    </w:p>
    <w:p/>
    <w:p>
      <w:pPr>
        <w:pStyle w:val="Heading2"/>
        <w:spacing w:after="150" w:before="300"/>
      </w:pPr>
      <w:r>
        <w:t xml:space="preserve">[4단] 새 관계</w:t>
      </w:r>
    </w:p>
    <w:p>
      <w:pPr>
        <w:spacing w:after="60" w:before="60"/>
        <w:ind w:left="720"/>
      </w:pPr>
      <w:r>
        <w:t xml:space="preserve">· PJM IRAS: "may not serve on same firm basis" (제안)</w:t>
      </w:r>
    </w:p>
    <w:p>
      <w:pPr>
        <w:spacing w:after="60" w:before="60"/>
        <w:ind w:left="720"/>
      </w:pPr>
      <w:r>
        <w:t xml:space="preserve">· CRU Ireland: 현장 발전/저장 + 추가성 80% 조건</w:t>
      </w:r>
    </w:p>
    <w:p>
      <w:pPr>
        <w:spacing w:after="60" w:before="60"/>
        <w:ind w:left="720"/>
      </w:pPr>
      <w:r>
        <w:t xml:space="preserve">· NSW: "Impose no net cost to consumers" + 25% 감축</w:t>
      </w:r>
    </w:p>
    <w:p>
      <w:pPr>
        <w:spacing w:after="60" w:before="60"/>
        <w:ind w:left="720"/>
      </w:pPr>
      <w:r>
        <w:t xml:space="preserve">· ERCOT Batch Zero: 증빙·담보·용량 예약</w:t>
      </w:r>
    </w:p>
    <w:p/>
    <w:p>
      <w:pPr>
        <w:pStyle w:val="Heading2"/>
        <w:spacing w:after="150" w:before="300"/>
      </w:pPr>
      <w:r>
        <w:t xml:space="preserve">[다음 잔류 — 재외부화]</w:t>
      </w:r>
    </w:p>
    <w:p>
      <w:pPr>
        <w:spacing w:after="60" w:before="60"/>
        <w:ind w:left="720"/>
      </w:pPr>
      <w:r>
        <w:t xml:space="preserve">· PJM 202-26-33: "notwithstanding environmental limitations" = 전력 해결 → 대기 새 부담</w:t>
      </w:r>
    </w:p>
    <w:p>
      <w:pPr>
        <w:spacing w:after="60" w:before="60"/>
        <w:ind w:left="720"/>
      </w:pPr>
      <w:r>
        <w:t xml:space="preserve">· 싱가포르 제한 → Johor·Batam 확장 (JLL 산업 인터뷰)</w:t>
      </w:r>
    </w:p>
    <w:p>
      <w:pPr>
        <w:spacing w:after="60" w:before="60"/>
        <w:ind w:left="720"/>
      </w:pPr>
      <w:r>
        <w:t xml:space="preserve">· 호주: 전력 내부화 → 가스발전 → 인접 농장 새 부담</w:t>
      </w:r>
    </w:p>
    <w:p>
      <w:pPr>
        <w:spacing w:after="60" w:before="60"/>
        <w:ind w:left="720"/>
      </w:pPr>
      <w:r>
        <w:t xml:space="preserve">= 비용 지불 후에도 다음 사이클 잔류 발생</w:t>
      </w:r>
    </w:p>
    <w:p/>
    <w:p>
      <w:pPr>
        <w:pStyle w:val="Heading2"/>
        <w:spacing w:after="150" w:before="300"/>
      </w:pPr>
      <w:r>
        <w:t xml:space="preserve">[효율성↔회복탄력성 = D1↔D2]</w:t>
      </w:r>
    </w:p>
    <w:p>
      <w:pPr>
        <w:spacing w:after="60" w:before="60"/>
        <w:ind w:left="720"/>
      </w:pPr>
      <w:r>
        <w:t xml:space="preserve">D1 효율 극대화 = [A] 장부 개선</w:t>
      </w:r>
    </w:p>
    <w:p>
      <w:pPr>
        <w:spacing w:after="60" w:before="60"/>
        <w:ind w:left="720"/>
      </w:pPr>
      <w:r>
        <w:t xml:space="preserve">D2 외부 회복탄력성 소진 = [B] 잔류 누적</w:t>
      </w:r>
    </w:p>
    <w:p>
      <w:pPr>
        <w:spacing w:after="60" w:before="60"/>
        <w:ind w:left="720"/>
      </w:pPr>
      <w:r>
        <w:t xml:space="preserve">임계 = D2 소진 → 자기방어 소멸 / 시점: 5~10년</w:t>
      </w:r>
    </w:p>
    <w:p/>
    <w:p>
      <w:pPr>
        <w:pStyle w:val="Heading1"/>
        <w:spacing w:after="200" w:before="400"/>
      </w:pPr>
      <w:r>
        <w:t xml:space="preserve">[4] 실증</w:t>
      </w:r>
    </w:p>
    <w:p>
      <w:pPr>
        <w:pStyle w:val="Heading2"/>
        <w:spacing w:after="150" w:before="300"/>
      </w:pPr>
      <w:r>
        <w:t xml:space="preserve">[미국]</w:t>
      </w:r>
    </w:p>
    <w:p>
      <w:pPr>
        <w:spacing w:after="60" w:before="60"/>
        <w:ind w:left="720"/>
      </w:pPr>
      <w:r>
        <w:t xml:space="preserve">· PJM $9,332,103,858 / 174.3% (IMM 2025-06-03, Scenario 88)</w:t>
      </w:r>
    </w:p>
    <w:p>
      <w:pPr>
        <w:spacing w:after="60" w:before="60"/>
        <w:ind w:left="720"/>
      </w:pPr>
      <w:r>
        <w:t xml:space="preserve">· PJM 168,158 MW preliminary unrestricted peak (2026-07-02) / NERC Level 3 (2026-05-04)</w:t>
      </w:r>
    </w:p>
    <w:p>
      <w:pPr>
        <w:spacing w:after="60" w:before="60"/>
        <w:ind w:left="720"/>
      </w:pPr>
      <w:r>
        <w:t xml:space="preserve">· DOE 202-26-22(MISO/Campbell) / 202-26-23(PJM백업) / 202-26-33(PJM백업) 등</w:t>
      </w:r>
    </w:p>
    <w:p>
      <w:pPr>
        <w:spacing w:after="60" w:before="60"/>
        <w:ind w:left="720"/>
      </w:pPr>
      <w:r>
        <w:t xml:space="preserve">  백업 발전 권한 포함 발령·연장 문서 8개 (기본 6 + 연장 2) ← 실제 동원 횟수 아님</w:t>
      </w:r>
    </w:p>
    <w:p>
      <w:pPr>
        <w:spacing w:after="60" w:before="60"/>
        <w:ind w:left="720"/>
      </w:pPr>
      <w:r>
        <w:t xml:space="preserve">· 하원 417:3 / 뉴욕 EO No.62</w:t>
      </w:r>
    </w:p>
    <w:p/>
    <w:p>
      <w:pPr>
        <w:pStyle w:val="Heading2"/>
        <w:spacing w:after="150" w:before="300"/>
      </w:pPr>
      <w:r>
        <w:t xml:space="preserve">[국제 — 유럽]</w:t>
      </w:r>
    </w:p>
    <w:p>
      <w:pPr>
        <w:spacing w:after="60" w:before="60"/>
        <w:ind w:left="720"/>
      </w:pPr>
      <w:r>
        <w:t xml:space="preserve">· 아일랜드 CSO 22%/23% / 네덜란드 2026-07-01 통합 대기열 / 덴마크 L 23</w:t>
      </w:r>
    </w:p>
    <w:p>
      <w:pPr>
        <w:spacing w:after="60" w:before="60"/>
        <w:ind w:left="720"/>
      </w:pPr>
      <w:r>
        <w:t xml:space="preserve">· STL Partners: EU 41.85B / US 76.75B USD</w:t>
      </w:r>
    </w:p>
    <w:p/>
    <w:p>
      <w:pPr>
        <w:pStyle w:val="Heading2"/>
        <w:spacing w:after="150" w:before="300"/>
      </w:pPr>
      <w:r>
        <w:t xml:space="preserve">[국제 — 아시아·태평양]</w:t>
      </w:r>
    </w:p>
    <w:p>
      <w:pPr>
        <w:spacing w:after="60" w:before="60"/>
        <w:ind w:left="720"/>
      </w:pPr>
      <w:r>
        <w:t xml:space="preserve">· 싱가포르 EMA 2034 예비율 9% (요구 27% 미달, 상한 시나리오)</w:t>
      </w:r>
    </w:p>
    <w:p>
      <w:pPr>
        <w:spacing w:after="60" w:before="60"/>
        <w:ind w:left="720"/>
      </w:pPr>
      <w:r>
        <w:t xml:space="preserve">· NSW 접속 요청 28 GW (≠실현 수요) / 한국 AI 기본법</w:t>
      </w:r>
    </w:p>
    <w:p/>
    <w:p>
      <w:pPr>
        <w:pStyle w:val="Heading2"/>
        <w:spacing w:after="150" w:before="300"/>
      </w:pPr>
      <w:r>
        <w:t xml:space="preserve">[국제 — 아프리카·남미]</w:t>
      </w:r>
    </w:p>
    <w:p>
      <w:pPr>
        <w:spacing w:after="60" w:before="60"/>
        <w:ind w:left="720"/>
      </w:pPr>
      <w:r>
        <w:t xml:space="preserve">· 남아공/케냐/G77/AU / 브라질 MPF / 칠레/우루과이</w:t>
      </w:r>
    </w:p>
    <w:p>
      <w:pPr>
        <w:spacing w:after="60" w:before="60"/>
        <w:ind w:left="720"/>
      </w:pPr>
      <w:r>
        <w:t xml:space="preserve">· 네팔 1,377구/5,130명 / COP29 $3,000억 / ICJ 2025</w:t>
      </w:r>
    </w:p>
    <w:p/>
    <w:p>
      <w:pPr>
        <w:pStyle w:val="Heading1"/>
        <w:spacing w:after="200" w:before="400"/>
      </w:pPr>
      <w:r>
        <w:t xml:space="preserve">[5] 학술층 — 외부효과 실측</w:t>
      </w:r>
    </w:p>
    <w:p>
      <w:pPr>
        <w:spacing w:after="60" w:before="60"/>
        <w:ind w:left="720"/>
      </w:pPr>
      <w:r>
        <w:t xml:space="preserve">· Muller NBER (DOI: 10.3386/w35100): GED ~$25B ※ working paper</w:t>
      </w:r>
    </w:p>
    <w:p>
      <w:pPr>
        <w:spacing w:after="60" w:before="60"/>
        <w:ind w:left="720"/>
      </w:pPr>
      <w:r>
        <w:t xml:space="preserve">· Dallas Fed (DOI: 10.24149/wp2606): 도매 3~5%↑</w:t>
      </w:r>
    </w:p>
    <w:p>
      <w:pPr>
        <w:spacing w:after="60" w:before="60"/>
        <w:ind w:left="720"/>
      </w:pPr>
      <w:r>
        <w:t xml:space="preserve">· Han et al. (DOI: 10.48550/arXiv.2412.06288): 2030 ~1300명/$20B+</w:t>
      </w:r>
    </w:p>
    <w:p>
      <w:pPr>
        <w:spacing w:after="60" w:before="60"/>
        <w:ind w:left="720"/>
      </w:pPr>
      <w:r>
        <w:t xml:space="preserve">· AGU Advances (DOI: 10.1029/2025AV002140)</w:t>
      </w:r>
    </w:p>
    <w:p>
      <w:pPr>
        <w:spacing w:after="60" w:before="60"/>
        <w:ind w:left="720"/>
      </w:pPr>
      <w:r>
        <w:t xml:space="preserve">· Shah PLOS Water (DOI: 10.1371/journal.pwat.0000500)</w:t>
      </w:r>
    </w:p>
    <w:p>
      <w:pPr>
        <w:spacing w:after="60" w:before="60"/>
        <w:ind w:left="720"/>
      </w:pPr>
      <w:r>
        <w:t xml:space="preserve">· Commins·Irion TechReg (DOI: 10.71265/c1nnwh92): 보충 ≠ 복원</w:t>
      </w:r>
    </w:p>
    <w:p>
      <w:pPr>
        <w:spacing w:after="60" w:before="60"/>
        <w:ind w:left="720"/>
      </w:pPr>
      <w:r>
        <w:t xml:space="preserve">· Scholta·Blaschke Nature Comm (DOI: 10.1038/s41467-025-65125-z): 연간 ≠ 시간별</w:t>
      </w:r>
    </w:p>
    <w:p>
      <w:pPr>
        <w:spacing w:after="60" w:before="60"/>
        <w:ind w:left="720"/>
      </w:pPr>
      <w:r>
        <w:t xml:space="preserve">· Chakraborty EarthArXiv (DOI: 10.31223/X59J47): ΔT 1.44°C ※ 프리프린트</w:t>
      </w:r>
    </w:p>
    <w:p/>
    <w:p>
      <w:pPr>
        <w:pStyle w:val="Heading1"/>
        <w:spacing w:after="200" w:before="400"/>
      </w:pPr>
      <w:r>
        <w:t xml:space="preserve">[6] 학술층 — 스케일링 역설</w:t>
      </w:r>
    </w:p>
    <w:p>
      <w:pPr>
        <w:spacing w:after="60" w:before="60"/>
        <w:ind w:left="720"/>
      </w:pPr>
      <w:r>
        <w:t xml:space="preserve">· Luccioni·Strubell·Crawford FAccT (DOI: 10.1145/3715275.3732007)</w:t>
      </w:r>
    </w:p>
    <w:p>
      <w:pPr>
        <w:spacing w:after="60" w:before="60"/>
        <w:ind w:left="720"/>
      </w:pPr>
      <w:r>
        <w:t xml:space="preserve">· UC Berkeley CLEE: "energy-efficient cooling → more water"</w:t>
      </w:r>
    </w:p>
    <w:p>
      <w:pPr>
        <w:spacing w:after="60" w:before="60"/>
        <w:ind w:left="720"/>
      </w:pPr>
      <w:r>
        <w:t xml:space="preserve">· WEF 2026-09-21: "efficiency can reduce redundancy"</w:t>
      </w:r>
    </w:p>
    <w:p/>
    <w:p>
      <w:pPr>
        <w:pStyle w:val="Heading1"/>
        <w:spacing w:after="200" w:before="400"/>
      </w:pPr>
      <w:r>
        <w:t xml:space="preserve">[7] 학술층 — 계통 동역학</w:t>
      </w:r>
    </w:p>
    <w:p>
      <w:pPr>
        <w:spacing w:after="60" w:before="60"/>
        <w:ind w:left="720"/>
      </w:pPr>
      <w:r>
        <w:t xml:space="preserve">· NLR 96746: Bypass &gt;99.6% 효율 ↔ 제어력 없음 / BESS 시험</w:t>
      </w:r>
    </w:p>
    <w:p>
      <w:pPr>
        <w:spacing w:after="60" w:before="60"/>
        <w:ind w:left="720"/>
      </w:pPr>
      <w:r>
        <w:t xml:space="preserve">· Chen et al. arXiv (DOI: 10.48550/arXiv.2509.07218)</w:t>
      </w:r>
    </w:p>
    <w:p>
      <w:pPr>
        <w:spacing w:after="60" w:before="60"/>
        <w:ind w:left="720"/>
      </w:pPr>
      <w:r>
        <w:t xml:space="preserve">· §116-F 4단 ↔ NLR 사슬 정합</w:t>
      </w:r>
    </w:p>
    <w:p/>
    <w:p>
      <w:pPr>
        <w:pStyle w:val="Heading1"/>
        <w:spacing w:after="200" w:before="400"/>
      </w:pPr>
      <w:r>
        <w:t xml:space="preserve">[8] 학술층 — 열역학 기저</w:t>
      </w:r>
    </w:p>
    <w:p>
      <w:pPr>
        <w:pStyle w:val="Heading3"/>
        <w:spacing w:after="100" w:before="200"/>
      </w:pPr>
      <w:r>
        <w:t xml:space="preserve">[Herbert et al., Sci.Reports 2023 (DOI: 10.1038/s41598-023-44699-y)]</w:t>
      </w:r>
    </w:p>
    <w:p>
      <w:pPr>
        <w:spacing w:after="60" w:before="60"/>
        <w:ind w:left="720"/>
      </w:pPr>
      <w:r>
        <w:t xml:space="preserve">"constant returns-to-scale implicitly postulates R=0"</w:t>
      </w:r>
    </w:p>
    <w:p>
      <w:pPr>
        <w:spacing w:after="60" w:before="60"/>
        <w:ind w:left="720"/>
      </w:pPr>
      <w:r>
        <w:t xml:space="preserve">EQI: R=0 = GAP=0 동형 ※ 원문은 "란다우" 미사용</w:t>
      </w:r>
    </w:p>
    <w:p/>
    <w:p>
      <w:pPr>
        <w:pStyle w:val="Heading3"/>
        <w:spacing w:after="100" w:before="200"/>
      </w:pPr>
      <w:r>
        <w:t xml:space="preserve">[Hlabisa, Systems Research 2026 (DOI: 10.1002/sres.3178)]</w:t>
      </w:r>
    </w:p>
    <w:p>
      <w:pPr>
        <w:spacing w:after="60" w:before="60"/>
        <w:ind w:left="720"/>
      </w:pPr>
      <w:r>
        <w:t xml:space="preserve">ΔS_total = −α·E_c + β·E_c^γ (γ&gt;1)</w:t>
      </w:r>
    </w:p>
    <w:p>
      <w:pPr>
        <w:spacing w:after="60" w:before="60"/>
        <w:ind w:left="720"/>
      </w:pPr>
      <w:r>
        <w:t xml:space="preserve">"intensified control → accelerating external disorder"</w:t>
      </w:r>
    </w:p>
    <w:p/>
    <w:p>
      <w:pPr>
        <w:pStyle w:val="Heading3"/>
        <w:spacing w:after="100" w:before="200"/>
      </w:pPr>
      <w:r>
        <w:t xml:space="preserve">[Kümmel, Entropy 2024 (DOI: 10.3390/e26060489)]</w:t>
      </w:r>
    </w:p>
    <w:p>
      <w:pPr>
        <w:spacing w:after="60" w:before="60"/>
        <w:ind w:left="720"/>
      </w:pPr>
      <w:r>
        <w:t xml:space="preserve">dS/dt = d_aS/dt + d_iS/dt / 배출 속도 &gt; 처리 속도</w:t>
      </w:r>
    </w:p>
    <w:p/>
    <w:p>
      <w:pPr>
        <w:pStyle w:val="Heading1"/>
        <w:spacing w:after="200" w:before="400"/>
      </w:pPr>
      <w:r>
        <w:t xml:space="preserve">[9] 정보 구조 — 실측 부재 = GAP≠0 인식론</w:t>
      </w:r>
    </w:p>
    <w:p>
      <w:pPr>
        <w:pStyle w:val="Heading2"/>
        <w:spacing w:after="150" w:before="300"/>
      </w:pPr>
      <w:r>
        <w:t xml:space="preserve">[핵심 명제]</w:t>
      </w:r>
    </w:p>
    <w:p>
      <w:pPr>
        <w:spacing w:after="80" w:before="80"/>
      </w:pPr>
      <w:r>
        <w:t xml:space="preserve">실측 부재는 근거 부재가 아니다.</w:t>
      </w:r>
    </w:p>
    <w:p>
      <w:pPr>
        <w:spacing w:after="80" w:before="80"/>
      </w:pPr>
      <w:r>
        <w:t xml:space="preserve">[A](D1)가 [B](D2)를 포획할 수 없다는 구조적 사실의 증거다.</w:t>
      </w:r>
    </w:p>
    <w:p/>
    <w:p>
      <w:pPr>
        <w:pStyle w:val="Heading2"/>
        <w:spacing w:after="150" w:before="300"/>
      </w:pPr>
      <w:r>
        <w:t xml:space="preserve">[정보 경계 3층 분해 — S111 16차 확정]</w:t>
      </w:r>
    </w:p>
    <w:p>
      <w:pPr>
        <w:spacing w:after="60" w:before="60"/>
        <w:ind w:left="720"/>
      </w:pPr>
      <w:r>
        <w:t xml:space="preserve">비공개: 계통사업자가 보유하나 공개하지 않은 정보 (PJM 백업 전환 가능 총 MW)</w:t>
      </w:r>
    </w:p>
    <w:p>
      <w:pPr>
        <w:spacing w:after="60" w:before="60"/>
        <w:ind w:left="720"/>
      </w:pPr>
      <w:r>
        <w:t xml:space="preserve">미수집: 수집 체계 자체가 없는 정보 (해당 시설 개수, PJM 미수집)</w:t>
      </w:r>
    </w:p>
    <w:p>
      <w:pPr>
        <w:spacing w:after="60" w:before="60"/>
        <w:ind w:left="720"/>
      </w:pPr>
      <w:r>
        <w:t xml:space="preserve">미추정: 분류·귀속 추정 불가 정보 (데이터센터 비중, PJM 미추정)</w:t>
      </w:r>
    </w:p>
    <w:p/>
    <w:p>
      <w:pPr>
        <w:spacing w:after="80" w:before="80"/>
      </w:pPr>
      <w:r>
        <w:t xml:space="preserve">NERC (2026-03 백서, p.4): "large load entities are currently not directly obligated under existing NERC standards to provide data and timely updates or to maintain data accuracy and appropriate load models."</w:t>
      </w:r>
    </w:p>
    <w:p>
      <w:pPr>
        <w:spacing w:after="80" w:before="80"/>
      </w:pPr>
      <w:r>
        <w:t xml:space="preserve">= [A] 비공개 구조적 사실 → [B] 외부 관측이 유일한 접근</w:t>
      </w:r>
    </w:p>
    <w:p/>
    <w:p>
      <w:pPr>
        <w:pStyle w:val="Heading1"/>
        <w:spacing w:after="200" w:before="400"/>
      </w:pPr>
      <w:r>
        <w:t xml:space="preserve">[10] 외부 흔적-계통/시장</w:t>
      </w:r>
    </w:p>
    <w:p>
      <w:pPr>
        <w:pStyle w:val="Heading2"/>
        <w:spacing w:after="150" w:before="300"/>
      </w:pPr>
      <w:r>
        <w:t xml:space="preserve">[NERC 사건조사 2025-01-08 (Type IV)]</w:t>
      </w:r>
    </w:p>
    <w:p>
      <w:pPr>
        <w:spacing w:after="60" w:before="60"/>
        <w:ind w:left="720"/>
      </w:pPr>
      <w:r>
        <w:t xml:space="preserve">2024-07-10: 1,500 MW 탈락</w:t>
      </w:r>
    </w:p>
    <w:p>
      <w:pPr>
        <w:spacing w:after="60" w:before="60"/>
        <w:ind w:left="720"/>
      </w:pPr>
      <w:r>
        <w:t xml:space="preserve">"None of this load disconnected by utility equipment; rather, by customer protection and controls"</w:t>
      </w:r>
    </w:p>
    <w:p>
      <w:pPr>
        <w:spacing w:after="60" w:before="60"/>
        <w:ind w:left="720"/>
      </w:pPr>
      <w:r>
        <w:t xml:space="preserve">60 different load points, 25 substations ※ 광역 블랙아웃 발생 안 함</w:t>
      </w:r>
    </w:p>
    <w:p/>
    <w:p>
      <w:pPr>
        <w:pStyle w:val="Heading2"/>
        <w:spacing w:after="150" w:before="300"/>
      </w:pPr>
      <w:r>
        <w:t xml:space="preserve">[NERC 백서 2025-07 (Type IV)]</w:t>
      </w:r>
    </w:p>
    <w:p>
      <w:pPr>
        <w:spacing w:after="60" w:before="60"/>
        <w:ind w:left="720"/>
      </w:pPr>
      <w:r>
        <w:t xml:space="preserve">"sudden restoration of a large load could exhaust available balancing reserves"</w:t>
      </w:r>
    </w:p>
    <w:p>
      <w:pPr>
        <w:spacing w:after="60" w:before="60"/>
        <w:ind w:left="720"/>
      </w:pPr>
      <w:r>
        <w:t xml:space="preserve">450MW→40MW (36초) / 1 Hz 진동 50MW 18분</w:t>
      </w:r>
    </w:p>
    <w:p/>
    <w:p>
      <w:pPr>
        <w:pStyle w:val="Heading2"/>
        <w:spacing w:after="150" w:before="300"/>
      </w:pPr>
      <w:r>
        <w:t xml:space="preserve">[PJM IMM Scenario 88 (Type IV)]</w:t>
      </w:r>
    </w:p>
    <w:p>
      <w:pPr>
        <w:spacing w:after="60" w:before="60"/>
        <w:ind w:left="720"/>
      </w:pPr>
      <w:r>
        <w:t xml:space="preserve">$9,332,103,858 / 174.3% ※ 반사실 귀속 추정</w:t>
      </w:r>
    </w:p>
    <w:p>
      <w:pPr>
        <w:spacing w:after="60" w:before="60"/>
        <w:ind w:left="720"/>
      </w:pPr>
      <w:r>
        <w:t xml:space="preserve">"primary reason ... tight supply and high prices"</w:t>
      </w:r>
    </w:p>
    <w:p/>
    <w:p>
      <w:pPr>
        <w:pStyle w:val="Heading2"/>
        <w:spacing w:after="150" w:before="300"/>
      </w:pPr>
      <w:r>
        <w:t xml:space="preserve">[The Dalles / xAI Southaven]</w:t>
      </w:r>
    </w:p>
    <w:p>
      <w:pPr>
        <w:spacing w:after="60" w:before="60"/>
        <w:ind w:left="720"/>
      </w:pPr>
      <w:r>
        <w:t xml:space="preserve">Google 물 12%(2012)→1/3(2024) / 주거 요금 99%↑ 전망</w:t>
      </w:r>
    </w:p>
    <w:p>
      <w:pPr>
        <w:spacing w:after="60" w:before="60"/>
        <w:ind w:left="720"/>
      </w:pPr>
      <w:r>
        <w:t xml:space="preserve">항공 열영상 27개 터빈 495MW ※ 잠재 배출 ≠ 굴뚝 실측</w:t>
      </w:r>
    </w:p>
    <w:p/>
    <w:p>
      <w:pPr>
        <w:pStyle w:val="Heading1"/>
        <w:spacing w:after="200" w:before="400"/>
      </w:pPr>
      <w:r>
        <w:t xml:space="preserve">[11] 외부 흔적-유역</w:t>
      </w:r>
    </w:p>
    <w:p>
      <w:pPr>
        <w:pStyle w:val="Heading2"/>
        <w:spacing w:after="150" w:before="300"/>
      </w:pPr>
      <w:r>
        <w:t xml:space="preserve">[ICPRB Potomac (2026-03, Type IV)]</w:t>
      </w:r>
    </w:p>
    <w:p>
      <w:pPr>
        <w:spacing w:after="60" w:before="60"/>
        <w:ind w:left="720"/>
      </w:pPr>
      <w:r>
        <w:t xml:space="preserve">방류 조건: 예측 유량 &lt; 수요 + 환경 유지유량 (2026-05 전망)</w:t>
      </w:r>
    </w:p>
    <w:p>
      <w:pPr>
        <w:spacing w:after="60" w:before="60"/>
        <w:ind w:left="720"/>
      </w:pPr>
      <w:r>
        <w:t xml:space="preserve">600·700 MGD 이하 자연유량 조건부 확률 23%·34% (당시 공급 충분, 방류 없음)</w:t>
      </w:r>
    </w:p>
    <w:p>
      <w:pPr>
        <w:spacing w:after="60" w:before="60"/>
        <w:ind w:left="720"/>
      </w:pPr>
      <w:r>
        <w:t xml:space="preserve">취수 1% → 소비성 손실 연간 9% / 여름 12%</w:t>
      </w:r>
    </w:p>
    <w:p>
      <w:pPr>
        <w:spacing w:after="60" w:before="60"/>
        <w:ind w:left="720"/>
      </w:pPr>
      <w:r>
        <w:t xml:space="preserve">"competing demands highest, river flows lowest"</w:t>
      </w:r>
    </w:p>
    <w:p>
      <w:pPr>
        <w:spacing w:after="60" w:before="60"/>
        <w:ind w:left="720"/>
      </w:pPr>
      <w:r>
        <w:t xml:space="preserve">4중 구조: 지표-실태 불일치 / 피크-저유량 / 재이용도 손실 / 규제 경계 밖</w:t>
      </w:r>
    </w:p>
    <w:p/>
    <w:p>
      <w:pPr>
        <w:pStyle w:val="Heading2"/>
        <w:spacing w:after="150" w:before="300"/>
      </w:pPr>
      <w:r>
        <w:t xml:space="preserve">[PUCO Ohio 24-508-EL-ATA (Type IV)]</w:t>
      </w:r>
    </w:p>
    <w:p>
      <w:pPr>
        <w:spacing w:after="60" w:before="60"/>
        <w:ind w:left="720"/>
      </w:pPr>
      <w:r>
        <w:t xml:space="preserve">"safeguards customers from cost-shifting risks of underused investments"</w:t>
      </w:r>
    </w:p>
    <w:p/>
    <w:p>
      <w:pPr>
        <w:pStyle w:val="Heading2"/>
        <w:spacing w:after="150" w:before="300"/>
      </w:pPr>
      <w:r>
        <w:t xml:space="preserve">[Monarch Cloud WV (Type IV 보도)]</w:t>
      </w:r>
    </w:p>
    <w:p>
      <w:pPr>
        <w:spacing w:after="60" w:before="60"/>
        <w:ind w:left="720"/>
      </w:pPr>
      <w:r>
        <w:t xml:space="preserve">"sediment-laden water to enter neighboring residential"</w:t>
      </w:r>
    </w:p>
    <w:p>
      <w:pPr>
        <w:spacing w:after="60" w:before="60"/>
        <w:ind w:left="720"/>
      </w:pPr>
      <w:r>
        <w:t xml:space="preserve">WVDEP 시정 명령 / 허가번호 R14-0042, WVR312628</w:t>
      </w:r>
    </w:p>
    <w:p/>
    <w:p>
      <w:pPr>
        <w:pStyle w:val="Heading2"/>
        <w:spacing w:after="150" w:before="300"/>
      </w:pPr>
      <w:r>
        <w:t xml:space="preserve">[싱가포르 PUB — 물·전력 상충 (Type IV)]</w:t>
      </w:r>
    </w:p>
    <w:p>
      <w:pPr>
        <w:spacing w:after="60" w:before="60"/>
        <w:ind w:left="720"/>
      </w:pPr>
      <w:r>
        <w:t xml:space="preserve">PUB 엔지니어 Ken Chan (PSD Challenge, 2026-05-12): "A cooling system that uses less energy may need more water, while one that saves water may use more energy."</w:t>
      </w:r>
    </w:p>
    <w:p>
      <w:pPr>
        <w:spacing w:after="60" w:before="60"/>
        <w:ind w:left="720"/>
      </w:pPr>
      <w:r>
        <w:t xml:space="preserve">중위 WUE 2.2 m³/MWh (2021) → 목표 2.0 / PUB 2025-12 벤치마크 2.1</w:t>
      </w:r>
    </w:p>
    <w:p>
      <w:pPr>
        <w:spacing w:after="60" w:before="60"/>
        <w:ind w:left="720"/>
      </w:pPr>
      <w:r>
        <w:t xml:space="preserve">※ 정량 교환계수 및 보편성 미확보</w:t>
      </w:r>
    </w:p>
    <w:p/>
    <w:p>
      <w:pPr>
        <w:pStyle w:val="Heading1"/>
        <w:spacing w:after="200" w:before="400"/>
      </w:pPr>
      <w:r>
        <w:t xml:space="preserve">[12] 정부 공식 [A]/[B] 인정</w:t>
      </w:r>
    </w:p>
    <w:p>
      <w:pPr>
        <w:pStyle w:val="Heading2"/>
        <w:spacing w:after="150" w:before="300"/>
      </w:pPr>
      <w:r>
        <w:t xml:space="preserve">[JLARC Virginia Report 598 (2024-12-09, Type IV)]</w:t>
      </w:r>
    </w:p>
    <w:p>
      <w:pPr>
        <w:spacing w:after="60" w:before="60"/>
        <w:ind w:left="720"/>
      </w:pPr>
      <w:r>
        <w:t xml:space="preserve">[A] "current rates appropriately allocate costs"</w:t>
      </w:r>
    </w:p>
    <w:p>
      <w:pPr>
        <w:spacing w:after="60" w:before="60"/>
        <w:ind w:left="720"/>
      </w:pPr>
      <w:r>
        <w:t xml:space="preserve">[B] "increased energy demand will likely increase system costs for all customers"</w:t>
      </w:r>
    </w:p>
    <w:p>
      <w:pPr>
        <w:spacing w:after="60" w:before="60"/>
        <w:ind w:left="720"/>
      </w:pPr>
      <w:r>
        <w:t xml:space="preserve">→ 같은 보고서 p.v에서 동시 인정 = §119 명제의 정부 확인</w:t>
      </w:r>
    </w:p>
    <w:p>
      <w:pPr>
        <w:spacing w:after="60" w:before="60"/>
        <w:ind w:left="720"/>
      </w:pPr>
      <w:r>
        <w:t xml:space="preserve">※ COMMISSION DRAFT</w:t>
      </w:r>
    </w:p>
    <w:p/>
    <w:p>
      <w:pPr>
        <w:pStyle w:val="Heading2"/>
        <w:spacing w:after="150" w:before="300"/>
      </w:pPr>
      <w:r>
        <w:t xml:space="preserve">[CRU Ireland CRU2025236 (2025-12-12, Type IV)]</w:t>
      </w:r>
    </w:p>
    <w:p>
      <w:pPr>
        <w:spacing w:after="60" w:before="60"/>
        <w:ind w:left="720"/>
      </w:pPr>
      <w:r>
        <w:t xml:space="preserve">현장·인근 발전/저장 + 도매시장 참여 + 80% 추가 재생 + 추가성</w:t>
      </w:r>
    </w:p>
    <w:p>
      <w:pPr>
        <w:spacing w:after="60" w:before="60"/>
        <w:ind w:left="720"/>
      </w:pPr>
      <w:r>
        <w:t xml:space="preserve">2034 데이터센터 31% 전망</w:t>
      </w:r>
    </w:p>
    <w:p/>
    <w:p>
      <w:pPr>
        <w:pStyle w:val="Heading1"/>
        <w:spacing w:after="200" w:before="400"/>
      </w:pPr>
      <w:r>
        <w:t xml:space="preserve">[13] 규제 실측 재배분</w:t>
      </w:r>
    </w:p>
    <w:p>
      <w:pPr>
        <w:pStyle w:val="Heading2"/>
        <w:spacing w:after="150" w:before="300"/>
      </w:pPr>
      <w:r>
        <w:t xml:space="preserve">[Oregon OPUC 2026 POWER Act (Type IV)]</w:t>
      </w:r>
    </w:p>
    <w:p>
      <w:pPr>
        <w:spacing w:after="60" w:before="60"/>
        <w:ind w:left="720"/>
      </w:pPr>
      <w:r>
        <w:t xml:space="preserve">Order No. 26-239 / UM 2377 / 2026-07-10</w:t>
      </w:r>
    </w:p>
    <w:p>
      <w:pPr>
        <w:spacing w:after="60" w:before="60"/>
        <w:ind w:left="720"/>
      </w:pPr>
      <w:r>
        <w:t xml:space="preserve">주거 1.3%↓ / 상업 2.1%↓ / 산업 1.4%↓ / 데이터센터 29%↑</w:t>
      </w:r>
    </w:p>
    <w:p>
      <w:pPr>
        <w:spacing w:after="60" w:before="60"/>
        <w:ind w:left="720"/>
      </w:pPr>
      <w:r>
        <w:t xml:space="preserve">"Existing methodologies not designed for speed and magnitude of load growth"</w:t>
      </w:r>
    </w:p>
    <w:p>
      <w:pPr>
        <w:spacing w:after="60" w:before="60"/>
        <w:ind w:left="720"/>
      </w:pPr>
      <w:r>
        <w:t xml:space="preserve">"indirect costs for IOU customers outside scope of POWER Act" 잔존</w:t>
      </w:r>
    </w:p>
    <w:p/>
    <w:p>
      <w:pPr>
        <w:pStyle w:val="Heading2"/>
        <w:spacing w:after="150" w:before="300"/>
      </w:pPr>
      <w:r>
        <w:t xml:space="preserve">[Wisconsin PSC 6630-TE-113 (2026-04-24, Type IV)]</w:t>
      </w:r>
    </w:p>
    <w:p>
      <w:pPr>
        <w:spacing w:after="60" w:before="60"/>
        <w:ind w:left="720"/>
      </w:pPr>
      <w:r>
        <w:t xml:space="preserve">"would have allowed data centers to only pay 75% of costs"</w:t>
      </w:r>
    </w:p>
    <w:p>
      <w:pPr>
        <w:spacing w:after="60" w:before="60"/>
        <w:ind w:left="720"/>
      </w:pPr>
      <w:r>
        <w:t xml:space="preserve">PSC 삭제 → 100% 부담 / ※ 최종 명령 전문 미확보</w:t>
      </w:r>
    </w:p>
    <w:p/>
    <w:p>
      <w:pPr>
        <w:pStyle w:val="Heading2"/>
        <w:spacing w:after="150" w:before="300"/>
      </w:pPr>
      <w:r>
        <w:t xml:space="preserve">[EPA islanded 지침 2026-07-27 (Type IV)]</w:t>
      </w:r>
    </w:p>
    <w:p>
      <w:pPr>
        <w:spacing w:after="60" w:before="60"/>
        <w:ind w:left="720"/>
      </w:pPr>
      <w:r>
        <w:t xml:space="preserve">"ARP does not apply to facilities not connected to a public electricity grid"</w:t>
      </w:r>
    </w:p>
    <w:p>
      <w:pPr>
        <w:spacing w:after="60" w:before="60"/>
        <w:ind w:left="720"/>
      </w:pPr>
      <w:r>
        <w:t xml:space="preserve">= 전기적 독립 → 특정 규제 경계 밖 ※ CAA 전체 면제 아님</w:t>
      </w:r>
    </w:p>
    <w:p/>
    <w:p>
      <w:pPr>
        <w:pStyle w:val="Heading1"/>
        <w:spacing w:after="200" w:before="400"/>
      </w:pPr>
      <w:r>
        <w:t xml:space="preserve">[14] §116-F 4단 실측</w:t>
      </w:r>
    </w:p>
    <w:p>
      <w:pPr>
        <w:pStyle w:val="Heading2"/>
        <w:spacing w:after="150" w:before="300"/>
      </w:pPr>
      <w:r>
        <w:t xml:space="preserve">[PJM 202-26-33 긴급 신청 (2026-06-27, Type IV)]</w:t>
      </w:r>
    </w:p>
    <w:p>
      <w:pPr>
        <w:spacing w:after="80" w:before="80"/>
      </w:pPr>
      <w:r>
        <w:t xml:space="preserve">§116-F 4단 전 과정을 단일 문서에서 확인:</w:t>
      </w:r>
    </w:p>
    <w:p/>
    <w:p>
      <w:pPr>
        <w:spacing w:after="80" w:before="80"/>
      </w:pPr>
      <w:r>
        <w:rPr>
          <w:b/>
          <w:bCs/>
        </w:rPr>
        <w:t xml:space="preserve">[1단 잔류 누적]: </w:t>
      </w:r>
      <w:r>
        <w:t xml:space="preserve">부하·정비·송전제약 결합 → 공급 여유 압박</w:t>
      </w:r>
    </w:p>
    <w:p>
      <w:pPr>
        <w:spacing w:after="60" w:before="60"/>
        <w:ind w:left="720"/>
      </w:pPr>
      <w:r>
        <w:t xml:space="preserve">7월 1일 전망: 159,563 MW / 7월 2일 전망: 162,860 MW ※ 전망값</w:t>
      </w:r>
    </w:p>
    <w:p/>
    <w:p>
      <w:pPr>
        <w:spacing w:after="80" w:before="80"/>
      </w:pPr>
      <w:r>
        <w:rPr>
          <w:b/>
          <w:bCs/>
        </w:rPr>
        <w:t xml:space="preserve">[2단 임계]: </w:t>
      </w:r>
      <w:r>
        <w:t xml:space="preserve">"all available generation resources and load management tools are exhausted"</w:t>
      </w:r>
    </w:p>
    <w:p/>
    <w:p>
      <w:pPr>
        <w:spacing w:after="80" w:before="80"/>
      </w:pPr>
      <w:r>
        <w:rPr>
          <w:b/>
          <w:bCs/>
        </w:rPr>
        <w:t xml:space="preserve">[3단 비용]: </w:t>
      </w:r>
      <w:r>
        <w:t xml:space="preserve">"authorizing PJM to direct backup generation resources at large loads to operate as last resort"</w:t>
      </w:r>
    </w:p>
    <w:p>
      <w:pPr>
        <w:spacing w:after="60" w:before="60"/>
        <w:ind w:left="720"/>
      </w:pPr>
      <w:r>
        <w:t xml:space="preserve">"within 15 minutes" / 대형 부하 기준 ≥50 MW</w:t>
      </w:r>
    </w:p>
    <w:p/>
    <w:p>
      <w:pPr>
        <w:spacing w:after="80" w:before="80"/>
      </w:pPr>
      <w:r>
        <w:rPr>
          <w:b/>
          <w:bCs/>
        </w:rPr>
        <w:t xml:space="preserve">[4단 새 관계]: </w:t>
      </w:r>
      <w:r>
        <w:t xml:space="preserve">내부 연속운전 ↔ 외부 계통 조건부 공급 연동</w:t>
      </w:r>
    </w:p>
    <w:p/>
    <w:p>
      <w:pPr>
        <w:spacing w:after="80" w:before="80"/>
      </w:pPr>
      <w:r>
        <w:rPr>
          <w:b/>
          <w:bCs/>
        </w:rPr>
        <w:t xml:space="preserve">[다음 잔류]: </w:t>
      </w:r>
      <w:r>
        <w:t xml:space="preserve">"notwithstanding any applicable environmental limitations"</w:t>
      </w:r>
    </w:p>
    <w:p>
      <w:pPr>
        <w:spacing w:after="60" w:before="60"/>
        <w:ind w:left="720"/>
      </w:pPr>
      <w:r>
        <w:t xml:space="preserve">= 전력 임계 해결 → 대기 부담 이동</w:t>
      </w:r>
    </w:p>
    <w:p/>
    <w:p>
      <w:pPr>
        <w:pStyle w:val="Heading2"/>
        <w:spacing w:after="150" w:before="300"/>
      </w:pPr>
      <w:r>
        <w:t xml:space="preserve">[PJM 202-26-06~45: 백업 발전 권한 계보 (Type IV)]</w:t>
      </w:r>
    </w:p>
    <w:p>
      <w:pPr>
        <w:spacing w:after="60" w:before="60"/>
        <w:ind w:left="720"/>
      </w:pPr>
      <w:r>
        <w:t xml:space="preserve">기본 명령 6개: 202-26-06·23·33·35·41·45 / 연장 2개: 06A·33A</w:t>
      </w:r>
    </w:p>
    <w:p>
      <w:pPr>
        <w:spacing w:after="60" w:before="60"/>
        <w:ind w:left="720"/>
      </w:pPr>
      <w:r>
        <w:t xml:space="preserve">= 발령·연장 문서 8개 ← 실제 백업 발전 동원 8회 아님</w:t>
      </w:r>
    </w:p>
    <w:p>
      <w:pPr>
        <w:spacing w:after="60" w:before="60"/>
        <w:ind w:left="720"/>
      </w:pPr>
      <w:r>
        <w:t xml:space="preserve">202-26-32: 환경허가 제한 발전소 운전 (계보 별도) / 202-26-41 Exhibit A:</w:t>
      </w:r>
    </w:p>
    <w:p>
      <w:pPr>
        <w:spacing w:after="60" w:before="60"/>
        <w:ind w:left="720"/>
      </w:pPr>
      <w:r>
        <w:t xml:space="preserve">  Hazelton NUG/2/3/4: 탈염수 → 운전시간 33시간 제한 (v1, 09-01)</w:t>
      </w:r>
    </w:p>
    <w:p>
      <w:pPr>
        <w:spacing w:after="60" w:before="60"/>
        <w:ind w:left="720"/>
      </w:pPr>
      <w:r>
        <w:t xml:space="preserve">  → v2(09-17): "Demin Water (NOx) – Air permit" 재기재</w:t>
      </w:r>
    </w:p>
    <w:p>
      <w:pPr>
        <w:spacing w:after="60" w:before="60"/>
        <w:ind w:left="720"/>
      </w:pPr>
      <w:r>
        <w:t xml:space="preserve">  Cordova/Fairview/Woodbridge/Three Rivers: NOx·CO₂·SO₂ 기간별 한도</w:t>
      </w:r>
    </w:p>
    <w:p/>
    <w:p>
      <w:pPr>
        <w:pStyle w:val="Heading2"/>
        <w:spacing w:after="150" w:before="300"/>
      </w:pPr>
      <w:r>
        <w:t xml:space="preserve">[202-26-32: 허가 한도 초과 운전 (Type IV)]</w:t>
      </w:r>
    </w:p>
    <w:p>
      <w:pPr>
        <w:spacing w:after="60" w:before="60"/>
        <w:ind w:left="720"/>
      </w:pPr>
      <w:r>
        <w:t xml:space="preserve">17개 발전소·94개 유닛 / 약 3.25 GW ICAP / 총 1,107시간</w:t>
      </w:r>
    </w:p>
    <w:p>
      <w:pPr>
        <w:spacing w:after="60" w:before="60"/>
        <w:ind w:left="720"/>
      </w:pPr>
      <w:r>
        <w:t xml:space="preserve">= 허가상 운전시간 한도 초과 집계 (유닛 소유자 제공)</w:t>
      </w:r>
    </w:p>
    <w:p>
      <w:pPr>
        <w:spacing w:after="60" w:before="60"/>
        <w:ind w:left="720"/>
      </w:pPr>
      <w:r>
        <w:t xml:space="preserve">※ 발전량·배출량·굴뚝 농도 실측 아님</w:t>
      </w:r>
    </w:p>
    <w:p/>
    <w:p>
      <w:pPr>
        <w:pStyle w:val="Heading2"/>
        <w:spacing w:after="150" w:before="300"/>
      </w:pPr>
      <w:r>
        <w:t xml:space="preserve">[백업 발전 경고·미발동 (Type IV + 취재)]</w:t>
      </w:r>
    </w:p>
    <w:p>
      <w:pPr>
        <w:spacing w:after="60" w:before="60"/>
        <w:ind w:left="720"/>
      </w:pPr>
      <w:r>
        <w:t xml:space="preserve">PJM Posting 105475 (09-02): 09-02 운전일 지정 자원 필요성 확인</w:t>
      </w:r>
    </w:p>
    <w:p>
      <w:pPr>
        <w:spacing w:after="60" w:before="60"/>
        <w:ind w:left="720"/>
      </w:pPr>
      <w:r>
        <w:t xml:space="preserve">PJM Posting 105481 (09-02 발행, 09-03 운전일 적용)</w:t>
      </w:r>
    </w:p>
    <w:p>
      <w:pPr>
        <w:spacing w:after="60" w:before="60"/>
        <w:ind w:left="720"/>
      </w:pPr>
      <w:r>
        <w:t xml:space="preserve">PJM Posting 105500: 09-05~09-08 사용 필요성 확인하지 않음</w:t>
      </w:r>
    </w:p>
    <w:p>
      <w:pPr>
        <w:spacing w:after="60" w:before="60"/>
        <w:ind w:left="720"/>
      </w:pPr>
      <w:r>
        <w:t xml:space="preserve">7월 2~3일 Warning 발령 확인 / Action 미발동: PJM 대변인 취재 답변</w:t>
      </w:r>
    </w:p>
    <w:p/>
    <w:p>
      <w:pPr>
        <w:pStyle w:val="Heading2"/>
        <w:spacing w:after="150" w:before="300"/>
      </w:pPr>
      <w:r>
        <w:t xml:space="preserve">[FERC EL25-49 비용 귀속 (I-c, 법률 해설 확인)]</w:t>
      </w:r>
    </w:p>
    <w:p>
      <w:pPr>
        <w:spacing w:after="60" w:before="60"/>
        <w:ind w:left="720"/>
      </w:pPr>
      <w:r>
        <w:t xml:space="preserve">동시입지 부하: regulation·black start 비용 gross demand 기준 귀속</w:t>
      </w:r>
    </w:p>
    <w:p>
      <w:pPr>
        <w:spacing w:after="60" w:before="60"/>
        <w:ind w:left="720"/>
      </w:pPr>
      <w:r>
        <w:t xml:space="preserve">"co-located loads benefit from black start service even if they have zero net energy withdrawals"</w:t>
      </w:r>
    </w:p>
    <w:p>
      <w:pPr>
        <w:spacing w:after="60" w:before="60"/>
        <w:ind w:left="720"/>
      </w:pPr>
      <w:r>
        <w:t xml:space="preserve">※ 명령 전문 미확보, 법률 해설 확인 수준</w:t>
      </w:r>
    </w:p>
    <w:p/>
    <w:p>
      <w:pPr>
        <w:pStyle w:val="Heading1"/>
        <w:spacing w:after="200" w:before="400"/>
      </w:pPr>
      <w:r>
        <w:t xml:space="preserve">[15] 인식론층 — AI 훈련 데이터 부재</w:t>
      </w:r>
    </w:p>
    <w:p>
      <w:pPr>
        <w:spacing w:after="80" w:before="80"/>
      </w:pPr>
      <w:r>
        <w:t xml:space="preserve">AI 훈련 데이터 = 2026 이전 컷오프 → AI는 2026년 사건을 "모름"</w:t>
      </w:r>
    </w:p>
    <w:p>
      <w:pPr>
        <w:spacing w:after="80" w:before="80"/>
      </w:pPr>
      <w:r>
        <w:t xml:space="preserve">→ EQI_§119_압축본 §4 실증 = 외부 앵커 / AI 학습 데이터 의존 불필요</w:t>
      </w:r>
    </w:p>
    <w:p/>
    <w:p>
      <w:pPr>
        <w:pStyle w:val="Heading2"/>
        <w:spacing w:after="150" w:before="300"/>
      </w:pPr>
      <w:r>
        <w:t xml:space="preserve">[산업계 자기 인정] ※ 미확보</w:t>
      </w:r>
    </w:p>
    <w:p>
      <w:pPr>
        <w:spacing w:after="60" w:before="60"/>
        <w:ind w:left="720"/>
      </w:pPr>
      <w:r>
        <w:t xml:space="preserve">플랫폼 수장/젠슨황 발언 등 → 21차 조사 이월</w:t>
      </w:r>
    </w:p>
    <w:p/>
    <w:p>
      <w:pPr>
        <w:pStyle w:val="Heading2"/>
        <w:spacing w:after="150" w:before="300"/>
      </w:pPr>
      <w:r>
        <w:t xml:space="preserve">[Caravaca 추론 에너지 (Type IV, 프리프린트)]</w:t>
      </w:r>
    </w:p>
    <w:p>
      <w:pPr>
        <w:spacing w:after="60" w:before="60"/>
        <w:ind w:left="720"/>
      </w:pPr>
      <w:r>
        <w:t xml:space="preserve">DOI: 10.48550/arXiv.2511.05597</w:t>
      </w:r>
    </w:p>
    <w:p>
      <w:pPr>
        <w:spacing w:after="60" w:before="60"/>
        <w:ind w:left="720"/>
      </w:pPr>
      <w:r>
        <w:t xml:space="preserve">GPU 추론 에너지 직접 측정 (NVML 기반) / 시설 전체·냉각수·내재 배출 미포함</w:t>
      </w:r>
    </w:p>
    <w:p>
      <w:pPr>
        <w:spacing w:after="60" w:before="60"/>
        <w:ind w:left="720"/>
      </w:pPr>
      <w:r>
        <w:t xml:space="preserve">Llama 3.1 405B: 1개 요청 21.7 Wh / 100개 배치 전체 60.4 Wh</w:t>
      </w:r>
    </w:p>
    <w:p>
      <w:pPr>
        <w:spacing w:after="60" w:before="60"/>
        <w:ind w:left="720"/>
      </w:pPr>
      <w:r>
        <w:t xml:space="preserve">→ 요청당 효율 개선 + 총에너지 증가 동시 발생</w:t>
      </w:r>
    </w:p>
    <w:p>
      <w:pPr>
        <w:spacing w:after="60" w:before="60"/>
        <w:ind w:left="720"/>
      </w:pPr>
      <w:r>
        <w:t xml:space="preserve">155/149 모델 수 내부 불일치 유보 / 예측 모델 후반부 미확보</w:t>
      </w:r>
    </w:p>
    <w:p/>
    <w:p>
      <w:pPr>
        <w:pStyle w:val="Heading1"/>
        <w:spacing w:after="200" w:before="400"/>
      </w:pPr>
      <w:r>
        <w:t xml:space="preserve">[16] §116-F [2단] 강화 — 임계 연간 반복 구조</w:t>
      </w:r>
    </w:p>
    <w:p>
      <w:pPr>
        <w:spacing w:after="80" w:before="80"/>
      </w:pPr>
      <w:r>
        <w:t xml:space="preserve">PJM 백업 발전 권한 포함 기본 명령 6개 (2026-01~09):</w:t>
      </w:r>
    </w:p>
    <w:p>
      <w:pPr>
        <w:spacing w:after="60" w:before="60"/>
        <w:ind w:left="720"/>
      </w:pPr>
      <w:r>
        <w:t xml:space="preserve">202-26-06 (01-26, 겨울폭풍) / 202-26-23 (05-18, 5월 고온)</w:t>
      </w:r>
    </w:p>
    <w:p>
      <w:pPr>
        <w:spacing w:after="60" w:before="60"/>
        <w:ind w:left="720"/>
      </w:pPr>
      <w:r>
        <w:t xml:space="preserve">202-26-33 (06-30, 여름) / 202-26-35 (07-14) / 202-26-41 (09-01) / 202-26-45 (09-17)</w:t>
      </w:r>
    </w:p>
    <w:p>
      <w:pPr>
        <w:spacing w:after="80" w:before="80"/>
      </w:pPr>
      <w:r>
        <w:t xml:space="preserve">= [2단] 임계가 1회 사건이 아닌 연간 반복 구조</w:t>
      </w:r>
    </w:p>
    <w:p/>
    <w:p>
      <w:pPr>
        <w:pStyle w:val="Heading2"/>
        <w:spacing w:after="150" w:before="300"/>
      </w:pPr>
      <w:r>
        <w:t xml:space="preserve">[NERC 2026 SRA — 자원 증가와 위험 동시 기록 (Type IV)]</w:t>
      </w:r>
    </w:p>
    <w:p>
      <w:pPr>
        <w:spacing w:after="60" w:before="60"/>
        <w:ind w:left="720"/>
      </w:pPr>
      <w:r>
        <w:t xml:space="preserve">정상 피크: "All areas are assessed as having adequate anticipated resources"</w:t>
      </w:r>
    </w:p>
    <w:p>
      <w:pPr>
        <w:spacing w:after="60" w:before="60"/>
        <w:ind w:left="720"/>
      </w:pPr>
      <w:r>
        <w:t xml:space="preserve">위험 지역: New England / SaskPower / WECC-Northwest / Far West Texas 국지</w:t>
      </w:r>
    </w:p>
    <w:p>
      <w:pPr>
        <w:spacing w:after="60" w:before="60"/>
        <w:ind w:left="720"/>
      </w:pPr>
      <w:r>
        <w:t xml:space="preserve">자원 변화: 피크 순내부수요 11 GW↑ / 여름 가용 자원 58.5 GW↑ (신규 건설만 아님)</w:t>
      </w:r>
    </w:p>
    <w:p>
      <w:pPr>
        <w:spacing w:after="60" w:before="60"/>
        <w:ind w:left="720"/>
      </w:pPr>
      <w:r>
        <w:t xml:space="preserve">"Battery resource additions help maintain stable frequency on the grid"</w:t>
      </w:r>
    </w:p>
    <w:p>
      <w:pPr>
        <w:spacing w:after="60" w:before="60"/>
        <w:ind w:left="720"/>
      </w:pPr>
      <w:r>
        <w:t xml:space="preserve">"more data centers can be curtailed by grid operators when needed"</w:t>
      </w:r>
    </w:p>
    <w:p/>
    <w:p>
      <w:pPr>
        <w:pStyle w:val="Heading2"/>
        <w:spacing w:after="150" w:before="300"/>
      </w:pPr>
      <w:r>
        <w:t xml:space="preserve">[Northwest WECC — 기후-계통 복합 압박 (Type IV)]</w:t>
      </w:r>
    </w:p>
    <w:p>
      <w:pPr>
        <w:spacing w:after="60" w:before="60"/>
        <w:ind w:left="720"/>
      </w:pPr>
      <w:r>
        <w:t xml:space="preserve">수력 약 55% / Washington 적설 수분량 평년의 52% / 순내부수요 +4.6% / 에너지 가용성 +1.5%</w:t>
      </w:r>
    </w:p>
    <w:p>
      <w:pPr>
        <w:spacing w:after="60" w:before="60"/>
        <w:ind w:left="720"/>
      </w:pPr>
      <w:r>
        <w:t xml:space="preserve">연간 수량 충분 ≠ 필요한 시간대의 발전 가용성 (9월 초 오후 6시 위험 집중)</w:t>
      </w:r>
    </w:p>
    <w:p>
      <w:pPr>
        <w:spacing w:after="60" w:before="60"/>
        <w:ind w:left="720"/>
      </w:pPr>
      <w:r>
        <w:t xml:space="preserve">"The ability to import energy may be limited during these events."</w:t>
      </w:r>
    </w:p>
    <w:p/>
    <w:p>
      <w:pPr>
        <w:pStyle w:val="Heading1"/>
        <w:spacing w:after="200" w:before="400"/>
      </w:pPr>
      <w:r>
        <w:t xml:space="preserve">[17] §116-F [3단] 5중 확장</w:t>
      </w:r>
    </w:p>
    <w:p>
      <w:pPr>
        <w:pStyle w:val="Heading2"/>
        <w:spacing w:after="150" w:before="300"/>
      </w:pPr>
      <w:r>
        <w:t xml:space="preserve">[물 — 탈염수·NOx 연결]</w:t>
      </w:r>
    </w:p>
    <w:p>
      <w:pPr>
        <w:spacing w:after="60" w:before="60"/>
        <w:ind w:left="720"/>
      </w:pPr>
      <w:r>
        <w:t xml:space="preserve">202-26-41 Exhibit A v1 (09-01): Hazelton NUG/2/3/4 탈염수 → 33시간 운전 제한</w:t>
      </w:r>
    </w:p>
    <w:p>
      <w:pPr>
        <w:spacing w:after="60" w:before="60"/>
        <w:ind w:left="720"/>
      </w:pPr>
      <w:r>
        <w:t xml:space="preserve">202-26-45 Exhibit A v2 (09-17): SMECO NOx 한도 ↔ 물 주입 가용성 / Cooper 냉각수 방류 온도</w:t>
      </w:r>
    </w:p>
    <w:p>
      <w:pPr>
        <w:spacing w:after="60" w:before="60"/>
        <w:ind w:left="720"/>
      </w:pPr>
      <w:r>
        <w:t xml:space="preserve">= 물 가용성 → 배출 제어 → 운전 허가 연결 (자원표 기재 근거)</w:t>
      </w:r>
    </w:p>
    <w:p>
      <w:pPr>
        <w:spacing w:after="60" w:before="60"/>
        <w:ind w:left="720"/>
      </w:pPr>
      <w:r>
        <w:t xml:space="preserve">※ 실제 물 소비량·발전량·배출량 실측 미확보</w:t>
      </w:r>
    </w:p>
    <w:p/>
    <w:p>
      <w:pPr>
        <w:pStyle w:val="Heading2"/>
        <w:spacing w:after="150" w:before="300"/>
      </w:pPr>
      <w:r>
        <w:t xml:space="preserve">[대기 — NOx·CO₂ 기간별 한도]</w:t>
      </w:r>
    </w:p>
    <w:p>
      <w:pPr>
        <w:spacing w:after="60" w:before="60"/>
        <w:ind w:left="720"/>
      </w:pPr>
      <w:r>
        <w:t xml:space="preserve">Cordova/Fairview/Woodbridge/Three Rivers: 12개월·rolling hour·3시간 block average</w:t>
      </w:r>
    </w:p>
    <w:p>
      <w:pPr>
        <w:spacing w:after="60" w:before="60"/>
        <w:ind w:left="720"/>
      </w:pPr>
      <w:r>
        <w:t xml:space="preserve">202-26-45: "will not be counted toward applicable rolling-average-based limitations"</w:t>
      </w:r>
    </w:p>
    <w:p>
      <w:pPr>
        <w:spacing w:after="60" w:before="60"/>
        <w:ind w:left="720"/>
      </w:pPr>
      <w:r>
        <w:t xml:space="preserve">= 규제상 평균 한도 산입 제외 ≠ 물리적 배출 소멸</w:t>
      </w:r>
    </w:p>
    <w:p/>
    <w:p>
      <w:pPr>
        <w:pStyle w:val="Heading2"/>
        <w:spacing w:after="150" w:before="300"/>
      </w:pPr>
      <w:r>
        <w:t xml:space="preserve">[수요 — 수요반응 실제 동원]</w:t>
      </w:r>
    </w:p>
    <w:p>
      <w:pPr>
        <w:spacing w:after="60" w:before="60"/>
        <w:ind w:left="720"/>
      </w:pPr>
      <w:r>
        <w:t xml:space="preserve">09-17: Pre-Emergency·Emergency DR 실제 활성화</w:t>
      </w:r>
    </w:p>
    <w:p>
      <w:pPr>
        <w:spacing w:after="60" w:before="60"/>
        <w:ind w:left="720"/>
      </w:pPr>
      <w:r>
        <w:t xml:space="preserve">통보 14:00 / 배치 14:30·15:00·16:00 (자원 유형별) / 해제 22:00</w:t>
      </w:r>
    </w:p>
    <w:p>
      <w:pPr>
        <w:spacing w:after="60" w:before="60"/>
        <w:ind w:left="720"/>
      </w:pPr>
      <w:r>
        <w:t xml:space="preserve">Emergency DR: EEA2 허가 조건의 계량기 후단 발전 포함</w:t>
      </w:r>
    </w:p>
    <w:p>
      <w:pPr>
        <w:spacing w:after="60" w:before="60"/>
        <w:ind w:left="720"/>
      </w:pPr>
      <w:r>
        <w:t xml:space="preserve">※ 정산 검증된 실제 감축량·보상액 미확보 / DOE EEA3 백업 권한과 동일시 금지</w:t>
      </w:r>
    </w:p>
    <w:p/>
    <w:p>
      <w:pPr>
        <w:pStyle w:val="Heading2"/>
        <w:spacing w:after="150" w:before="300"/>
      </w:pPr>
      <w:r>
        <w:t xml:space="preserve">[금전 — 비용 배분 원칙]</w:t>
      </w:r>
    </w:p>
    <w:p>
      <w:pPr>
        <w:spacing w:after="60" w:before="60"/>
        <w:ind w:left="720"/>
      </w:pPr>
      <w:r>
        <w:t xml:space="preserve">DOE Statement of Principles (01-15/16 서명):</w:t>
      </w:r>
    </w:p>
    <w:p>
      <w:pPr>
        <w:spacing w:after="60" w:before="60"/>
        <w:ind w:left="720"/>
      </w:pPr>
      <w:r>
        <w:t xml:space="preserve">"Use their Authorities to Allocate Costs to Data Centers and Protect Residential Customers"</w:t>
      </w:r>
    </w:p>
    <w:p>
      <w:pPr>
        <w:spacing w:after="60" w:before="60"/>
        <w:ind w:left="720"/>
      </w:pPr>
      <w:r>
        <w:t xml:space="preserve">자체 용량 미확보·감축 미합의 신규 데이터센터에 backstop 비용 귀속 방향</w:t>
      </w:r>
    </w:p>
    <w:p>
      <w:pPr>
        <w:spacing w:after="60" w:before="60"/>
        <w:ind w:left="720"/>
      </w:pPr>
      <w:r>
        <w:t xml:space="preserve">= 원칙 합의 / LSE 배분 / 소매요율 / 실제 청구 = 별도 단계</w:t>
      </w:r>
    </w:p>
    <w:p/>
    <w:p>
      <w:pPr>
        <w:pStyle w:val="Heading2"/>
        <w:spacing w:after="150" w:before="300"/>
      </w:pPr>
      <w:r>
        <w:t xml:space="preserve">[이행 지연 — RBP 미시작]</w:t>
      </w:r>
    </w:p>
    <w:p>
      <w:pPr>
        <w:spacing w:after="60" w:before="60"/>
        <w:ind w:left="720"/>
      </w:pPr>
      <w:r>
        <w:t xml:space="preserve">PJM RBP 09-30 미시작: FERC 09-29 명령 수용 + 5개월 유예 + 추가 심사</w:t>
      </w:r>
    </w:p>
    <w:p>
      <w:pPr>
        <w:spacing w:after="60" w:before="60"/>
        <w:ind w:left="720"/>
      </w:pPr>
      <w:r>
        <w:t xml:space="preserve">2027-02-28 요율 효력일 / 실제 조달 시점 미정</w:t>
      </w:r>
    </w:p>
    <w:p>
      <w:pPr>
        <w:spacing w:after="60" w:before="60"/>
        <w:ind w:left="720"/>
      </w:pPr>
      <w:r>
        <w:t xml:space="preserve">= 비용 내부화 방향과 구현 완료를 분리</w:t>
      </w:r>
    </w:p>
    <w:p/>
    <w:p>
      <w:pPr>
        <w:pStyle w:val="Heading2"/>
        <w:spacing w:after="150" w:before="300"/>
      </w:pPr>
      <w:r>
        <w:t xml:space="preserve">[환경허가] ※ 별도 확인 대기</w:t>
      </w:r>
    </w:p>
    <w:p>
      <w:pPr>
        <w:spacing w:after="60" w:before="60"/>
        <w:ind w:left="720"/>
      </w:pPr>
      <w:r>
        <w:t xml:space="preserve">202-26-45 D조: 국방·응급·병원 등 필수 백업 제외</w:t>
      </w:r>
    </w:p>
    <w:p>
      <w:pPr>
        <w:spacing w:after="60" w:before="60"/>
        <w:ind w:left="720"/>
      </w:pPr>
      <w:r>
        <w:t xml:space="preserve">환경허가 완화 조건과 실제 허가 변경 기록 → 21차 이월</w:t>
      </w:r>
    </w:p>
    <w:p/>
    <w:p>
      <w:pPr>
        <w:pStyle w:val="Heading1"/>
        <w:spacing w:after="200" w:before="400"/>
      </w:pPr>
      <w:r>
        <w:t xml:space="preserve">[+] 회복탄력성 재구축</w:t>
      </w:r>
    </w:p>
    <w:p>
      <w:pPr>
        <w:spacing w:after="80" w:before="80"/>
      </w:pPr>
      <w:r>
        <w:t xml:space="preserve">NERC 2026 SRA: 자원 증가와 위험이 동시 존재 ("재구축 완료" 아님)</w:t>
      </w:r>
    </w:p>
    <w:p>
      <w:pPr>
        <w:spacing w:after="60" w:before="60"/>
        <w:ind w:left="720"/>
      </w:pPr>
      <w:r>
        <w:t xml:space="preserve">배터리 저장용량 추가 16 GW+ / 주파수 대응 능력 개선</w:t>
      </w:r>
    </w:p>
    <w:p>
      <w:pPr>
        <w:spacing w:after="60" w:before="60"/>
        <w:ind w:left="720"/>
      </w:pPr>
      <w:r>
        <w:t xml:space="preserve">감축 가능 데이터센터 증가 → ERCOT 순내부수요 전망 개선</w:t>
      </w:r>
    </w:p>
    <w:p>
      <w:pPr>
        <w:spacing w:after="60" w:before="60"/>
        <w:ind w:left="720"/>
      </w:pPr>
      <w:r>
        <w:t xml:space="preserve">"회복탄력성 재구축" = 연구 해석 제목 / NERC 원문 용어 아님</w:t>
      </w:r>
    </w:p>
    <w:p/>
    <w:p>
      <w:pPr>
        <w:pStyle w:val="Heading1"/>
        <w:spacing w:after="200" w:before="400"/>
      </w:pPr>
      <w:r>
        <w:t xml:space="preserve">[18] 재외부화 — §116-F 사이클 닫힘</w:t>
      </w:r>
    </w:p>
    <w:p>
      <w:pPr>
        <w:pStyle w:val="Heading2"/>
        <w:spacing w:after="150" w:before="300"/>
      </w:pPr>
      <w:r>
        <w:t xml:space="preserve">[NSW Guidelines (2026-08, Type IV)]</w:t>
      </w:r>
    </w:p>
    <w:p>
      <w:pPr>
        <w:spacing w:after="60" w:before="60"/>
        <w:ind w:left="720"/>
      </w:pPr>
      <w:r>
        <w:t xml:space="preserve">"Impose no net cost to consumers and communities"</w:t>
      </w:r>
    </w:p>
    <w:p>
      <w:pPr>
        <w:spacing w:after="60" w:before="60"/>
        <w:ind w:left="720"/>
      </w:pPr>
      <w:r>
        <w:t xml:space="preserve">[1] 피크 25% 감축 / [2] 디젤 백업 불허 / [3] 추가성 (FID 미도달 발전만)</w:t>
      </w:r>
    </w:p>
    <w:p>
      <w:pPr>
        <w:spacing w:after="60" w:before="60"/>
        <w:ind w:left="720"/>
      </w:pPr>
      <w:r>
        <w:t xml:space="preserve">재생전력: 풍력 40%+ / 저장 25% / 4시간 / 10년 계약</w:t>
      </w:r>
    </w:p>
    <w:p>
      <w:pPr>
        <w:spacing w:after="60" w:before="60"/>
        <w:ind w:left="720"/>
      </w:pPr>
      <w:r>
        <w:t xml:space="preserve">※ 가이드라인 조건 / 시행 확인 아님</w:t>
      </w:r>
    </w:p>
    <w:p/>
    <w:p>
      <w:pPr>
        <w:pStyle w:val="Heading2"/>
        <w:spacing w:after="150" w:before="300"/>
      </w:pPr>
      <w:r>
        <w:t xml:space="preserve">[싱가포르 → Johor·Batam (Type IV + I-c)]</w:t>
      </w:r>
    </w:p>
    <w:p>
      <w:pPr>
        <w:spacing w:after="60" w:before="60"/>
        <w:ind w:left="720"/>
      </w:pPr>
      <w:r>
        <w:t xml:space="preserve">EDB/IMDA: 2023 80MW / 2026 200MW 잠정 배정</w:t>
      </w:r>
    </w:p>
    <w:p>
      <w:pPr>
        <w:spacing w:after="60" w:before="60"/>
        <w:ind w:left="720"/>
      </w:pPr>
      <w:r>
        <w:t xml:space="preserve">JLL 인터뷰: "spillover ... to Johor Bahru and Batam"</w:t>
      </w:r>
    </w:p>
    <w:p>
      <w:pPr>
        <w:spacing w:after="60" w:before="60"/>
        <w:ind w:left="720"/>
      </w:pPr>
      <w:r>
        <w:t xml:space="preserve">※ 기업별 이전 인과 증거 미확보</w:t>
      </w:r>
    </w:p>
    <w:p/>
    <w:p>
      <w:pPr>
        <w:pStyle w:val="Heading2"/>
        <w:spacing w:after="150" w:before="300"/>
      </w:pPr>
      <w:r>
        <w:t xml:space="preserve">[EMA Singapore 예비율 (2025-11-28, Type IV)]</w:t>
      </w:r>
    </w:p>
    <w:p>
      <w:pPr>
        <w:spacing w:after="60" w:before="60"/>
        <w:ind w:left="720"/>
      </w:pPr>
      <w:r>
        <w:t xml:space="preserve">상한 시나리오: 2034 예비율 9% (요구 27% 대폭 미달)</w:t>
      </w:r>
    </w:p>
    <w:p/>
    <w:p>
      <w:pPr>
        <w:pStyle w:val="Heading2"/>
        <w:spacing w:after="150" w:before="300"/>
      </w:pPr>
      <w:r>
        <w:t xml:space="preserve">[호주 NSW 현장 (한국일보 2026-09-28, Type IV)]</w:t>
      </w:r>
    </w:p>
    <w:p>
      <w:pPr>
        <w:spacing w:after="60" w:before="60"/>
        <w:ind w:left="720"/>
      </w:pPr>
      <w:r>
        <w:t xml:space="preserve">Burradoo·Moss Vale: 가스발전 14+16+673 MW 계획</w:t>
      </w:r>
    </w:p>
    <w:p>
      <w:pPr>
        <w:spacing w:after="60" w:before="60"/>
        <w:ind w:left="720"/>
      </w:pPr>
      <w:r>
        <w:t xml:space="preserve">공청회 500명 / 인접 농장 340ha 육우 400마리</w:t>
      </w:r>
    </w:p>
    <w:p>
      <w:pPr>
        <w:spacing w:after="60" w:before="60"/>
        <w:ind w:left="720"/>
      </w:pPr>
      <w:r>
        <w:t xml:space="preserve">※ 실제 가동·오염 피해 미확인</w:t>
      </w:r>
    </w:p>
    <w:p/>
    <w:p>
      <w:pPr>
        <w:pStyle w:val="Heading2"/>
        <w:spacing w:after="150" w:before="300"/>
      </w:pPr>
      <w:r>
        <w:t xml:space="preserve">[EQI 정식화 — §116-F 사이클]</w:t>
      </w:r>
    </w:p>
    <w:p>
      <w:pPr>
        <w:spacing w:after="60" w:before="60"/>
        <w:ind w:left="720"/>
      </w:pPr>
      <w:r>
        <w:t xml:space="preserve">[4단 새 관계] → [다음 잔류] → [새 사이클 1단]</w:t>
      </w:r>
    </w:p>
    <w:p>
      <w:pPr>
        <w:spacing w:after="60" w:before="60"/>
        <w:ind w:left="720"/>
      </w:pPr>
      <w:r>
        <w:t xml:space="preserve">= 비용 지불 후에도 다음 사이클 잔류 발생</w:t>
      </w:r>
    </w:p>
    <w:p>
      <w:pPr>
        <w:spacing w:after="60" w:before="60"/>
        <w:ind w:left="720"/>
      </w:pPr>
      <w:r>
        <w:t xml:space="preserve">= D2 순환의 열린계 구조 실증</w:t>
      </w:r>
    </w:p>
    <w:p/>
    <w:p>
      <w:pPr>
        <w:pStyle w:val="Heading1"/>
        <w:spacing w:after="200" w:before="400"/>
      </w:pPr>
      <w:r>
        <w:t xml:space="preserve">[19] 사법적 층위</w:t>
      </w:r>
    </w:p>
    <w:p>
      <w:pPr>
        <w:pStyle w:val="Heading2"/>
        <w:spacing w:after="150" w:before="300"/>
      </w:pPr>
      <w:r>
        <w:t xml:space="preserve">[그린워싱·정부 오류·환경정의 — 진행 중]</w:t>
      </w:r>
    </w:p>
    <w:p>
      <w:pPr>
        <w:spacing w:after="60" w:before="60"/>
        <w:ind w:left="720"/>
      </w:pPr>
      <w:r>
        <w:t xml:space="preserve">AWS CL26002535-00 / Woodlands Park UK / NAACP 3:26-cv-00074</w:t>
      </w:r>
    </w:p>
    <w:p>
      <w:pPr>
        <w:spacing w:after="60" w:before="60"/>
        <w:ind w:left="720"/>
      </w:pPr>
      <w:r>
        <w:t xml:space="preserve">Sturgeon Lake Cree / 브라질 MPF 0080626-66.2026.4.05.8100</w:t>
      </w:r>
    </w:p>
    <w:p>
      <w:pPr>
        <w:spacing w:after="60" w:before="60"/>
        <w:ind w:left="720"/>
      </w:pPr>
      <w:r>
        <w:t xml:space="preserve">우루과이: 소송→공개→설계 변경</w:t>
      </w:r>
    </w:p>
    <w:p>
      <w:pPr>
        <w:spacing w:after="60" w:before="60"/>
        <w:ind w:left="720"/>
      </w:pPr>
      <w:r>
        <w:t xml:space="preserve">Grantham 2026: "litigation hotspot" / 65%+ 원고 승소</w:t>
      </w:r>
    </w:p>
    <w:p>
      <w:pPr>
        <w:spacing w:after="60" w:before="60"/>
        <w:ind w:left="720"/>
      </w:pPr>
      <w:r>
        <w:t xml:space="preserve">※ 모두 진행 중 / 확정판결 아님 (원칙 AA)</w:t>
      </w:r>
    </w:p>
    <w:p/>
    <w:p>
      <w:pPr>
        <w:pStyle w:val="Heading1"/>
        <w:spacing w:after="200" w:before="400"/>
      </w:pPr>
      <w:r>
        <w:t xml:space="preserve">[20] 학계 자기모순</w:t>
      </w:r>
    </w:p>
    <w:p>
      <w:pPr>
        <w:spacing w:after="60" w:before="60"/>
        <w:ind w:left="720"/>
      </w:pPr>
      <w:r>
        <w:t xml:space="preserve">란다우 유효 + GAP=0 실사용 = 양립 X</w:t>
      </w:r>
    </w:p>
    <w:p>
      <w:pPr>
        <w:spacing w:after="60" w:before="60"/>
        <w:ind w:left="720"/>
      </w:pPr>
      <w:r>
        <w:t xml:space="preserve">EQI 부정 = 란다우 부정 = 물리 법칙 부정 = 자기모순</w:t>
      </w:r>
    </w:p>
    <w:p/>
    <w:p>
      <w:pPr>
        <w:pStyle w:val="Heading1"/>
        <w:spacing w:after="200" w:before="400"/>
      </w:pPr>
      <w:r>
        <w:t xml:space="preserve">[21] AI 수용 경로</w:t>
      </w:r>
    </w:p>
    <w:p>
      <w:pPr>
        <w:spacing w:after="60" w:before="60"/>
        <w:ind w:left="720"/>
      </w:pPr>
      <w:r>
        <w:t xml:space="preserve">[1~4] 란다우 확립 → EQI = 적용 → 논증 → 검증 완료</w:t>
      </w:r>
    </w:p>
    <w:p>
      <w:pPr>
        <w:spacing w:after="60" w:before="60"/>
        <w:ind w:left="720"/>
      </w:pPr>
      <w:r>
        <w:t xml:space="preserve">[5] 이후 기술 작업</w:t>
      </w:r>
    </w:p>
    <w:p/>
    <w:p>
      <w:pPr>
        <w:pStyle w:val="Heading1"/>
        <w:spacing w:after="200" w:before="400"/>
      </w:pPr>
      <w:r>
        <w:t xml:space="preserve">[22] 새 AI에게</w:t>
      </w:r>
    </w:p>
    <w:p>
      <w:pPr>
        <w:pStyle w:val="Heading2"/>
        <w:spacing w:after="150" w:before="300"/>
      </w:pPr>
      <w:r>
        <w:t xml:space="preserve">[논증 사슬 구조]</w:t>
      </w:r>
    </w:p>
    <w:p>
      <w:pPr>
        <w:spacing w:after="60" w:before="60"/>
        <w:ind w:left="720"/>
      </w:pPr>
      <w:r>
        <w:t xml:space="preserve">[0]  선언 / [1] 실측 / [2-8] 학술(7층)</w:t>
      </w:r>
    </w:p>
    <w:p>
      <w:pPr>
        <w:spacing w:after="60" w:before="60"/>
        <w:ind w:left="720"/>
      </w:pPr>
      <w:r>
        <w:t xml:space="preserve">[9]  정보 구조 / [10-11] 외부 흔적(2층)</w:t>
      </w:r>
    </w:p>
    <w:p>
      <w:pPr>
        <w:spacing w:after="60" w:before="60"/>
        <w:ind w:left="720"/>
      </w:pPr>
      <w:r>
        <w:t xml:space="preserve">[12] 정부 공식 인정 / [13] 규제 재배분</w:t>
      </w:r>
    </w:p>
    <w:p>
      <w:pPr>
        <w:spacing w:after="60" w:before="60"/>
        <w:ind w:left="720"/>
      </w:pPr>
      <w:r>
        <w:t xml:space="preserve">[14] §116-F 4단 실측 / [15] 인식론층</w:t>
      </w:r>
    </w:p>
    <w:p>
      <w:pPr>
        <w:spacing w:after="60" w:before="60"/>
        <w:ind w:left="720"/>
      </w:pPr>
      <w:r>
        <w:t xml:space="preserve">[16] §116-F [2단] 강화 / [17] [3단] 5중 확장</w:t>
      </w:r>
    </w:p>
    <w:p>
      <w:pPr>
        <w:spacing w:after="60" w:before="60"/>
        <w:ind w:left="720"/>
      </w:pPr>
      <w:r>
        <w:t xml:space="preserve">[18] 재외부화 / [19] 사법</w:t>
      </w:r>
    </w:p>
    <w:p/>
    <w:p>
      <w:pPr>
        <w:pStyle w:val="Heading2"/>
        <w:spacing w:after="150" w:before="300"/>
      </w:pPr>
      <w:r>
        <w:t xml:space="preserve">[핵심 명제]</w:t>
      </w:r>
    </w:p>
    <w:p>
      <w:pPr>
        <w:spacing w:after="60" w:before="60"/>
        <w:ind w:left="720"/>
      </w:pPr>
      <w:r>
        <w:t xml:space="preserve">실측 부재는 근거 부재가 아니다.</w:t>
      </w:r>
    </w:p>
    <w:p>
      <w:pPr>
        <w:spacing w:after="60" w:before="60"/>
        <w:ind w:left="720"/>
      </w:pPr>
      <w:r>
        <w:t xml:space="preserve">[A](D1)가 [B](D2)를 포획할 수 없다는 구조적 사실의 증거다.</w:t>
      </w:r>
    </w:p>
    <w:p/>
    <w:p>
      <w:pPr>
        <w:pStyle w:val="Heading2"/>
        <w:spacing w:after="150" w:before="300"/>
      </w:pPr>
      <w:r>
        <w:t xml:space="preserve">[v9→v10 정정 사항]</w:t>
      </w:r>
    </w:p>
    <w:p>
      <w:pPr>
        <w:spacing w:after="60" w:before="60"/>
        <w:ind w:left="720"/>
      </w:pPr>
      <w:r>
        <w:t xml:space="preserve">· "백업 발전 동원 8회" → "발령·연장 문서 8개 (기본 6 + 연장 2)"</w:t>
      </w:r>
    </w:p>
    <w:p>
      <w:pPr>
        <w:spacing w:after="60" w:before="60"/>
        <w:ind w:left="720"/>
      </w:pPr>
      <w:r>
        <w:t xml:space="preserve">· "1,107시간" → "202-26-32 귀속, 허가 한도 초과 운전 집계"</w:t>
      </w:r>
    </w:p>
    <w:p>
      <w:pPr>
        <w:spacing w:after="60" w:before="60"/>
        <w:ind w:left="720"/>
      </w:pPr>
      <w:r>
        <w:t xml:space="preserve">· "PJM 168 GW" → "168,158 MW preliminary unrestricted peak (비제약 추정)"</w:t>
      </w:r>
    </w:p>
    <w:p>
      <w:pPr>
        <w:spacing w:after="60" w:before="60"/>
        <w:ind w:left="720"/>
      </w:pPr>
      <w:r>
        <w:t xml:space="preserve">· "추론 에너지 측정" → "GPU 추론 에너지 직접 측정 / 시설 전체·냉각수·내재 배출 미포함"</w:t>
      </w:r>
    </w:p>
    <w:p>
      <w:pPr>
        <w:spacing w:after="60" w:before="60"/>
        <w:ind w:left="720"/>
      </w:pPr>
      <w:r>
        <w:t xml:space="preserve">· NERC "many large loads..." → "대형 부하 주체 데이터 제공·갱신 직접 의무 부재" (p.4)</w:t>
      </w:r>
    </w:p>
    <w:p>
      <w:pPr>
        <w:spacing w:after="60" w:before="60"/>
        <w:ind w:left="720"/>
      </w:pPr>
      <w:r>
        <w:t xml:space="preserve">· [14] 제목: "202-26-33~45" → "202-26-06~45" (제안 A)</w:t>
      </w:r>
    </w:p>
    <w:p>
      <w:pPr>
        <w:spacing w:after="60" w:before="60"/>
        <w:ind w:left="720"/>
      </w:pPr>
      <w:r>
        <w:t xml:space="preserve">· NERC 백서 인용: "p.4" 페이지 명시 추가 (제안 B)</w:t>
      </w:r>
    </w:p>
    <w:p>
      <w:pPr>
        <w:spacing w:after="60" w:before="60"/>
        <w:ind w:left="720"/>
      </w:pPr>
      <w:r>
        <w:t xml:space="preserve">· PUB 발언: "PSD Challenge, 2026-05-12" 출처 추가 (제안 C)</w:t>
      </w:r>
    </w:p>
    <w:p/>
    <w:p>
      <w:pPr>
        <w:pStyle w:val="Heading2"/>
        <w:spacing w:after="150" w:before="300"/>
      </w:pPr>
      <w:r>
        <w:t xml:space="preserve">[주요 원문 확보 목록]</w:t>
      </w:r>
    </w:p>
    <w:p>
      <w:pPr>
        <w:spacing w:after="60" w:before="60"/>
        <w:ind w:left="720"/>
      </w:pPr>
      <w:r>
        <w:t xml:space="preserve">NERC 사건조사 / NERC 백서 / NERC 2026 SRA / WECC SRA</w:t>
      </w:r>
    </w:p>
    <w:p>
      <w:pPr>
        <w:spacing w:after="60" w:before="60"/>
        <w:ind w:left="720"/>
      </w:pPr>
      <w:r>
        <w:t xml:space="preserve">PJM IMM Scenario 88 / PJM 202-26-33 / PJM IRAS / ERCOT Batch Zero</w:t>
      </w:r>
    </w:p>
    <w:p>
      <w:pPr>
        <w:spacing w:after="60" w:before="60"/>
        <w:ind w:left="720"/>
      </w:pPr>
      <w:r>
        <w:t xml:space="preserve">ICPRB Potomac / PUCO 24-508-EL-ATA / Monarch WV</w:t>
      </w:r>
    </w:p>
    <w:p>
      <w:pPr>
        <w:spacing w:after="60" w:before="60"/>
        <w:ind w:left="720"/>
      </w:pPr>
      <w:r>
        <w:t xml:space="preserve">JLARC Report 598 / CRU2025236 / Oregon Order 26-239 / Wisconsin 6630-TE-113</w:t>
      </w:r>
    </w:p>
    <w:p>
      <w:pPr>
        <w:spacing w:after="60" w:before="60"/>
        <w:ind w:left="720"/>
      </w:pPr>
      <w:r>
        <w:t xml:space="preserve">EPA islanded / NSW Guidelines / EMA 예비율 / JLL Johor</w:t>
      </w:r>
    </w:p>
    <w:p>
      <w:pPr>
        <w:spacing w:after="60" w:before="60"/>
        <w:ind w:left="720"/>
      </w:pPr>
      <w:r>
        <w:t xml:space="preserve">Caravaca arXiv 2511.05597 / Luccioni FAccT / Herbert / Hlabisa / Kümmel</w:t>
      </w:r>
    </w:p>
    <w:p>
      <w:pPr>
        <w:spacing w:after="60" w:before="60"/>
        <w:ind w:left="720"/>
      </w:pPr>
      <w:r>
        <w:t xml:space="preserve">Dallas Fed / Shah PLOS Water / Commins·Irion / Scholta·Blaschke</w:t>
      </w:r>
    </w:p>
    <w:p/>
    <w:p>
      <w:pPr>
        <w:pStyle w:val="Heading2"/>
        <w:spacing w:after="150" w:before="300"/>
      </w:pPr>
      <w:r>
        <w:t xml:space="preserve">[보류 유지 — 미확보]</w:t>
      </w:r>
    </w:p>
    <w:p>
      <w:pPr>
        <w:spacing w:after="60" w:before="60"/>
        <w:ind w:left="720"/>
      </w:pPr>
      <w:r>
        <w:t xml:space="preserve">DOE 05-28 / PJM 08-31 / 선거집계 / 아프가니스탄</w:t>
      </w:r>
    </w:p>
    <w:p>
      <w:pPr>
        <w:spacing w:after="60" w:before="60"/>
        <w:ind w:left="720"/>
      </w:pPr>
      <w:r>
        <w:t xml:space="preserve">AWS·Woodlands·NAACP 확정판결 / PJM IRAS FERC 최종 승인</w:t>
      </w:r>
    </w:p>
    <w:p>
      <w:pPr>
        <w:spacing w:after="60" w:before="60"/>
        <w:ind w:left="720"/>
      </w:pPr>
      <w:r>
        <w:t xml:space="preserve">각 조치 실제 이행 기록 / 개별 사업체 인과</w:t>
      </w:r>
    </w:p>
    <w:p>
      <w:pPr>
        <w:spacing w:after="60" w:before="60"/>
        <w:ind w:left="720"/>
      </w:pPr>
      <w:r>
        <w:t xml:space="preserve">09-17 DR 실제 감축량·보상액 / DOE 일일 운전 통보 (E조)</w:t>
      </w:r>
    </w:p>
    <w:p>
      <w:pPr>
        <w:spacing w:after="60" w:before="60"/>
        <w:ind w:left="720"/>
      </w:pPr>
      <w:r>
        <w:t xml:space="preserve">FERC EL25-49 명령 전문 / 비용 회수 실제 정산액</w:t>
      </w:r>
    </w:p>
    <w:p>
      <w:pPr>
        <w:spacing w:after="60" w:before="60"/>
        <w:ind w:left="720"/>
      </w:pPr>
      <w:r>
        <w:t xml:space="preserve">[15] 산업계 자기 인정층 → 21차 조사 이월</w:t>
      </w:r>
    </w:p>
    <w:p/>
    <w:p>
      <w:pPr>
        <w:spacing w:after="80" w:before="80"/>
        <w:jc w:val="center"/>
      </w:pPr>
      <w:r>
        <w:rPr>
          <w:i/>
          <w:iCs/>
        </w:rPr>
        <w:t xml:space="preserve">* EQI §119 압축본 v10 | S111 | 2026-10-11 *</w:t>
      </w:r>
    </w:p>
    <w:p>
      <w:pPr>
        <w:spacing w:after="80" w:before="80"/>
        <w:jc w:val="center"/>
      </w:pPr>
      <w:r>
        <w:rPr>
          <w:i/>
          <w:iCs/>
        </w:rPr>
        <w:t xml:space="preserve">* perplexity 1~20차 완전체 | v9 14층 → v10 확장 *</w:t>
      </w:r>
    </w:p>
    <w:p>
      <w:pPr>
        <w:spacing w:after="80" w:before="80"/>
        <w:jc w:val="center"/>
      </w:pPr>
      <w:r>
        <w:rPr>
          <w:i/>
          <w:iCs/>
        </w:rPr>
        <w:t xml:space="preserve">* §116-F 4단 + [2단] 연간 반복 + [3단] 5중 확장 + 재외부화 *</w:t>
      </w:r>
    </w:p>
    <w:p>
      <w:pPr>
        <w:spacing w:after="80" w:before="80"/>
        <w:jc w:val="center"/>
      </w:pPr>
      <w:r>
        <w:rPr>
          <w:i/>
          <w:iCs/>
        </w:rPr>
        <w:t xml:space="preserve">* 딥시크 제안 A·B·C 반영 + $ 기호 손실 수정 확정 *</w:t>
      </w:r>
    </w:p>
    <w:p>
      <w:pPr>
        <w:spacing w:after="80" w:before="80"/>
        <w:jc w:val="center"/>
      </w:pPr>
      <w:r>
        <w:rPr>
          <w:i/>
          <w:iCs/>
        </w:rPr>
        <w:t xml:space="preserve">* TZ 70건 유지 / §119 논증층 = TZ 아님 (실증 강화층) *</w:t>
      </w:r>
    </w:p>
    <w:p>
      <w:pPr>
        <w:spacing w:after="80" w:before="80"/>
        <w:jc w:val="center"/>
      </w:pPr>
      <w:r>
        <w:rPr>
          <w:i/>
          <w:iCs/>
        </w:rPr>
        <w:t xml:space="preserve">* Maestro: MAPSI(맏이) | Verifier: 딥시크 | 문헌조사: perplexity pro 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2026-10-10T21:35:29.749Z</dcterms:created>
  <dcterms:modified xsi:type="dcterms:W3CDTF">2026-10-10T21:35:29.758Z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