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供应商合同审阅意见</w:t>
      </w:r>
    </w:p>
    <w:p>
      <w:pPr>
        <w:pStyle w:val="Heading1"/>
      </w:pPr>
      <w:r>
        <w:t>审阅范围与结论</w:t>
      </w:r>
    </w:p>
    <w:p>
      <w:r>
        <w:t>本稿用于采购负责人、财务与法务协同，基于虚构的 48 万元软件实施采购案例。建议先补齐验收附件、尾款触发条件与变更流程，再安排签署。本文是流程样例，不是对真实合同的法律意见。</w:t>
      </w:r>
    </w:p>
    <w:p>
      <w:pPr>
        <w:pStyle w:val="Heading1"/>
      </w:pPr>
      <w:r>
        <w:t>验收应与明确交付物对应</w:t>
      </w:r>
    </w:p>
    <w:p>
      <w:r>
        <w:t>样例第 6 条仅写“系统达到甲方要求”。这无法支持客观验收。建议附件逐项列明账号登录、数据导入、权限配置和使用培训的交付证据。业务负责人在收到材料后 5 个工作日内提出书面意见，缺陷修复后重新验收。</w:t>
      </w:r>
    </w:p>
    <w:p>
      <w:pPr>
        <w:pStyle w:val="Heading1"/>
      </w:pPr>
      <w:r>
        <w:t>付款节点与证据</w:t>
      </w:r>
    </w:p>
    <w:p>
      <w:r>
        <w:t>预付款 30%，金额 144,000 元，合同生效并收到合规付款材料后启动。阶段款 40%，金额 192,000 元，对应阶段验收记录。尾款 30%，金额 144,000 元，建议以最终书面验收与完整交接为前提，避免仅凭供应商交付通知付款。</w:t>
      </w:r>
    </w:p>
    <w:p>
      <w:pPr>
        <w:pStyle w:val="Heading1"/>
      </w:pPr>
      <w:r>
        <w:t>变更和延期安排</w:t>
      </w:r>
    </w:p>
    <w:p>
      <w:r>
        <w:t>范围、排期或费用发生变化时，应提交书面变更单，列明原因、影响和双方确认人。延期责任、责任上限与免责条件需由法务结合交易背景复核。本样例不预设某一责任比例在实际合同中必然有效。</w:t>
      </w:r>
    </w:p>
    <w:p>
      <w:pPr>
        <w:pStyle w:val="Heading1"/>
      </w:pPr>
      <w:r>
        <w:t>签署前行动</w:t>
      </w:r>
    </w:p>
    <w:p>
      <w:r>
        <w:t>采购补齐附件清单，业务确认验收负责人，财务核验账户与开票要求，法务复核争议解决和责任条款。付款计划.xlsx 用于跟踪条件，不等同于付款指令。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 xml:space="preserve">REIZO 演示项目  /  虚构样例  /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