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Розрахунок пені за несвоєчасне виконання грошового зобов’язання</w:t>
      </w:r>
    </w:p>
    <w:p>
      <w:pPr/>
      <w:r>
        <w:rPr/>
        <w:t xml:space="preserve"/>
      </w:r>
    </w:p>
    <w:p>
      <w:pPr/>
      <w:r>
        <w:rPr/>
        <w:t xml:space="preserve">Боргові періоди:</w:t>
      </w:r>
    </w:p>
    <w:tbl>
      <w:tblGrid>
        <w:gridCol w:w="2000" w:type="dxa"/>
        <w:gridCol w:w="1500" w:type="dxa"/>
        <w:gridCol w:w="2500" w:type="dxa"/>
        <w:gridCol w:w="2500" w:type="dxa"/>
      </w:tblGrid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Сума заборгованості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Валюта</w:t>
            </w:r>
          </w:p>
        </w:tc>
        <w:tc>
          <w:tcPr>
            <w:tcW w:w="2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Дата початку розрахунку</w:t>
            </w:r>
          </w:p>
        </w:tc>
        <w:tc>
          <w:tcPr>
            <w:tcW w:w="2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Дата закінчення розрахунку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7500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грн.</w:t>
            </w:r>
          </w:p>
        </w:tc>
        <w:tc>
          <w:tcPr>
            <w:tcW w:w="2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08.08.2022</w:t>
            </w:r>
          </w:p>
        </w:tc>
        <w:tc>
          <w:tcPr>
            <w:tcW w:w="2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09.08.2022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Процентна ставка пені:</w:t>
      </w:r>
      <w:r>
        <w:rPr/>
        <w:t xml:space="preserve">2 x ставок НБУ</w:t>
      </w:r>
    </w:p>
    <w:p>
      <w:pPr/>
      <w:r>
        <w:rPr/>
        <w:t xml:space="preserve">Розраховується за формулою:</w:t>
      </w:r>
    </w:p>
    <w:p>
      <w:pPr/>
      <w:r>
        <w:rPr/>
        <w:t xml:space="preserve">[Пеня] = [Сума боргу]  2  [Ставка пені (%)] / 100% / 365 днів  [Кількість днів]</w:t>
      </w:r>
    </w:p>
    <w:p>
      <w:pPr/>
      <w:r>
        <w:rPr/>
        <w:t xml:space="preserve"/>
      </w:r>
    </w:p>
    <w:p>
      <w:pPr/>
      <w:r>
        <w:rPr/>
        <w:t xml:space="preserve">Розрахунок пені</w:t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Дата початку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Дата закінчення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Кількість днів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Сума боргу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Облікова ставка НБУ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Розрахункова ставка (% у рік)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Пеня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08.08.2022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09.08.2022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7 500.00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25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20.55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Всього:</w:t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/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/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/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/>
        </w:tc>
        <w:tc>
          <w:tcPr>
            <w:tcW w:w="15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</w:tcPr>
          <w:p>
            <w:pPr>
              <w:jc w:val="center"/>
            </w:pPr>
            <w:r>
              <w:rPr/>
              <w:t xml:space="preserve">20.55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Пеня за несвоєчасне виконання зобов’язань за вказані періоди складає 20.55 грн.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2022-08-09T11:48:55+00:00</dcterms:created>
  <dcterms:modified xsi:type="dcterms:W3CDTF">2022-08-09T11:48:55+00:00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