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2A37"/>
          <w:sz w:val="36"/>
        </w:rPr>
        <w:t>矿井货车倒矿智能管控系统开发项目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2A37"/>
          <w:sz w:val="60"/>
        </w:rPr>
        <w:t>系统开发实施计划文档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2C5F8A"/>
          <w:sz w:val="40"/>
        </w:rPr>
        <w:t>V0.2.1</w:t>
      </w:r>
    </w:p>
    <w:p/>
    <w:p/>
    <w:p/>
    <w:p/>
    <w:tbl>
      <w:tblPr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63"/>
      </w:tblGrid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项目名称：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矿井货车倒矿智能管控系统开发项目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招标编号：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HXKY-ZB-2026-0325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招标人（甲方）：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华盛矿业（集团）有限公司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编制单位：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第八组（乙方项目组）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依据基线：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需求基线草案 V0.9 / 项目进度计划 项目1.mpp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编制日期：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10 月 19 日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sz w:val="22"/>
              </w:rPr>
              <w:t>文档密级：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2"/>
              </w:rPr>
              <w:t>内部 · 仅供项目组与甲方评阅</w:t>
            </w:r>
          </w:p>
        </w:tc>
      </w:tr>
    </w:tbl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575"/>
        <w:gridCol w:w="3392"/>
        <w:gridCol w:w="1454"/>
        <w:gridCol w:w="2423"/>
      </w:tblGrid>
      <w:tr>
        <w:trPr>
          <w:tblHeader w:val="true"/>
        </w:trPr>
        <w:tc>
          <w:tcPr>
            <w:tcW w:type="dxa" w:w="157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339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145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242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1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33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系统开发实施计划文档</w:t>
            </w:r>
          </w:p>
        </w:tc>
        <w:tc>
          <w:tcPr>
            <w:tcW w:type="dxa" w:w="14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文档编号</w:t>
            </w:r>
          </w:p>
        </w:tc>
        <w:tc>
          <w:tcPr>
            <w:tcW w:type="dxa" w:w="24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KQDK-SJ-JH-002</w:t>
            </w:r>
          </w:p>
        </w:tc>
      </w:tr>
      <w:tr>
        <w:tc>
          <w:tcPr>
            <w:tcW w:type="dxa" w:w="1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当前版本</w:t>
            </w:r>
          </w:p>
        </w:tc>
        <w:tc>
          <w:tcPr>
            <w:tcW w:type="dxa" w:w="33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V0.2.1</w:t>
            </w:r>
          </w:p>
        </w:tc>
        <w:tc>
          <w:tcPr>
            <w:tcW w:type="dxa" w:w="14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4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评审中</w:t>
            </w:r>
          </w:p>
        </w:tc>
      </w:tr>
      <w:tr>
        <w:tc>
          <w:tcPr>
            <w:tcW w:type="dxa" w:w="1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编制</w:t>
            </w:r>
          </w:p>
        </w:tc>
        <w:tc>
          <w:tcPr>
            <w:tcW w:type="dxa" w:w="33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第八组 项目负责人</w:t>
            </w:r>
          </w:p>
        </w:tc>
        <w:tc>
          <w:tcPr>
            <w:tcW w:type="dxa" w:w="14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</w:t>
            </w:r>
          </w:p>
        </w:tc>
        <w:tc>
          <w:tcPr>
            <w:tcW w:type="dxa" w:w="24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甲方项目联系人（待签）</w:t>
            </w:r>
          </w:p>
        </w:tc>
      </w:tr>
      <w:tr>
        <w:tc>
          <w:tcPr>
            <w:tcW w:type="dxa" w:w="1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批准</w:t>
            </w:r>
          </w:p>
        </w:tc>
        <w:tc>
          <w:tcPr>
            <w:tcW w:type="dxa" w:w="33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甲方项目负责人（待签）</w:t>
            </w:r>
          </w:p>
        </w:tc>
        <w:tc>
          <w:tcPr>
            <w:tcW w:type="dxa" w:w="14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生效日期</w:t>
            </w:r>
          </w:p>
        </w:tc>
        <w:tc>
          <w:tcPr>
            <w:tcW w:type="dxa" w:w="24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评审通过次日</w:t>
            </w:r>
          </w:p>
        </w:tc>
      </w:tr>
      <w:tr>
        <w:tc>
          <w:tcPr>
            <w:tcW w:type="dxa" w:w="1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适用范围</w:t>
            </w:r>
          </w:p>
        </w:tc>
        <w:tc>
          <w:tcPr>
            <w:tcW w:type="dxa" w:w="33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项目全周期（需求、开发、测试、试运行、验收）</w:t>
            </w:r>
          </w:p>
        </w:tc>
        <w:tc>
          <w:tcPr>
            <w:tcW w:type="dxa" w:w="14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替代版本</w:t>
            </w:r>
          </w:p>
        </w:tc>
        <w:tc>
          <w:tcPr>
            <w:tcW w:type="dxa" w:w="24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V0.2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 文档信息</w:t>
      </w:r>
    </w:p>
    <w:p>
      <w:pPr>
        <w:pStyle w:val="Heading2"/>
      </w:pPr>
      <w:r>
        <w:t>修订记录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896"/>
        <w:gridCol w:w="1343"/>
        <w:gridCol w:w="5374"/>
        <w:gridCol w:w="1231"/>
      </w:tblGrid>
      <w:tr>
        <w:trPr>
          <w:tblHeader w:val="true"/>
        </w:trPr>
        <w:tc>
          <w:tcPr>
            <w:tcW w:type="dxa" w:w="89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34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537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修订内容</w:t>
            </w:r>
          </w:p>
        </w:tc>
        <w:tc>
          <w:tcPr>
            <w:tcW w:type="dxa" w:w="123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修订人</w:t>
            </w:r>
          </w:p>
        </w:tc>
      </w:tr>
      <w:tr>
        <w:tc>
          <w:tcPr>
            <w:tcW w:type="dxa" w:w="8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V0.1</w:t>
            </w:r>
          </w:p>
        </w:tc>
        <w:tc>
          <w:tcPr>
            <w:tcW w:type="dxa" w:w="13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2026-10-12</w:t>
            </w:r>
          </w:p>
        </w:tc>
        <w:tc>
          <w:tcPr>
            <w:tcW w:type="dxa" w:w="53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初稿：项目概述、功能范围、五阶段划分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第八组</w:t>
            </w:r>
          </w:p>
        </w:tc>
      </w:tr>
      <w:tr>
        <w:tc>
          <w:tcPr>
            <w:tcW w:type="dxa" w:w="8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V0.2</w:t>
            </w:r>
          </w:p>
        </w:tc>
        <w:tc>
          <w:tcPr>
            <w:tcW w:type="dxa" w:w="13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  <w:tc>
          <w:tcPr>
            <w:tcW w:type="dxa" w:w="53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补充组织分工、验收标准、风险登记册；对齐需求基线草案 V0.9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第八组</w:t>
            </w:r>
          </w:p>
        </w:tc>
      </w:tr>
      <w:tr>
        <w:tc>
          <w:tcPr>
            <w:tcW w:type="dxa" w:w="8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V0.2.1</w:t>
            </w:r>
          </w:p>
        </w:tc>
        <w:tc>
          <w:tcPr>
            <w:tcW w:type="dxa" w:w="13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2026-10-19</w:t>
            </w:r>
          </w:p>
        </w:tc>
        <w:tc>
          <w:tcPr>
            <w:tcW w:type="dxa" w:w="53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依据《项目1.mpp》重构 WBS（5 阶段 / 21 个工作包 / 3 个里程碑）；新增任务前置关系与责任人；新增接入层就绪策略、关键路径与工期偏差说明、工作量估算；纳入 GitHub 版本管理约定；统一系统名称为「智能管控系统」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第八组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 修订记录</w:t>
      </w:r>
    </w:p>
    <w:p>
      <w:pPr>
        <w:pStyle w:val="Heading2"/>
      </w:pPr>
      <w:r>
        <w:t>编制依据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《矿井货车倒矿管理系统-招标书》（华盛矿业（集团）有限公司，招标编号 HXKY-ZB-2026-0325）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《矿井货车倒矿管理系统-投标书》（第八组，含商务偏离表、技术偏离表）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《技术开发（委托）合同》（甲乙双方，含质保、验收、违约条款）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《需求分析会议纪要》（2026-10-15）及需求基线草案 V0.9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《项目1.mpp》进度计划（Microsoft Project，2026-10-19 保存）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本仓库「线框页面」「原型页面」已评审页面（信息架构与交互基线）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露天矿卸矿作业长期依靠人工登记与目视确认：车辆进出场无自动记录、倒矿车次靠人工点数、计量与卸矿环节相互割裂、异常停留与超限行为难以追溯，导致计次不准、数据滞后、责任难界定。甲方希望通过本项目建设，把「车—点—时—量」四要素固化为可查询、可追溯、可考核的数据资产。</w:t>
      </w:r>
    </w:p>
    <w:p>
      <w:pPr>
        <w:pStyle w:val="Heading2"/>
      </w:pPr>
      <w:r>
        <w:t>1.2 建设目标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系统围绕三条主线实现作业过程数字化，并对齐招标文件的三大核心要求：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791"/>
        <w:gridCol w:w="4814"/>
        <w:gridCol w:w="2239"/>
      </w:tblGrid>
      <w:tr>
        <w:trPr>
          <w:tblHeader w:val="true"/>
        </w:trPr>
        <w:tc>
          <w:tcPr>
            <w:tcW w:type="dxa" w:w="179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核心目标</w:t>
            </w:r>
          </w:p>
        </w:tc>
        <w:tc>
          <w:tcPr>
            <w:tcW w:type="dxa" w:w="481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建设内容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对应验收口径</w:t>
            </w:r>
          </w:p>
        </w:tc>
      </w:tr>
      <w:tr>
        <w:tc>
          <w:tcPr>
            <w:tcW w:type="dxa" w:w="17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车牌识别与自动计次</w:t>
            </w:r>
          </w:p>
        </w:tc>
        <w:tc>
          <w:tcPr>
            <w:tcW w:type="dxa" w:w="4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卸矿平台、计量点、排土点相机接入；识别车牌与置信度；按阈值自动计次；低置信度转人工复核与补录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识别准确率、计次准确率、复核时效</w:t>
            </w:r>
          </w:p>
        </w:tc>
      </w:tr>
      <w:tr>
        <w:tc>
          <w:tcPr>
            <w:tcW w:type="dxa" w:w="17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倒矿作业过程管控</w:t>
            </w:r>
          </w:p>
        </w:tc>
        <w:tc>
          <w:tcPr>
            <w:tcW w:type="dxa" w:w="4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进场登记、计量称重、卸矿作业、离场计次四环节闭环；输出单车耗时、点位排队与作业效率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功能实现率 100%、作业时长统计正确</w:t>
            </w:r>
          </w:p>
        </w:tc>
      </w:tr>
      <w:tr>
        <w:tc>
          <w:tcPr>
            <w:tcW w:type="dxa" w:w="17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车辆定位与告警复核</w:t>
            </w:r>
          </w:p>
        </w:tc>
        <w:tc>
          <w:tcPr>
            <w:tcW w:type="dxa" w:w="4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露天电子围栏定位、轨迹回放、偏差监控；滞留超时、点位外停留、定位偏差超限分级告警与复核留痕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定位精度 ≤10 米、告警时延、误报率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3 三大核心目标与验收口径</w:t>
      </w:r>
    </w:p>
    <w:p>
      <w:pPr>
        <w:pStyle w:val="Heading2"/>
      </w:pPr>
      <w:r>
        <w:t>1.3 范围边界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本项目</w:t>
      </w:r>
      <w:r>
        <w:rPr>
          <w:rFonts w:ascii="宋体" w:hAnsi="宋体" w:eastAsia="宋体"/>
          <w:b/>
          <w:sz w:val="21"/>
        </w:rPr>
        <w:t>只开发软件系统，不开发、不生产各单独部件</w:t>
      </w:r>
      <w:r>
        <w:rPr>
          <w:rFonts w:ascii="宋体" w:hAnsi="宋体" w:eastAsia="宋体"/>
          <w:b w:val="0"/>
          <w:sz w:val="21"/>
        </w:rPr>
        <w:t>（相机、车载定位终端、地磅、道闸、网络与服务器）。为避免范围蔓延，边界按下列口径执行：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814"/>
        <w:gridCol w:w="4422"/>
      </w:tblGrid>
      <w:tr>
        <w:trPr>
          <w:tblHeader w:val="true"/>
        </w:trPr>
        <w:tc>
          <w:tcPr>
            <w:tcW w:type="dxa" w:w="2608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事项</w:t>
            </w:r>
          </w:p>
        </w:tc>
        <w:tc>
          <w:tcPr>
            <w:tcW w:type="dxa" w:w="181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是否在本项目范围</w:t>
            </w:r>
          </w:p>
        </w:tc>
        <w:tc>
          <w:tcPr>
            <w:tcW w:type="dxa" w:w="442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服务端 Web 管理端、可视化看板、移动端 H5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在范围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三端全部由本项目开发，内网部署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接入层（契约、设备台账、心跳监控、模拟数据源）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在范围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软件侧「接口就绪」，保证部件到位即可接入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相机 SDK / 定位终端协议 / 地磅串口与 PLC 的现场联调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不在范围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由硬件侧或第三方实施，本项目提供适配接口与文档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视频流的分发与长期存储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不在范围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系统仅接收抓拍图与识别事件，不做 200 路视频流转发与 PB 级存储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井工矿场景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本期不在范围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本期以露天围栏为主，预留二期接口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服务器、网络、机房等基础设施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由甲方提供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按合同约定，甲方未满足接入条件时以书面变更为准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4 项目范围边界</w:t>
      </w:r>
    </w:p>
    <w:p>
      <w:pPr>
        <w:pStyle w:val="Heading2"/>
      </w:pPr>
      <w:r>
        <w:t>1.4 编制依据与术语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术语约定：「倒矿」指自卸货车在卸矿平台/排土点卸载矿石或废石的作业行为；「计次」指一次有效倒矿行为在系统中形成的唯一记录；「点位」指装车点、计量点、卸矿平台、排土点等作业位置；「WM」为工作量人日（1 人日按 8 小时计）。</w:t>
      </w:r>
    </w:p>
    <w:p>
      <w:pPr>
        <w:pStyle w:val="Heading1"/>
      </w:pPr>
      <w:r>
        <w:t>2 建设内容与功能范围</w:t>
      </w:r>
    </w:p>
    <w:p>
      <w:pPr>
        <w:pStyle w:val="Heading2"/>
      </w:pPr>
      <w:r>
        <w:t>2.1 系统构成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系统由三端构成，共用同一套业务接口与统一账号权限体系，全部内网部署：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2312"/>
        <w:gridCol w:w="2814"/>
        <w:gridCol w:w="2010"/>
      </w:tblGrid>
      <w:tr>
        <w:trPr>
          <w:tblHeader w:val="true"/>
        </w:trPr>
        <w:tc>
          <w:tcPr>
            <w:tcW w:type="dxa" w:w="170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终端</w:t>
            </w:r>
          </w:p>
        </w:tc>
        <w:tc>
          <w:tcPr>
            <w:tcW w:type="dxa" w:w="231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面向角色</w:t>
            </w:r>
          </w:p>
        </w:tc>
        <w:tc>
          <w:tcPr>
            <w:tcW w:type="dxa" w:w="281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主要能力</w:t>
            </w:r>
          </w:p>
        </w:tc>
        <w:tc>
          <w:tcPr>
            <w:tcW w:type="dxa" w:w="201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原型对照页面</w:t>
            </w:r>
          </w:p>
        </w:tc>
      </w:tr>
      <w:tr>
        <w:tc>
          <w:tcPr>
            <w:tcW w:type="dxa" w:w="1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服务端 Web 管理端</w:t>
            </w:r>
          </w:p>
        </w:tc>
        <w:tc>
          <w:tcPr>
            <w:tcW w:type="dxa" w:w="23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调度员、司磅员、安全监管、系统管理员</w:t>
            </w:r>
          </w:p>
        </w:tc>
        <w:tc>
          <w:tcPr>
            <w:tcW w:type="dxa" w:w="2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主数据维护、识别计次、作业管控、告警复核、统计报表、权限审计</w:t>
            </w:r>
          </w:p>
        </w:tc>
        <w:tc>
          <w:tcPr>
            <w:tcW w:type="dxa" w:w="20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recognition.html / vehicles.html / alarms.html / statistics.html</w:t>
            </w:r>
          </w:p>
        </w:tc>
      </w:tr>
      <w:tr>
        <w:tc>
          <w:tcPr>
            <w:tcW w:type="dxa" w:w="1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可视化看板（大屏）</w:t>
            </w:r>
          </w:p>
        </w:tc>
        <w:tc>
          <w:tcPr>
            <w:tcW w:type="dxa" w:w="23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调度中心</w:t>
            </w:r>
          </w:p>
        </w:tc>
        <w:tc>
          <w:tcPr>
            <w:tcW w:type="dxa" w:w="2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实时指标、点位与车辆分布、24 小时趋势、实时流水与告警</w:t>
            </w:r>
          </w:p>
        </w:tc>
        <w:tc>
          <w:tcPr>
            <w:tcW w:type="dxa" w:w="20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dashboard.html</w:t>
            </w:r>
          </w:p>
        </w:tc>
      </w:tr>
      <w:tr>
        <w:tc>
          <w:tcPr>
            <w:tcW w:type="dxa" w:w="1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移动端 H5</w:t>
            </w:r>
          </w:p>
        </w:tc>
        <w:tc>
          <w:tcPr>
            <w:tcW w:type="dxa" w:w="23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现场作业人员</w:t>
            </w:r>
          </w:p>
        </w:tc>
        <w:tc>
          <w:tcPr>
            <w:tcW w:type="dxa" w:w="28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识别核对、手动补录、告警复核、现场上报</w:t>
            </w:r>
          </w:p>
        </w:tc>
        <w:tc>
          <w:tcPr>
            <w:tcW w:type="dxa" w:w="20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mobile.html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5 系统三端构成</w:t>
      </w:r>
    </w:p>
    <w:p>
      <w:pPr>
        <w:pStyle w:val="Heading2"/>
      </w:pPr>
      <w:r>
        <w:t>2.2 八大功能模块与工作包映射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八大功能模块（招标文件要求）与《项目1.mpp》工作包的对应关系如下，工作包编号与第 5 章 WBS 一致：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561"/>
        <w:gridCol w:w="3434"/>
        <w:gridCol w:w="2081"/>
      </w:tblGrid>
      <w:tr>
        <w:trPr>
          <w:tblHeader w:val="true"/>
        </w:trPr>
        <w:tc>
          <w:tcPr>
            <w:tcW w:type="dxa" w:w="176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功能模块</w:t>
            </w:r>
          </w:p>
        </w:tc>
        <w:tc>
          <w:tcPr>
            <w:tcW w:type="dxa" w:w="156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对应工作包</w:t>
            </w:r>
          </w:p>
        </w:tc>
        <w:tc>
          <w:tcPr>
            <w:tcW w:type="dxa" w:w="343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主要内容</w:t>
            </w:r>
          </w:p>
        </w:tc>
        <w:tc>
          <w:tcPr>
            <w:tcW w:type="dxa" w:w="208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主要交付物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基础数据管理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2.1（含档案管理）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矿区、点位、车辆、司机、班次主数据；车辆档案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主数据维护界面、数据字典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车牌识别与自动计次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2.1 / 2.2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识别流水、置信度阈值、去重、自动计次、人工补录与复核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识别计次模块、复核队列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倒矿作业过程管控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2.2 / 2.3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四环节跟踪、耗时统计、点位排队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作业流程引擎、事件时间线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车辆定位与轨迹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2.3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电子围栏、轨迹回放、偏差监控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定位轨迹模块、围栏配置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告警管理与人工复核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分级告警、复核结论、误报率与时效跟踪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告警规则引擎、复核闭环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数据看板与统计查询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2.4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多维统计、报表生成与导出留档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统计报表、可视化看板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系统管理与权限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2.8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用户、角色、菜单权限、审计日志、备份策略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RBAC、审计日志、备份方案</w:t>
            </w:r>
          </w:p>
        </w:tc>
      </w:tr>
      <w:tr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移动端 H5 现场作业</w:t>
            </w:r>
          </w:p>
        </w:tc>
        <w:tc>
          <w:tcPr>
            <w:tcW w:type="dxa" w:w="15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2.7</w:t>
            </w:r>
          </w:p>
        </w:tc>
        <w:tc>
          <w:tcPr>
            <w:tcW w:type="dxa" w:w="3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识别核对、补录、告警处置与现场上报</w:t>
            </w:r>
          </w:p>
        </w:tc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H5 三屏、弱网缓存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6 功能模块与工作包映射</w:t>
      </w:r>
    </w:p>
    <w:p>
      <w:pPr>
        <w:pStyle w:val="Heading2"/>
      </w:pPr>
      <w:r>
        <w:t>2.3 接入层就绪策略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本项目不承担硬件侧联调，但必须保证「部件到位即可接入」。接入层按下列方式落地，既满足完整性要求，又不把工期押在尚未到货的硬件上：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契约先行：在阶段一冻结接入契约（抓拍事件、定位报文、称重事件、通道心跳四类），明确字段、频率、幂等键与重试策略。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模拟数据源：以模拟器按契约产生数据，驱动识别—计次—告警全链路，使系统在无硬件条件下即可完整演示与测试。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设备台账：相机、终端、地磅等设备登记、在线状态与心跳监控纳入系统管理模块，便于实施期核对。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适配隔离：厂商差异封装在适配层，业务域不感知厂商协议，新增部件只增适配器、不改业务代码。</w:t>
      </w:r>
    </w:p>
    <w:p>
      <w:pPr>
        <w:pStyle w:val="Heading1"/>
      </w:pPr>
      <w:r>
        <w:t>3 实施策略</w:t>
      </w:r>
    </w:p>
    <w:p>
      <w:pPr>
        <w:pStyle w:val="Heading2"/>
      </w:pPr>
      <w:r>
        <w:t>3.1 总体路线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采用「五阶段 + 三个里程碑」的推进方式，与合同约定的阶段划分保持一致，并在每个阶段末设置可验证的准出条件：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145"/>
        <w:gridCol w:w="1769"/>
        <w:gridCol w:w="3538"/>
        <w:gridCol w:w="2393"/>
      </w:tblGrid>
      <w:tr>
        <w:trPr>
          <w:tblHeader w:val="true"/>
        </w:trPr>
        <w:tc>
          <w:tcPr>
            <w:tcW w:type="dxa" w:w="114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176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名称</w:t>
            </w:r>
          </w:p>
        </w:tc>
        <w:tc>
          <w:tcPr>
            <w:tcW w:type="dxa" w:w="3538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核心任务</w:t>
            </w:r>
          </w:p>
        </w:tc>
        <w:tc>
          <w:tcPr>
            <w:tcW w:type="dxa" w:w="239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准出条件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第一阶段</w:t>
            </w:r>
          </w:p>
        </w:tc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项目启动与需求确认</w:t>
            </w:r>
          </w:p>
        </w:tc>
        <w:tc>
          <w:tcPr>
            <w:tcW w:type="dxa" w:w="35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现场调研、需求澄清、需求规格与基线确认、概设详设、数据库与接口设计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需求基线 V1.0 签署；设计文档通过评审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第二阶段</w:t>
            </w:r>
          </w:p>
        </w:tc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系统开发</w:t>
            </w:r>
          </w:p>
        </w:tc>
        <w:tc>
          <w:tcPr>
            <w:tcW w:type="dxa" w:w="35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八大功能模块开发、单元测试、模块联调、接入层与模拟数据源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模块功能自测通过；接口契约对齐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第三阶段</w:t>
            </w:r>
          </w:p>
        </w:tc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测试与部署</w:t>
            </w:r>
          </w:p>
        </w:tc>
        <w:tc>
          <w:tcPr>
            <w:tcW w:type="dxa" w:w="35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集成测试、性能测试、安全测试、内网部署、数据初始化、问题修复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测试报告达标；系统可上线试运行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第四阶段</w:t>
            </w:r>
          </w:p>
        </w:tc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培训与试运行</w:t>
            </w:r>
          </w:p>
        </w:tc>
        <w:tc>
          <w:tcPr>
            <w:tcW w:type="dxa" w:w="35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场次 12 课时培训、连续试运行 2 个月、缺陷修复与性能调优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试运行无重大缺陷；培训记录齐全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第五阶段</w:t>
            </w:r>
          </w:p>
        </w:tc>
        <w:tc>
          <w:tcPr>
            <w:tcW w:type="dxa" w:w="1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验收与收尾</w:t>
            </w:r>
          </w:p>
        </w:tc>
        <w:tc>
          <w:tcPr>
            <w:tcW w:type="dxa" w:w="35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最终验收、文档移交、质保启动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验收报告双方签字盖章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7 五阶段推进路线</w:t>
      </w:r>
    </w:p>
    <w:p>
      <w:pPr>
        <w:pStyle w:val="Heading2"/>
      </w:pPr>
      <w:r>
        <w:t>3.2 迭代与并行策略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阶段二采用 2 周一个迭代的节奏，每个迭代输出可演示的增量（便于按原型逐页走查），并按依赖关系并行开发：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识别计次链路（2.1→2.2）优先，因为它是全部统计与告警的数据源头，也是甲方最关注的验收点。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定位轨迹（2.3）与看板（2.4）并行，看板的实时数据先接模拟源，待定位模块就绪后切换真实源。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告警闭环（2.5）依赖定位与计次，安排在二者接口稳定后启动，避免反复改造规则。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H5（2.7）与系统管理（2.8）在阶段二后段并行，H5 复用管理端接口，不单独设计业务逻辑。</w:t>
      </w:r>
    </w:p>
    <w:p>
      <w:pPr>
        <w:pStyle w:val="Heading2"/>
      </w:pPr>
      <w:r>
        <w:t>3.3 分期与降级预案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若进度出现 2 周以上偏差，按下列顺序降级，保证核心闭环可用：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3943"/>
        <w:gridCol w:w="3516"/>
      </w:tblGrid>
      <w:tr>
        <w:trPr>
          <w:tblHeader w:val="true"/>
        </w:trPr>
        <w:tc>
          <w:tcPr>
            <w:tcW w:type="dxa" w:w="138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  <w:tc>
          <w:tcPr>
            <w:tcW w:type="dxa" w:w="394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范围</w:t>
            </w:r>
          </w:p>
        </w:tc>
        <w:tc>
          <w:tcPr>
            <w:tcW w:type="dxa" w:w="351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降级方式</w:t>
            </w:r>
          </w:p>
        </w:tc>
      </w:tr>
      <w:tr>
        <w:tc>
          <w:tcPr>
            <w:tcW w:type="dxa" w:w="13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一期必备</w:t>
            </w:r>
          </w:p>
        </w:tc>
        <w:tc>
          <w:tcPr>
            <w:tcW w:type="dxa" w:w="39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接入层、主数据、识别计次、作业四环节、告警复核、权限审计</w:t>
            </w:r>
          </w:p>
        </w:tc>
        <w:tc>
          <w:tcPr>
            <w:tcW w:type="dxa" w:w="3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不可裁剪，否则系统不成立</w:t>
            </w:r>
          </w:p>
        </w:tc>
      </w:tr>
      <w:tr>
        <w:tc>
          <w:tcPr>
            <w:tcW w:type="dxa" w:w="13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二期</w:t>
            </w:r>
          </w:p>
        </w:tc>
        <w:tc>
          <w:tcPr>
            <w:tcW w:type="dxa" w:w="39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定位轨迹与围栏、统计报表与导出、可视化看板</w:t>
            </w:r>
          </w:p>
        </w:tc>
        <w:tc>
          <w:tcPr>
            <w:tcW w:type="dxa" w:w="3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看板先做静态大屏 + 手动刷新，实时推送后置</w:t>
            </w:r>
          </w:p>
        </w:tc>
      </w:tr>
      <w:tr>
        <w:tc>
          <w:tcPr>
            <w:tcW w:type="dxa" w:w="13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三期</w:t>
            </w:r>
          </w:p>
        </w:tc>
        <w:tc>
          <w:tcPr>
            <w:tcW w:type="dxa" w:w="39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移动端 H5 高级能力（拍照取证、离线补录详情）</w:t>
            </w:r>
          </w:p>
        </w:tc>
        <w:tc>
          <w:tcPr>
            <w:tcW w:type="dxa" w:w="3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保留扫码核对与告警复核两项核心操作</w:t>
            </w:r>
          </w:p>
        </w:tc>
      </w:tr>
      <w:tr>
        <w:tc>
          <w:tcPr>
            <w:tcW w:type="dxa" w:w="13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延后</w:t>
            </w:r>
          </w:p>
        </w:tc>
        <w:tc>
          <w:tcPr>
            <w:tcW w:type="dxa" w:w="39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对外接口对接中的 ERP 方向</w:t>
            </w:r>
          </w:p>
        </w:tc>
        <w:tc>
          <w:tcPr>
            <w:tcW w:type="dxa" w:w="3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仅保留地磅与定位两类适配，ERP 接口列入二期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8 降级预案</w:t>
      </w:r>
    </w:p>
    <w:p>
      <w:pPr>
        <w:pStyle w:val="Heading1"/>
      </w:pPr>
      <w:r>
        <w:t>4 组织与分工</w:t>
      </w:r>
    </w:p>
    <w:p>
      <w:pPr>
        <w:pStyle w:val="Heading2"/>
      </w:pPr>
      <w:r>
        <w:t>4.1 项目组构成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598"/>
        <w:gridCol w:w="746"/>
        <w:gridCol w:w="4156"/>
        <w:gridCol w:w="2344"/>
      </w:tblGrid>
      <w:tr>
        <w:trPr>
          <w:tblHeader w:val="true"/>
        </w:trPr>
        <w:tc>
          <w:tcPr>
            <w:tcW w:type="dxa" w:w="1598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角色</w:t>
            </w:r>
          </w:p>
        </w:tc>
        <w:tc>
          <w:tcPr>
            <w:tcW w:type="dxa" w:w="74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人数</w:t>
            </w:r>
          </w:p>
        </w:tc>
        <w:tc>
          <w:tcPr>
            <w:tcW w:type="dxa" w:w="415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主要职责</w:t>
            </w:r>
          </w:p>
        </w:tc>
        <w:tc>
          <w:tcPr>
            <w:tcW w:type="dxa" w:w="234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关键产出</w:t>
            </w:r>
          </w:p>
        </w:tc>
      </w:tr>
      <w:tr>
        <w:tc>
          <w:tcPr>
            <w:tcW w:type="dxa" w:w="15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</w:t>
            </w:r>
          </w:p>
        </w:tc>
        <w:tc>
          <w:tcPr>
            <w:tcW w:type="dxa" w:w="7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1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计划与进度、需求基线管理、对外沟通、验收组织、风险管理</w:t>
            </w:r>
          </w:p>
        </w:tc>
        <w:tc>
          <w:tcPr>
            <w:tcW w:type="dxa" w:w="234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实施计划、周报、验收报告</w:t>
            </w:r>
          </w:p>
        </w:tc>
      </w:tr>
      <w:tr>
        <w:tc>
          <w:tcPr>
            <w:tcW w:type="dxa" w:w="15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后端开发</w:t>
            </w:r>
          </w:p>
        </w:tc>
        <w:tc>
          <w:tcPr>
            <w:tcW w:type="dxa" w:w="7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1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接入层、业务域服务、规则引擎、权限与审计、接口文档</w:t>
            </w:r>
          </w:p>
        </w:tc>
        <w:tc>
          <w:tcPr>
            <w:tcW w:type="dxa" w:w="234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后端服务、接口文档</w:t>
            </w:r>
          </w:p>
        </w:tc>
      </w:tr>
      <w:tr>
        <w:tc>
          <w:tcPr>
            <w:tcW w:type="dxa" w:w="15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前端开发</w:t>
            </w:r>
          </w:p>
        </w:tc>
        <w:tc>
          <w:tcPr>
            <w:tcW w:type="dxa" w:w="7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1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管理端、可视化看板、移动端 H5 页面实现与交互</w:t>
            </w:r>
          </w:p>
        </w:tc>
        <w:tc>
          <w:tcPr>
            <w:tcW w:type="dxa" w:w="234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三端前端代码</w:t>
            </w:r>
          </w:p>
        </w:tc>
      </w:tr>
      <w:tr>
        <w:tc>
          <w:tcPr>
            <w:tcW w:type="dxa" w:w="15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算法工程师</w:t>
            </w:r>
          </w:p>
        </w:tc>
        <w:tc>
          <w:tcPr>
            <w:tcW w:type="dxa" w:w="7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1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车牌识别服务适配、置信度与去重策略、定位纠偏与围栏判定</w:t>
            </w:r>
          </w:p>
        </w:tc>
        <w:tc>
          <w:tcPr>
            <w:tcW w:type="dxa" w:w="234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识别服务、算法说明</w:t>
            </w:r>
          </w:p>
        </w:tc>
      </w:tr>
      <w:tr>
        <w:tc>
          <w:tcPr>
            <w:tcW w:type="dxa" w:w="15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实施与测试</w:t>
            </w:r>
          </w:p>
        </w:tc>
        <w:tc>
          <w:tcPr>
            <w:tcW w:type="dxa" w:w="7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1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测试用例与执行、性能压测、内网部署、培训与文档</w:t>
            </w:r>
          </w:p>
        </w:tc>
        <w:tc>
          <w:tcPr>
            <w:tcW w:type="dxa" w:w="234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测试报告、部署手册、培训记录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9 乙方项目组构成（6 人）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项目负责人在未征得甲方同意的情况下不更换；如确需更换，提前 10 个工作日书面申请，接任人员资历不低于原人员。关键岗位设置 AB 角。</w:t>
      </w:r>
    </w:p>
    <w:p>
      <w:pPr>
        <w:pStyle w:val="Heading2"/>
      </w:pPr>
      <w:r>
        <w:t>4.2 职责矩阵（RACI）</w:t>
      </w:r>
    </w:p>
    <w:tbl>
      <w:tblPr>
        <w:tblStyle w:val="TableGrid"/>
        <w:tblW w:type="dxa" w:w="8843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1629"/>
        <w:gridCol w:w="1047"/>
        <w:gridCol w:w="1047"/>
        <w:gridCol w:w="1047"/>
        <w:gridCol w:w="1513"/>
      </w:tblGrid>
      <w:tr>
        <w:trPr>
          <w:tblHeader w:val="true"/>
        </w:trPr>
        <w:tc>
          <w:tcPr>
            <w:tcW w:type="dxa" w:w="256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工作项</w:t>
            </w:r>
          </w:p>
        </w:tc>
        <w:tc>
          <w:tcPr>
            <w:tcW w:type="dxa" w:w="162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项目负责人</w:t>
            </w:r>
          </w:p>
        </w:tc>
        <w:tc>
          <w:tcPr>
            <w:tcW w:type="dxa" w:w="104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后端</w:t>
            </w:r>
          </w:p>
        </w:tc>
        <w:tc>
          <w:tcPr>
            <w:tcW w:type="dxa" w:w="104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前端</w:t>
            </w:r>
          </w:p>
        </w:tc>
        <w:tc>
          <w:tcPr>
            <w:tcW w:type="dxa" w:w="104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算法</w:t>
            </w:r>
          </w:p>
        </w:tc>
        <w:tc>
          <w:tcPr>
            <w:tcW w:type="dxa" w:w="151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实施测试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需求基线确认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架构与接口设计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业务模块开发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识别与计次规则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测试与压测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部署与培训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>
        <w:tc>
          <w:tcPr>
            <w:tcW w:type="dxa" w:w="25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验收与移交</w:t>
            </w:r>
          </w:p>
        </w:tc>
        <w:tc>
          <w:tcPr>
            <w:tcW w:type="dxa" w:w="162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104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151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10 职责矩阵（R 执行 / A 负责 / C 咨询 / I 知会）</w:t>
      </w:r>
    </w:p>
    <w:p>
      <w:pPr>
        <w:pStyle w:val="Heading2"/>
      </w:pPr>
      <w:r>
        <w:t>4.3 协作机制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周例会 + 项目周报：同步进度、缺陷与协调事项，偏差超过 3 个工作日必须书面说明。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问题台账：统一登记问题、责任人、处理时限与状态，每周销项，试运行期每日更新。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需求变更：须双方书面确认，签订补充协议或变更单后执行，同步更新需求基线与 WBS。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里程碑评审：每个里程碑召开评审会，形成会议纪要与准出结论，未通过不得进入下一阶段。</w:t>
      </w:r>
    </w:p>
    <w:p>
      <w:pPr>
        <w:pStyle w:val="Heading2"/>
      </w:pPr>
      <w:r>
        <w:t>4.4 课程实践分工（第八组）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本次课程实验以真实项目材料为载体，组内分工如下（可按实际调整）：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2268"/>
      </w:tblGrid>
      <w:tr>
        <w:trPr>
          <w:tblHeader w:val="true"/>
        </w:trPr>
        <w:tc>
          <w:tcPr>
            <w:tcW w:type="dxa" w:w="170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分工</w:t>
            </w:r>
          </w:p>
        </w:tc>
        <w:tc>
          <w:tcPr>
            <w:tcW w:type="dxa" w:w="487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负责内容</w:t>
            </w:r>
          </w:p>
        </w:tc>
        <w:tc>
          <w:tcPr>
            <w:tcW w:type="dxa" w:w="2268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成员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项目与进度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实施计划、进度计划维护、里程碑组织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（待填写）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需求与文档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招标/投标/合同差异比对、需求基线、文档撰写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（待填写）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原型与界面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线框与高保真原型、视觉规范、交互走查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（待填写）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版本管理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GitHub 仓库、分支、提交规范、版本标签与发布说明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（待填写）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测试与验收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用例设计、指标核验、缺陷跟踪、演示组织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（待填写）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11 课堂实践分工</w:t>
      </w:r>
    </w:p>
    <w:p>
      <w:r>
        <w:br w:type="page"/>
      </w:r>
    </w:p>
    <w:p>
      <w:pPr>
        <w:pStyle w:val="Heading1"/>
      </w:pPr>
      <w:r>
        <w:t>5 进度计划</w:t>
      </w:r>
    </w:p>
    <w:p>
      <w:pPr>
        <w:pStyle w:val="Heading2"/>
      </w:pPr>
      <w:r>
        <w:t>5.1 计划假设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计划起点 T+0 取 2026-10-19（周一），按 5×8 工作制排程，不含法定节假日。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本计划的任务分解、层级与里程碑取自《项目1.mpp》，工期与日期在 mpp 基础上按 6 人配置核算；两者不一致时以 mpp 为准并在周报中记录差异。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阶段一与阶段二存在设计并行（1.4、1.5 与 1.2 搭接），阶段四的培训与试运行并行。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试运行期不少于 2 个月，期间不新增需求，仅做缺陷修复与性能调优。</w:t>
      </w:r>
    </w:p>
    <w:p>
      <w:pPr>
        <w:pStyle w:val="Heading2"/>
      </w:pPr>
      <w:r>
        <w:t>5.2 阶段计划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457"/>
        <w:gridCol w:w="2555"/>
        <w:gridCol w:w="1572"/>
        <w:gridCol w:w="2260"/>
      </w:tblGrid>
      <w:tr>
        <w:trPr>
          <w:tblHeader w:val="true"/>
        </w:trPr>
        <w:tc>
          <w:tcPr>
            <w:tcW w:type="dxa" w:w="245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255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起止日期</w:t>
            </w:r>
          </w:p>
        </w:tc>
        <w:tc>
          <w:tcPr>
            <w:tcW w:type="dxa" w:w="157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工期</w:t>
            </w:r>
          </w:p>
        </w:tc>
        <w:tc>
          <w:tcPr>
            <w:tcW w:type="dxa" w:w="226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与合同约定对照</w:t>
            </w:r>
          </w:p>
        </w:tc>
      </w:tr>
      <w:tr>
        <w:tc>
          <w:tcPr>
            <w:tcW w:type="dxa" w:w="24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第一阶段 项目启动与需求确认</w:t>
            </w:r>
          </w:p>
        </w:tc>
        <w:tc>
          <w:tcPr>
            <w:tcW w:type="dxa" w:w="2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2026-10-19 ~ 2026-11-27</w:t>
            </w:r>
          </w:p>
        </w:tc>
        <w:tc>
          <w:tcPr>
            <w:tcW w:type="dxa" w:w="157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 周</w:t>
            </w:r>
          </w:p>
        </w:tc>
        <w:tc>
          <w:tcPr>
            <w:tcW w:type="dxa" w:w="22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T+0 ~ T+1.5 月，基本一致</w:t>
            </w:r>
          </w:p>
        </w:tc>
      </w:tr>
      <w:tr>
        <w:tc>
          <w:tcPr>
            <w:tcW w:type="dxa" w:w="24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第二阶段 系统开发</w:t>
            </w:r>
          </w:p>
        </w:tc>
        <w:tc>
          <w:tcPr>
            <w:tcW w:type="dxa" w:w="2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2026-11-30 ~ 2027-02-05</w:t>
            </w:r>
          </w:p>
        </w:tc>
        <w:tc>
          <w:tcPr>
            <w:tcW w:type="dxa" w:w="157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周</w:t>
            </w:r>
          </w:p>
        </w:tc>
        <w:tc>
          <w:tcPr>
            <w:tcW w:type="dxa" w:w="22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T+1.5 ~ T+4 月，压缩约 1 周</w:t>
            </w:r>
          </w:p>
        </w:tc>
      </w:tr>
      <w:tr>
        <w:tc>
          <w:tcPr>
            <w:tcW w:type="dxa" w:w="24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第三阶段 测试与部署</w:t>
            </w:r>
          </w:p>
        </w:tc>
        <w:tc>
          <w:tcPr>
            <w:tcW w:type="dxa" w:w="2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2027-02-08 ~ 2027-02-26</w:t>
            </w:r>
          </w:p>
        </w:tc>
        <w:tc>
          <w:tcPr>
            <w:tcW w:type="dxa" w:w="157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周</w:t>
            </w:r>
          </w:p>
        </w:tc>
        <w:tc>
          <w:tcPr>
            <w:tcW w:type="dxa" w:w="22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T+4 ~ T+4.5 月，略延后 1 周</w:t>
            </w:r>
          </w:p>
        </w:tc>
      </w:tr>
      <w:tr>
        <w:tc>
          <w:tcPr>
            <w:tcW w:type="dxa" w:w="24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第四阶段 培训与试运行</w:t>
            </w:r>
          </w:p>
        </w:tc>
        <w:tc>
          <w:tcPr>
            <w:tcW w:type="dxa" w:w="2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2027-03-01 ~ 2027-04-30</w:t>
            </w:r>
          </w:p>
        </w:tc>
        <w:tc>
          <w:tcPr>
            <w:tcW w:type="dxa" w:w="157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 周（试运行 2 个月）</w:t>
            </w:r>
          </w:p>
        </w:tc>
        <w:tc>
          <w:tcPr>
            <w:tcW w:type="dxa" w:w="22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T+4.5 ~ T+6 月</w:t>
            </w:r>
          </w:p>
        </w:tc>
      </w:tr>
      <w:tr>
        <w:tc>
          <w:tcPr>
            <w:tcW w:type="dxa" w:w="24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第五阶段 验收与收尾</w:t>
            </w:r>
          </w:p>
        </w:tc>
        <w:tc>
          <w:tcPr>
            <w:tcW w:type="dxa" w:w="2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2027-05-04 ~ 2027-05-14</w:t>
            </w:r>
          </w:p>
        </w:tc>
        <w:tc>
          <w:tcPr>
            <w:tcW w:type="dxa" w:w="157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周</w:t>
            </w:r>
          </w:p>
        </w:tc>
        <w:tc>
          <w:tcPr>
            <w:tcW w:type="dxa" w:w="22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T+6 月起，较 T+6 顺延约 3 周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12 阶段计划</w:t>
      </w:r>
    </w:p>
    <w:p>
      <w:pPr>
        <w:pStyle w:val="Heading2"/>
      </w:pPr>
      <w:r>
        <w:t>5.3 任务分解（WBS）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WBS 共 5 个阶段、21 个工作包、3 个里程碑，与《项目1.mpp》任务层级一致。工期单位为工作日，前置列为本任务的紧前任务编号；各任务的具体交付物见第 10 章交付物清单：</w:t>
      </w:r>
    </w:p>
    <w:tbl>
      <w:tblPr>
        <w:tblStyle w:val="TableGrid"/>
        <w:tblW w:type="dxa" w:w="8843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061"/>
        <w:gridCol w:w="624"/>
        <w:gridCol w:w="1417"/>
        <w:gridCol w:w="1417"/>
        <w:gridCol w:w="737"/>
        <w:gridCol w:w="1020"/>
      </w:tblGrid>
      <w:tr>
        <w:trPr>
          <w:tblHeader w:val="true"/>
        </w:trPr>
        <w:tc>
          <w:tcPr>
            <w:tcW w:type="dxa" w:w="56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type="dxa" w:w="306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任务名称</w:t>
            </w:r>
          </w:p>
        </w:tc>
        <w:tc>
          <w:tcPr>
            <w:tcW w:type="dxa" w:w="62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工期(天)</w:t>
            </w:r>
          </w:p>
        </w:tc>
        <w:tc>
          <w:tcPr>
            <w:tcW w:type="dxa" w:w="141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开始</w:t>
            </w:r>
          </w:p>
        </w:tc>
        <w:tc>
          <w:tcPr>
            <w:tcW w:type="dxa" w:w="141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完成</w:t>
            </w:r>
          </w:p>
        </w:tc>
        <w:tc>
          <w:tcPr>
            <w:tcW w:type="dxa" w:w="73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前置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责任角色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项目启动与需求确认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2026-10-19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2026-11-27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现场调研与需求澄清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2026-10-19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2026-10-30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负责人 / 需求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需求规格说明书编制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2026-10-26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2026-11-06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 / 文档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需求评审与基线确认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2026-11-09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2026-11-13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概要设计与详细设计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2026-11-09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2026-11-20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/ 前端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数据库与接口设计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2026-11-16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2026-11-27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系统开发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2026-11-30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/ 前端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车牌识别与档案管理模块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2026-11-30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2026-12-25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1 / 算法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卸货次数自动统计模块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2026-12-14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2027-01-08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2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电子围栏与轨迹管控模块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2026-12-28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2027-01-22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1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数据统计与可视化看板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2027-01-04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2027-01-29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预警处置与工单闭环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2027-01-11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2027-01-29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2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2.6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对外接口对接（地磅/视频/ERP/定位）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2027-01-18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1 / 算法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2.7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移动端 H5 应用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2027-01-11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2.8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系统管理与安全模块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2027-01-25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2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测试与部署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2027-02-26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2.x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实施测试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集成测试与性能测试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2027-02-08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2027-02-19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2.x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实施测试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内网部署与数据初始化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2027-02-15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2027-02-19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实施测试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接口联调与问题修复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2027-02-22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2027-02-26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3.1 / 3.2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全员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培训与试运行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2027-03-01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2027-04-30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全员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培训 3 场次（12 课时）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2027-03-01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2027-03-05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实施测试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连续试运行 2 个月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2027-03-01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2027-04-30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全员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缺陷修复与性能调优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2027-03-08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2027-04-23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 / 前端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验收与收尾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2027-05-04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2027-05-14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4.2 / 4.3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5.1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最终验收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2027-05-04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2027-05-13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4.2 / 4.3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5.2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文档移交与质保启动</w:t>
            </w:r>
          </w:p>
        </w:tc>
        <w:tc>
          <w:tcPr>
            <w:tcW w:type="dxa" w:w="62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2027-05-12</w:t>
            </w:r>
          </w:p>
        </w:tc>
        <w:tc>
          <w:tcPr>
            <w:tcW w:type="dxa" w:w="141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2027-05-14</w:t>
            </w:r>
          </w:p>
        </w:tc>
        <w:tc>
          <w:tcPr>
            <w:tcW w:type="dxa" w:w="737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5.1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 / 文档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13 工作分解结构（WBS）</w:t>
      </w:r>
    </w:p>
    <w:p>
      <w:pPr>
        <w:pStyle w:val="Heading2"/>
      </w:pPr>
      <w:r>
        <w:t>5.4 里程碑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832"/>
        <w:gridCol w:w="2289"/>
        <w:gridCol w:w="1561"/>
        <w:gridCol w:w="4162"/>
      </w:tblGrid>
      <w:tr>
        <w:trPr>
          <w:tblHeader w:val="true"/>
        </w:trPr>
        <w:tc>
          <w:tcPr>
            <w:tcW w:type="dxa" w:w="83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里程碑</w:t>
            </w:r>
          </w:p>
        </w:tc>
        <w:tc>
          <w:tcPr>
            <w:tcW w:type="dxa" w:w="228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名称</w:t>
            </w:r>
          </w:p>
        </w:tc>
        <w:tc>
          <w:tcPr>
            <w:tcW w:type="dxa" w:w="156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计划日期</w:t>
            </w:r>
          </w:p>
        </w:tc>
        <w:tc>
          <w:tcPr>
            <w:tcW w:type="dxa" w:w="416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判定标准</w:t>
            </w:r>
          </w:p>
        </w:tc>
      </w:tr>
      <w:tr>
        <w:tc>
          <w:tcPr>
            <w:tcW w:type="dxa" w:w="83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</w:t>
            </w:r>
          </w:p>
        </w:tc>
        <w:tc>
          <w:tcPr>
            <w:tcW w:type="dxa" w:w="22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需求基线 V1.0 确认</w:t>
            </w:r>
          </w:p>
        </w:tc>
        <w:tc>
          <w:tcPr>
            <w:tcW w:type="dxa" w:w="156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2026-11-13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需求规格说明书评审通过；7 项文档冲突条款书面确认；双方签字</w:t>
            </w:r>
          </w:p>
        </w:tc>
      </w:tr>
      <w:tr>
        <w:tc>
          <w:tcPr>
            <w:tcW w:type="dxa" w:w="83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M2</w:t>
            </w:r>
          </w:p>
        </w:tc>
        <w:tc>
          <w:tcPr>
            <w:tcW w:type="dxa" w:w="22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系统上线试运行</w:t>
            </w:r>
          </w:p>
        </w:tc>
        <w:tc>
          <w:tcPr>
            <w:tcW w:type="dxa" w:w="156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2027-02-26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集成与性能测试达标；内网部署完成；数据初始化校验通过</w:t>
            </w:r>
          </w:p>
        </w:tc>
      </w:tr>
      <w:tr>
        <w:tc>
          <w:tcPr>
            <w:tcW w:type="dxa" w:w="83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M3</w:t>
            </w:r>
          </w:p>
        </w:tc>
        <w:tc>
          <w:tcPr>
            <w:tcW w:type="dxa" w:w="22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项目验收通过</w:t>
            </w:r>
          </w:p>
        </w:tc>
        <w:tc>
          <w:tcPr>
            <w:tcW w:type="dxa" w:w="156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2027-05-14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试运行满 2 个月无重大缺陷；文档齐全；验收会通过并签章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14 里程碑与判定标准</w:t>
      </w:r>
    </w:p>
    <w:p>
      <w:pPr>
        <w:pStyle w:val="Heading2"/>
      </w:pPr>
      <w:r>
        <w:t>5.5 关键路径与并行度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关键路径为：1.1 → 1.2 → 1.3 → 1.5 → 2.1 → 2.2 → 2.4 → 3.1 → 3.2 → 3.3 → 4.2 → 5.1。该路径上任一任务延期 1 天，整体交付即延后 1 天，周报中单独跟踪。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并行度方面，阶段二最多同时运行 5 条开发线（2.1/2.2/2.3/2.4/2.7），占用 5 名开发资源；阶段四的培训与试运行并行，实施与测试人员负荷最高，需提前把文档工作前移到阶段三。</w:t>
      </w:r>
    </w:p>
    <w:p>
      <w:pPr>
        <w:pStyle w:val="Heading2"/>
      </w:pPr>
      <w:r>
        <w:t>5.6 工期偏差说明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按本计划，验收节点为 2027-05-14（T+6.9 月），</w:t>
      </w:r>
      <w:r>
        <w:rPr>
          <w:rFonts w:ascii="宋体" w:hAnsi="宋体" w:eastAsia="宋体"/>
          <w:b/>
          <w:sz w:val="21"/>
        </w:rPr>
        <w:t>较合同约定的 T+6 月顺延约 3 周</w:t>
      </w:r>
      <w:r>
        <w:rPr>
          <w:rFonts w:ascii="宋体" w:hAnsi="宋体" w:eastAsia="宋体"/>
          <w:b w:val="0"/>
          <w:sz w:val="21"/>
        </w:rPr>
        <w:t>。偏差来源有三：一是试运行要求连续 2 个月且不得压缩；二是阶段三的测试与部署仅 3 周，已无余量吸收缺陷；三是阶段一的设计评审需要甲方参与，等待时间不可控。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建议在 M1 评审时与甲方书面确认下列三种处理方式之一：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方案 A（推荐）：验收节点顺延至 T+6.9 月，合同工期条款签署补充协议；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方案 B：压缩阶段四，培训提前至阶段三末期与部署并行，可回收约 1 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方案 C：试运行由 2 个月压缩至 6 周，但需甲方书面同意，且与本项目投标承诺不一致，存在验收争议风险。</w:t>
      </w:r>
    </w:p>
    <w:p>
      <w:r>
        <w:br w:type="page"/>
      </w:r>
    </w:p>
    <w:p>
      <w:pPr>
        <w:pStyle w:val="Heading1"/>
      </w:pPr>
      <w:r>
        <w:t>6 资源与工作量</w:t>
      </w:r>
    </w:p>
    <w:p>
      <w:pPr>
        <w:pStyle w:val="Heading2"/>
      </w:pPr>
      <w:r>
        <w:t>6.1 工作量估算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按功能模块估算开发工作量（含自测，不含现场硬件联调），单位为 W（人日）：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3330"/>
        <w:gridCol w:w="1249"/>
        <w:gridCol w:w="4266"/>
      </w:tblGrid>
      <w:tr>
        <w:trPr>
          <w:tblHeader w:val="true"/>
        </w:trPr>
        <w:tc>
          <w:tcPr>
            <w:tcW w:type="dxa" w:w="333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模块 / 工作项</w:t>
            </w:r>
          </w:p>
        </w:tc>
        <w:tc>
          <w:tcPr>
            <w:tcW w:type="dxa" w:w="124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估算(W)</w:t>
            </w:r>
          </w:p>
        </w:tc>
        <w:tc>
          <w:tcPr>
            <w:tcW w:type="dxa" w:w="426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接入层与设备台账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四类契约、模拟器、心跳与断线告警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基础数据管理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主数据 CRUD、导入导出、班次与点位配置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车牌识别与自动计次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识别流水、阈值、去重窗口、补录与复核队列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倒矿作业过程管控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四环节状态机、事件时间线、耗时统计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车辆定位与轨迹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轨迹写入与回放、围栏判定、偏差统计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告警管理与复核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规则引擎、分级、复核结论与留痕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统计查询与报表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多维聚合、预计算表、Excel/PDF 导出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系统管理与权限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RBAC、菜单权限、审计日志、备份策略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可视化看板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指标条、分布图、实时刷新与降级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移动端 H5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三屏、扫码核对、弱网缓存与同步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工程底座与非功能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环境、日志监控、离线制品、压测与调优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开发小计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154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测试（集成/性能/安全/UAT）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含用例编写与回归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文档（13 项交付文档）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按合同交付清单编制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部署实施与培训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内网部署、数据初始化、3 场次培训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项目管理与评审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例会、周报、里程碑评审、变更管理</w:t>
            </w:r>
          </w:p>
        </w:tc>
      </w:tr>
      <w:tr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249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247</w:t>
            </w:r>
          </w:p>
        </w:tc>
        <w:tc>
          <w:tcPr>
            <w:tcW w:type="dxa" w:w="4266"/>
          </w:tcPr>
          <w:p>
            <w:pPr>
              <w:spacing w:after="20" w:line="276" w:lineRule="auto"/>
            </w:pPr>
            <w:r/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15 工作量估算</w:t>
      </w:r>
    </w:p>
    <w:p>
      <w:pPr>
        <w:pStyle w:val="Heading2"/>
      </w:pPr>
      <w:r>
        <w:t>6.2 资源负荷与缺口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项目组 6 人，按 7 个月可用工时约 300 W（已扣除会议、培训与等待时间）。估算合计 247 W，整体负荷约 82%，看似有余量，但分布极不均衡：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131"/>
        <w:gridCol w:w="3085"/>
      </w:tblGrid>
      <w:tr>
        <w:trPr>
          <w:tblHeader w:val="true"/>
        </w:trPr>
        <w:tc>
          <w:tcPr>
            <w:tcW w:type="dxa" w:w="154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154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可用人力(W)</w:t>
            </w:r>
          </w:p>
        </w:tc>
        <w:tc>
          <w:tcPr>
            <w:tcW w:type="dxa" w:w="154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计划消耗(W)</w:t>
            </w:r>
          </w:p>
        </w:tc>
        <w:tc>
          <w:tcPr>
            <w:tcW w:type="dxa" w:w="113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负荷</w:t>
            </w:r>
          </w:p>
        </w:tc>
        <w:tc>
          <w:tcPr>
            <w:tcW w:type="dxa" w:w="308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风险提示</w:t>
            </w:r>
          </w:p>
        </w:tc>
      </w:tr>
      <w:tr>
        <w:tc>
          <w:tcPr>
            <w:tcW w:type="dxa" w:w="15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阶段一（6 周）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 62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13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94%</w:t>
            </w:r>
          </w:p>
        </w:tc>
        <w:tc>
          <w:tcPr>
            <w:tcW w:type="dxa" w:w="30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设计与需求并行，负责人时间被评审占用</w:t>
            </w:r>
          </w:p>
        </w:tc>
      </w:tr>
      <w:tr>
        <w:tc>
          <w:tcPr>
            <w:tcW w:type="dxa" w:w="15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阶段二（10 周）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 105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13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91%</w:t>
            </w:r>
          </w:p>
        </w:tc>
        <w:tc>
          <w:tcPr>
            <w:tcW w:type="dxa" w:w="30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 条并行开发线，算法与后端耦合点集中</w:t>
            </w:r>
          </w:p>
        </w:tc>
      </w:tr>
      <w:tr>
        <w:tc>
          <w:tcPr>
            <w:tcW w:type="dxa" w:w="15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阶段三（3 周）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 32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13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109%</w:t>
            </w:r>
          </w:p>
        </w:tc>
        <w:tc>
          <w:tcPr>
            <w:tcW w:type="dxa" w:w="30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超负荷，测试与部署必须提前准备</w:t>
            </w:r>
          </w:p>
        </w:tc>
      </w:tr>
      <w:tr>
        <w:tc>
          <w:tcPr>
            <w:tcW w:type="dxa" w:w="15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阶段四（9 周）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 90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13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51%</w:t>
            </w:r>
          </w:p>
        </w:tc>
        <w:tc>
          <w:tcPr>
            <w:tcW w:type="dxa" w:w="30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文档与回归为主，可吸收阶段三溢出</w:t>
            </w:r>
          </w:p>
        </w:tc>
      </w:tr>
      <w:tr>
        <w:tc>
          <w:tcPr>
            <w:tcW w:type="dxa" w:w="15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阶段五（2 周）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 20</w:t>
            </w:r>
          </w:p>
        </w:tc>
        <w:tc>
          <w:tcPr>
            <w:tcW w:type="dxa" w:w="154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131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60%</w:t>
            </w:r>
          </w:p>
        </w:tc>
        <w:tc>
          <w:tcPr>
            <w:tcW w:type="dxa" w:w="308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验收与移交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16 分阶段资源负荷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结论：</w:t>
      </w:r>
      <w:r>
        <w:rPr>
          <w:rFonts w:ascii="宋体" w:hAnsi="宋体" w:eastAsia="宋体"/>
          <w:b/>
          <w:sz w:val="21"/>
        </w:rPr>
        <w:t>阶段三是唯一超负荷区间</w:t>
      </w:r>
      <w:r>
        <w:rPr>
          <w:rFonts w:ascii="宋体" w:hAnsi="宋体" w:eastAsia="宋体"/>
          <w:b w:val="0"/>
          <w:sz w:val="21"/>
        </w:rPr>
        <w:t>，应对措施为：用例与压测脚本提前到阶段二编写；部署手册与初始化脚本在 2.6 完成后即开始准备；必要时借调 1 名实施人员 2 周。</w:t>
      </w:r>
    </w:p>
    <w:p>
      <w:pPr>
        <w:pStyle w:val="Heading1"/>
      </w:pPr>
      <w:r>
        <w:t>7 技术方案要点</w:t>
      </w:r>
    </w:p>
    <w:p>
      <w:pPr>
        <w:pStyle w:val="Heading2"/>
      </w:pPr>
      <w:r>
        <w:t>7.1 总体架构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采用分层架构，自下而上为：数据层（关系库 + 时序库 + 缓存 + 对象存储）、接入层（事件接收与适配）、业务层（八大模块的领域服务与规则引擎）、展示层（Web 管理端 / 看板 / H5）。接入层与业务层之间以消息队列解耦，保证峰值写入不拖慢界面查询。</w:t>
      </w:r>
    </w:p>
    <w:p>
      <w:pPr>
        <w:pStyle w:val="Heading2"/>
      </w:pPr>
      <w:r>
        <w:t>7.2 技术栈建议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353"/>
        <w:gridCol w:w="3330"/>
        <w:gridCol w:w="4162"/>
      </w:tblGrid>
      <w:tr>
        <w:trPr>
          <w:tblHeader w:val="true"/>
        </w:trPr>
        <w:tc>
          <w:tcPr>
            <w:tcW w:type="dxa" w:w="135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层次</w:t>
            </w:r>
          </w:p>
        </w:tc>
        <w:tc>
          <w:tcPr>
            <w:tcW w:type="dxa" w:w="333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选型建议</w:t>
            </w:r>
          </w:p>
        </w:tc>
        <w:tc>
          <w:tcPr>
            <w:tcW w:type="dxa" w:w="416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3 / React + 组件库；看板使用 ECharts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三端共用组件与主题变量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Java（Spring Boot）或 Python（FastAPI）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按团队熟悉度选择，需支持内网离线部署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关系库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PostgreSQL / MySQL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业务主数据与流水，按时间分区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时序库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TimescaleDB / InfluxDB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轨迹点存储与降采样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缓存与队列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Redis + Kafka / RabbitMQ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实时事件缓冲、去重窗口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对象存储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MinIO（内网）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抓拍图与导出文件</w:t>
            </w:r>
          </w:p>
        </w:tc>
      </w:tr>
      <w:tr>
        <w:tc>
          <w:tcPr>
            <w:tcW w:type="dxa" w:w="13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容器化 + 内网镜像仓</w:t>
            </w:r>
          </w:p>
        </w:tc>
        <w:tc>
          <w:tcPr>
            <w:tcW w:type="dxa" w:w="41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离线制品包，避免外网依赖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17 技术栈建议</w:t>
      </w:r>
    </w:p>
    <w:p>
      <w:pPr>
        <w:pStyle w:val="Heading2"/>
      </w:pPr>
      <w:r>
        <w:t>7.3 数据容量与分层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按 45 台车、5 秒定位间隔估算，轨迹点约 78 万点/天、2300 万点/月、2.8 亿点/年；识别与计次流水约 1.4 万条/年。因此容量与查询压力集中在轨迹表，采取「热明细 7 天 + 温聚合 90 天 + 冷归档」三层策略，并对计次与识别流水建立时间与车牌复合索引，满足百万级流水查询 ≤2 秒。</w:t>
      </w:r>
    </w:p>
    <w:p>
      <w:pPr>
        <w:pStyle w:val="Heading2"/>
      </w:pPr>
      <w:r>
        <w:t>7.4 内网与离线要求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系统全部内网部署，不依赖公有云服务与外部 CDN。前端资源、图标库、图表库、字体与地图底图均须本地化打包，交付物包含离线依赖包与校验清单；安装过程断网可完成，这是验收时必查的一项。</w:t>
      </w:r>
    </w:p>
    <w:p>
      <w:pPr>
        <w:pStyle w:val="Heading1"/>
      </w:pPr>
      <w:r>
        <w:t>8 质量与测试</w:t>
      </w:r>
    </w:p>
    <w:p>
      <w:pPr>
        <w:pStyle w:val="Heading2"/>
      </w:pPr>
      <w:r>
        <w:t>8.1 质量指标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42"/>
        <w:gridCol w:w="3121"/>
      </w:tblGrid>
      <w:tr>
        <w:trPr>
          <w:tblHeader w:val="true"/>
        </w:trPr>
        <w:tc>
          <w:tcPr>
            <w:tcW w:type="dxa" w:w="208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指标项</w:t>
            </w:r>
          </w:p>
        </w:tc>
        <w:tc>
          <w:tcPr>
            <w:tcW w:type="dxa" w:w="364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要求</w:t>
            </w:r>
          </w:p>
        </w:tc>
        <w:tc>
          <w:tcPr>
            <w:tcW w:type="dxa" w:w="312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验证方式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车牌识别准确率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按需求规格逐项核验（演示口径 99.2%）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抽样统计 + 混淆矩阵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自动计次准确率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含人工补录后逐项核验（演示口径 99.6%）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与人工台账比对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告警时延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满足考核要求（演示口径 1.8 秒）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触发至推送打点统计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并发接入能力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≥ 200 路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压测场景模拟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≥ 99.9%（按月统计）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监控平台统计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查询响应时间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 2 秒（百万级流水）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压测 + 慢查询日志</w:t>
            </w:r>
          </w:p>
        </w:tc>
      </w:tr>
      <w:tr>
        <w:tc>
          <w:tcPr>
            <w:tcW w:type="dxa" w:w="20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功能实现率</w:t>
            </w:r>
          </w:p>
        </w:tc>
        <w:tc>
          <w:tcPr>
            <w:tcW w:type="dxa" w:w="36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312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对照需求规格逐项核验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18 质量与验收指标</w:t>
      </w:r>
    </w:p>
    <w:p>
      <w:pPr>
        <w:pStyle w:val="Heading2"/>
      </w:pPr>
      <w:r>
        <w:t>8.2 测试策略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单元测试：核心规则（去重、计次、围栏、分级）覆盖率不低于 70%。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集成测试：按业务流程串测「识别→计次→告警→复核→报表」，使用模拟数据源。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性能测试：200 路并发写入、百万级流水查询、看板刷新，记录 P95 响应时间。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安全测试：越权访问、SQL 注入、敏感信息脱敏、审计日志完整性。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UAT：甲方按角色走查四大场景（司磅、调度、安全、管理），形成签字确认单。</w:t>
      </w:r>
    </w:p>
    <w:p>
      <w:pPr>
        <w:pStyle w:val="Heading2"/>
      </w:pPr>
      <w:r>
        <w:t>8.3 缺陷分级与修复时限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145"/>
        <w:gridCol w:w="3330"/>
        <w:gridCol w:w="2393"/>
        <w:gridCol w:w="1977"/>
      </w:tblGrid>
      <w:tr>
        <w:trPr>
          <w:tblHeader w:val="true"/>
        </w:trPr>
        <w:tc>
          <w:tcPr>
            <w:tcW w:type="dxa" w:w="114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级别</w:t>
            </w:r>
          </w:p>
        </w:tc>
        <w:tc>
          <w:tcPr>
            <w:tcW w:type="dxa" w:w="333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定义</w:t>
            </w:r>
          </w:p>
        </w:tc>
        <w:tc>
          <w:tcPr>
            <w:tcW w:type="dxa" w:w="239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修复时限</w:t>
            </w:r>
          </w:p>
        </w:tc>
        <w:tc>
          <w:tcPr>
            <w:tcW w:type="dxa" w:w="197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回归要求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致命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系统不可用、数据错乱、计次错误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 小时内响应，24 小时内修复</w:t>
            </w:r>
          </w:p>
        </w:tc>
        <w:tc>
          <w:tcPr>
            <w:tcW w:type="dxa" w:w="19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全量回归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主要功能不可用，无绕行方案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 小时内响应，3 日内修复</w:t>
            </w:r>
          </w:p>
        </w:tc>
        <w:tc>
          <w:tcPr>
            <w:tcW w:type="dxa" w:w="19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相关模块回归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功能缺陷但有绕行方案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日内响应，下个版本修复</w:t>
            </w:r>
          </w:p>
        </w:tc>
        <w:tc>
          <w:tcPr>
            <w:tcW w:type="dxa" w:w="19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用例回归</w:t>
            </w:r>
          </w:p>
        </w:tc>
      </w:tr>
      <w:tr>
        <w:tc>
          <w:tcPr>
            <w:tcW w:type="dxa" w:w="1145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轻微</w:t>
            </w:r>
          </w:p>
        </w:tc>
        <w:tc>
          <w:tcPr>
            <w:tcW w:type="dxa" w:w="33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界面、文案、体验问题</w:t>
            </w:r>
          </w:p>
        </w:tc>
        <w:tc>
          <w:tcPr>
            <w:tcW w:type="dxa" w:w="23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版本迭代内修复</w:t>
            </w:r>
          </w:p>
        </w:tc>
        <w:tc>
          <w:tcPr>
            <w:tcW w:type="dxa" w:w="19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抽查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19 缺陷分级与修复时限</w:t>
      </w:r>
    </w:p>
    <w:p>
      <w:r>
        <w:br w:type="page"/>
      </w:r>
    </w:p>
    <w:p>
      <w:pPr>
        <w:pStyle w:val="Heading1"/>
      </w:pPr>
      <w:r>
        <w:t>9 风险与应对</w:t>
      </w:r>
    </w:p>
    <w:p>
      <w:pPr>
        <w:pStyle w:val="Heading2"/>
      </w:pPr>
      <w:r>
        <w:t>9.1 风险登记册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590"/>
        <w:gridCol w:w="2948"/>
        <w:gridCol w:w="884"/>
        <w:gridCol w:w="786"/>
        <w:gridCol w:w="3636"/>
      </w:tblGrid>
      <w:tr>
        <w:trPr>
          <w:tblHeader w:val="true"/>
        </w:trPr>
        <w:tc>
          <w:tcPr>
            <w:tcW w:type="dxa" w:w="59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风险</w:t>
            </w:r>
          </w:p>
        </w:tc>
        <w:tc>
          <w:tcPr>
            <w:tcW w:type="dxa" w:w="88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可能性</w:t>
            </w:r>
          </w:p>
        </w:tc>
        <w:tc>
          <w:tcPr>
            <w:tcW w:type="dxa" w:w="78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影响</w:t>
            </w:r>
          </w:p>
        </w:tc>
        <w:tc>
          <w:tcPr>
            <w:tcW w:type="dxa" w:w="363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应对措施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工期与合同 6 个月不符（本计划 T+6.9）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 时书面确认验收节点；培训与试运行并行回收 1 周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R2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车牌识别准确率不达预期（夜间、雨雾、污损）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阈值可配置；人工补录兜底；算法侧预留调优时间窗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硬件未到货导致接入层无法验证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契约先行 + 模拟数据源，验收时以模拟器演示完整性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R4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 项文档冲突未确认，口径反复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 前逐项书面确认，未确认项标注「待确认」并保留追溯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R5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内网无法访问外网，依赖缺失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全部资源本地化，交付离线制品包并断网验证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R6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阶段三负荷超 100%，缺陷积压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用例与压测前置；必要时借调实施人员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R7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关键人员变动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关键岗位 AB 角；负责人更换须甲方书面同意</w:t>
            </w:r>
          </w:p>
        </w:tc>
      </w:tr>
      <w:tr>
        <w:tc>
          <w:tcPr>
            <w:tcW w:type="dxa" w:w="59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R8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轨迹数据增长超预期导致查询变慢</w:t>
            </w:r>
          </w:p>
        </w:tc>
        <w:tc>
          <w:tcPr>
            <w:tcW w:type="dxa" w:w="8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786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36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分层存储 + 预聚合 + 定期归档，上线前压测验证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20 风险登记册</w:t>
      </w:r>
    </w:p>
    <w:p>
      <w:pPr>
        <w:pStyle w:val="Heading2"/>
      </w:pPr>
      <w:r>
        <w:t>9.2 关键风险专项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R1 与 R2 是决定验收能否一次通过的两个风险，需在 M1 评审时同步确认处置方案：R1 由甲方确认验收日期，R2 由甲方确认识别准确率的统计口径（样本量、光照条件、是否含夜间）。两项口径一旦写入验收标准，后续不再调整。</w:t>
      </w:r>
    </w:p>
    <w:p>
      <w:pPr>
        <w:pStyle w:val="Heading1"/>
      </w:pPr>
      <w:r>
        <w:t>10 交付物与验收</w:t>
      </w:r>
    </w:p>
    <w:p>
      <w:pPr>
        <w:pStyle w:val="Heading2"/>
      </w:pPr>
      <w:r>
        <w:t>10.1 交付物清单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交付纸质版 2 套、电子版 1 套，计 13 项文档与配套软件：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804"/>
        <w:gridCol w:w="3790"/>
        <w:gridCol w:w="2297"/>
        <w:gridCol w:w="1953"/>
      </w:tblGrid>
      <w:tr>
        <w:trPr>
          <w:tblHeader w:val="true"/>
        </w:trPr>
        <w:tc>
          <w:tcPr>
            <w:tcW w:type="dxa" w:w="80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379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交付物</w:t>
            </w:r>
          </w:p>
        </w:tc>
        <w:tc>
          <w:tcPr>
            <w:tcW w:type="dxa" w:w="2297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责任角色</w:t>
            </w:r>
          </w:p>
        </w:tc>
        <w:tc>
          <w:tcPr>
            <w:tcW w:type="dxa" w:w="1953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交付节点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 / 文档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概要设计说明书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详细设计说明书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 / 前端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数据库设计说明书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接口设计文档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项目实施方案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阶段一末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测试方案与测试报告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实施测试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阶段三末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部署手册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实施测试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阶段三末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用户操作手册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 / 文档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阶段三末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系统运维手册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阶段三末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培训教材与培训记录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实施测试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阶段四初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试运行报告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阶段四末</w:t>
            </w:r>
          </w:p>
        </w:tc>
      </w:tr>
      <w:tr>
        <w:tc>
          <w:tcPr>
            <w:tcW w:type="dxa" w:w="80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37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项目验收报告</w:t>
            </w:r>
          </w:p>
        </w:tc>
        <w:tc>
          <w:tcPr>
            <w:tcW w:type="dxa" w:w="22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</w:t>
            </w:r>
          </w:p>
        </w:tc>
        <w:tc>
          <w:tcPr>
            <w:tcW w:type="dxa" w:w="1953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M3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21 交付物清单（13 项）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软件与技术资料另含：系统完整源代码、编译与部署脚本、第三方组件清单、系统管理员账号及全部权限。</w:t>
      </w:r>
    </w:p>
    <w:p>
      <w:pPr>
        <w:pStyle w:val="Heading2"/>
      </w:pPr>
      <w:r>
        <w:t>10.2 培训计划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172"/>
        <w:gridCol w:w="2451"/>
        <w:gridCol w:w="4049"/>
        <w:gridCol w:w="1172"/>
      </w:tblGrid>
      <w:tr>
        <w:trPr>
          <w:tblHeader w:val="true"/>
        </w:trPr>
        <w:tc>
          <w:tcPr>
            <w:tcW w:type="dxa" w:w="117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场次</w:t>
            </w:r>
          </w:p>
        </w:tc>
        <w:tc>
          <w:tcPr>
            <w:tcW w:type="dxa" w:w="2451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对象</w:t>
            </w:r>
          </w:p>
        </w:tc>
        <w:tc>
          <w:tcPr>
            <w:tcW w:type="dxa" w:w="404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重点内容</w:t>
            </w:r>
          </w:p>
        </w:tc>
        <w:tc>
          <w:tcPr>
            <w:tcW w:type="dxa" w:w="117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课时</w:t>
            </w:r>
          </w:p>
        </w:tc>
      </w:tr>
      <w:tr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第一场</w:t>
            </w:r>
          </w:p>
        </w:tc>
        <w:tc>
          <w:tcPr>
            <w:tcW w:type="dxa" w:w="245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调度员</w:t>
            </w:r>
          </w:p>
        </w:tc>
        <w:tc>
          <w:tcPr>
            <w:tcW w:type="dxa" w:w="40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看板使用、车辆调度、作业进度跟踪</w:t>
            </w:r>
          </w:p>
        </w:tc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第二场</w:t>
            </w:r>
          </w:p>
        </w:tc>
        <w:tc>
          <w:tcPr>
            <w:tcW w:type="dxa" w:w="245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司磅员</w:t>
            </w:r>
          </w:p>
        </w:tc>
        <w:tc>
          <w:tcPr>
            <w:tcW w:type="dxa" w:w="40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识别结果核对、手动补录、计次确认</w:t>
            </w:r>
          </w:p>
        </w:tc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第三场</w:t>
            </w:r>
          </w:p>
        </w:tc>
        <w:tc>
          <w:tcPr>
            <w:tcW w:type="dxa" w:w="245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系统管理员 / 安全监管</w:t>
            </w:r>
          </w:p>
        </w:tc>
        <w:tc>
          <w:tcPr>
            <w:tcW w:type="dxa" w:w="40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用户权限、阈值参数、日志备份、告警复核处置</w:t>
            </w:r>
          </w:p>
        </w:tc>
        <w:tc>
          <w:tcPr>
            <w:tcW w:type="dxa" w:w="117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22 培训计划（3 场次 12 课时）</w:t>
      </w:r>
    </w:p>
    <w:p>
      <w:pPr>
        <w:pStyle w:val="Heading2"/>
      </w:pPr>
      <w:r>
        <w:t>10.3 试运行与验收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试运行不少于 2 个月，期间系统稳定、无重大缺陷；每日记录缺陷与处理结论，形成试运行报告。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功能验收：对照《需求规格说明书》逐项核验，功能实现率 100%。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性能验收：识别准确率、计次准确率、告警时延、并发能力、可用率、查询响应全部达标。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文档验收：13 项交付文档齐全、规范、与系统实际一致。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验收组织：甲方组织验收会议，必要时邀请外部专家，形成《项目验收报告》双方签字盖章后通过。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不合格处理：乙方整改期不超过 30 日且无偿；整改后仍不合格，甲方有权解除合同，乙方退还已收款项并支付合同总价 10% 违约金。</w:t>
      </w:r>
    </w:p>
    <w:p>
      <w:pPr>
        <w:pStyle w:val="Heading1"/>
      </w:pPr>
      <w:r>
        <w:t>11 版本与配置管理</w:t>
      </w:r>
    </w:p>
    <w:p>
      <w:pPr>
        <w:pStyle w:val="Heading2"/>
      </w:pPr>
      <w:r>
        <w:t>11.1 仓库与分支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项目全部文档、线框、原型、进度计划与源代码纳入 GitHub 统一管理，采用 main（稳定基线）+ develop（集成）+ feature/*、fix/*、docs/*（工作分支）的分支模型，合并使用 --no-ff 保留合并记录。</w:t>
      </w:r>
    </w:p>
    <w:p>
      <w:pPr>
        <w:pStyle w:val="Heading2"/>
      </w:pPr>
      <w:r>
        <w:t>11.2 提交与标签规范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679"/>
        <w:gridCol w:w="7165"/>
      </w:tblGrid>
      <w:tr>
        <w:trPr>
          <w:tblHeader w:val="true"/>
        </w:trPr>
        <w:tc>
          <w:tcPr>
            <w:tcW w:type="dxa" w:w="1679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716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规范</w:t>
            </w:r>
          </w:p>
        </w:tc>
      </w:tr>
      <w:tr>
        <w:tc>
          <w:tcPr>
            <w:tcW w:type="dxa" w:w="16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提交格式</w:t>
            </w:r>
          </w:p>
        </w:tc>
        <w:tc>
          <w:tcPr>
            <w:tcW w:type="dxa" w:w="716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type(scope): 简述，scope 取 prototype / wireframe / docs / repo / plan</w:t>
            </w:r>
          </w:p>
        </w:tc>
      </w:tr>
      <w:tr>
        <w:tc>
          <w:tcPr>
            <w:tcW w:type="dxa" w:w="16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提交粒度</w:t>
            </w:r>
          </w:p>
        </w:tc>
        <w:tc>
          <w:tcPr>
            <w:tcW w:type="dxa" w:w="716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一次提交只做一件事；页面按页提交，文档按章提交</w:t>
            </w:r>
          </w:p>
        </w:tc>
      </w:tr>
      <w:tr>
        <w:tc>
          <w:tcPr>
            <w:tcW w:type="dxa" w:w="16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版本标签</w:t>
            </w:r>
          </w:p>
        </w:tc>
        <w:tc>
          <w:tcPr>
            <w:tcW w:type="dxa" w:w="716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v0.2.1 起按语义化版本打标签，标签说明包含本次修订内容</w:t>
            </w:r>
          </w:p>
        </w:tc>
      </w:tr>
      <w:tr>
        <w:tc>
          <w:tcPr>
            <w:tcW w:type="dxa" w:w="16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基线对应</w:t>
            </w:r>
          </w:p>
        </w:tc>
        <w:tc>
          <w:tcPr>
            <w:tcW w:type="dxa" w:w="716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需求基线 V0.9 → v0.9.x；基线冻结 V1.0 → v1.0.0</w:t>
            </w:r>
          </w:p>
        </w:tc>
      </w:tr>
      <w:tr>
        <w:tc>
          <w:tcPr>
            <w:tcW w:type="dxa" w:w="16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忽略文件</w:t>
            </w:r>
          </w:p>
        </w:tc>
        <w:tc>
          <w:tcPr>
            <w:tcW w:type="dxa" w:w="716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系统临时文件、Office 锁文件（~$*）、依赖与构建产物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23 提交与标签规范</w:t>
      </w:r>
    </w:p>
    <w:p>
      <w:pPr>
        <w:pStyle w:val="Heading2"/>
      </w:pPr>
      <w:r>
        <w:t>11.3 本版本（V0.2.1）配置项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3582"/>
        <w:gridCol w:w="1120"/>
        <w:gridCol w:w="4142"/>
      </w:tblGrid>
      <w:tr>
        <w:trPr>
          <w:tblHeader w:val="true"/>
        </w:trPr>
        <w:tc>
          <w:tcPr>
            <w:tcW w:type="dxa" w:w="358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配置项</w:t>
            </w:r>
          </w:p>
        </w:tc>
        <w:tc>
          <w:tcPr>
            <w:tcW w:type="dxa" w:w="1120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4142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58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系统开发实施计划文档</w:t>
            </w:r>
          </w:p>
        </w:tc>
        <w:tc>
          <w:tcPr>
            <w:tcW w:type="dxa" w:w="112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修订</w:t>
            </w:r>
          </w:p>
        </w:tc>
        <w:tc>
          <w:tcPr>
            <w:tcW w:type="dxa" w:w="41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本文件，V0.2.1</w:t>
            </w:r>
          </w:p>
        </w:tc>
      </w:tr>
      <w:tr>
        <w:tc>
          <w:tcPr>
            <w:tcW w:type="dxa" w:w="358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招标书 / 投标书 / 技术开发（委托）合同</w:t>
            </w:r>
          </w:p>
        </w:tc>
        <w:tc>
          <w:tcPr>
            <w:tcW w:type="dxa" w:w="112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纳入</w:t>
            </w:r>
          </w:p>
        </w:tc>
        <w:tc>
          <w:tcPr>
            <w:tcW w:type="dxa" w:w="41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需求基线来源，置于「招投标书及合同，需求文件」目录</w:t>
            </w:r>
          </w:p>
        </w:tc>
      </w:tr>
      <w:tr>
        <w:tc>
          <w:tcPr>
            <w:tcW w:type="dxa" w:w="358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项目1.mpp 进度计划</w:t>
            </w:r>
          </w:p>
        </w:tc>
        <w:tc>
          <w:tcPr>
            <w:tcW w:type="dxa" w:w="112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41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WBS 与里程碑的数据来源，置于「进度计划」目录</w:t>
            </w:r>
          </w:p>
        </w:tc>
      </w:tr>
      <w:tr>
        <w:tc>
          <w:tcPr>
            <w:tcW w:type="dxa" w:w="358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线框页面（8 页）</w:t>
            </w:r>
          </w:p>
        </w:tc>
        <w:tc>
          <w:tcPr>
            <w:tcW w:type="dxa" w:w="112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沿用</w:t>
            </w:r>
          </w:p>
        </w:tc>
        <w:tc>
          <w:tcPr>
            <w:tcW w:type="dxa" w:w="41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v0.9.0 基线，未变更</w:t>
            </w:r>
          </w:p>
        </w:tc>
      </w:tr>
      <w:tr>
        <w:tc>
          <w:tcPr>
            <w:tcW w:type="dxa" w:w="358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原型页面（8 页）</w:t>
            </w:r>
          </w:p>
        </w:tc>
        <w:tc>
          <w:tcPr>
            <w:tcW w:type="dxa" w:w="1120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沿用</w:t>
            </w:r>
          </w:p>
        </w:tc>
        <w:tc>
          <w:tcPr>
            <w:tcW w:type="dxa" w:w="414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v0.9.0 基线，未变更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24 V0.2.1 配置项</w:t>
      </w:r>
    </w:p>
    <w:p>
      <w:pPr>
        <w:pStyle w:val="Heading1"/>
      </w:pPr>
      <w:r>
        <w:t>12 附录</w:t>
      </w:r>
    </w:p>
    <w:p>
      <w:pPr>
        <w:pStyle w:val="Heading2"/>
      </w:pPr>
      <w:r>
        <w:t>附录 A 关键业务口径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4254"/>
        <w:gridCol w:w="2575"/>
      </w:tblGrid>
      <w:tr>
        <w:trPr>
          <w:tblHeader w:val="true"/>
        </w:trPr>
        <w:tc>
          <w:tcPr>
            <w:tcW w:type="dxa" w:w="201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口径</w:t>
            </w:r>
          </w:p>
        </w:tc>
        <w:tc>
          <w:tcPr>
            <w:tcW w:type="dxa" w:w="425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取值</w:t>
            </w:r>
          </w:p>
        </w:tc>
        <w:tc>
          <w:tcPr>
            <w:tcW w:type="dxa" w:w="2575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来源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自动计次阈值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置信度 ≥ 90%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 / 原型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人工复核区间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置信度 70%–90%，复核时限 20 秒/条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 / 投标承诺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识别失败判定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置信度 &lt; 70%，转人工补录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重复计数控制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同一车辆 5 分钟内去重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告警分级响应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紧急 2 分钟内、重要 5 分钟内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投标文件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定位精度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验收底线 ≤ 10 米，刷新间隔 5 秒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/ 投标（投标承诺 ≤1 米，待确认）</w:t>
            </w:r>
          </w:p>
        </w:tc>
      </w:tr>
      <w:tr>
        <w:tc>
          <w:tcPr>
            <w:tcW w:type="dxa" w:w="20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售后响应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7×24；一般 4 小时响应 / 8 小时解决；重大 2 小时响应 / 24 小时到场</w:t>
            </w:r>
          </w:p>
        </w:tc>
        <w:tc>
          <w:tcPr>
            <w:tcW w:type="dxa" w:w="25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投标文件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25 关键业务口径</w:t>
      </w:r>
    </w:p>
    <w:p>
      <w:pPr>
        <w:pStyle w:val="Heading2"/>
      </w:pPr>
      <w:r>
        <w:t>附录 B 待确认事项（摘自需求分析会议）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784"/>
        <w:gridCol w:w="4254"/>
        <w:gridCol w:w="3806"/>
      </w:tblGrid>
      <w:tr>
        <w:trPr>
          <w:tblHeader w:val="true"/>
        </w:trPr>
        <w:tc>
          <w:tcPr>
            <w:tcW w:type="dxa" w:w="78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4254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待确认项</w:t>
            </w:r>
          </w:p>
        </w:tc>
        <w:tc>
          <w:tcPr>
            <w:tcW w:type="dxa" w:w="3806"/>
            <w:shd w:val="clear" w:color="auto" w:fill="E8EDF3"/>
          </w:tcPr>
          <w:p>
            <w:pPr>
              <w:spacing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建议处理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质保期：合同 12 个月 / 投标 18 个月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18 个月执行并签补充协议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定位精度：合同 ≤10 米 / 投标 ≤1 米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 ≤10 米为验收底线，≤1 米作为正偏离承诺需明确测试条件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项目负责人与投标团队表不一致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统一并书面确认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井工矿是否本期实施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本期露天为主，预留二期接口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误报率 ≤2%、复核 ≤20 秒/条是否强制验收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纳入试运行考核，强制与否由甲方确认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基础平台与通用组件授权边界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合同附件列明清单与授权范围</w:t>
            </w:r>
          </w:p>
        </w:tc>
      </w:tr>
      <w:tr>
        <w:tc>
          <w:tcPr>
            <w:tcW w:type="dxa" w:w="784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42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合同空白项</w:t>
            </w:r>
          </w:p>
        </w:tc>
        <w:tc>
          <w:tcPr>
            <w:tcW w:type="dxa" w:w="38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逐项补充确认后签署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555555"/>
          <w:sz w:val="18"/>
        </w:rPr>
        <w:t>表 26 待确认事项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fldSimple w:instr="PAGE"/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