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20051">
      <w:bookmarkStart w:id="0" w:name="_GoBack"/>
      <w:bookmarkEnd w:id="0"/>
    </w:p>
    <w:p w14:paraId="4D2A1FFD"/>
    <w:p w14:paraId="5042A2AE"/>
    <w:p w14:paraId="19BBB8FA"/>
    <w:p w14:paraId="0E41CAA3">
      <w:pPr>
        <w:spacing w:after="200" w:line="360" w:lineRule="auto"/>
        <w:jc w:val="center"/>
      </w:pPr>
      <w:r>
        <w:rPr>
          <w:rFonts w:ascii="Times New Roman" w:hAnsi="Times New Roman" w:eastAsia="宋体"/>
          <w:b w:val="0"/>
          <w:sz w:val="24"/>
        </w:rPr>
        <w:t>合同编号：HXKY-HT-2026-××</w:t>
      </w:r>
    </w:p>
    <w:p w14:paraId="265A8FF1">
      <w:pPr>
        <w:spacing w:after="200" w:line="360" w:lineRule="auto"/>
        <w:jc w:val="center"/>
      </w:pPr>
    </w:p>
    <w:p w14:paraId="5003DA0C">
      <w:pPr>
        <w:spacing w:after="200" w:line="360" w:lineRule="auto"/>
        <w:jc w:val="center"/>
      </w:pPr>
      <w:r>
        <w:rPr>
          <w:rFonts w:ascii="Times New Roman" w:hAnsi="Times New Roman" w:eastAsia="黑体"/>
          <w:b/>
          <w:sz w:val="60"/>
        </w:rPr>
        <w:t>技术开发（委托）合同</w:t>
      </w:r>
    </w:p>
    <w:p w14:paraId="1BFFCDB1">
      <w:pPr>
        <w:spacing w:after="200" w:line="360" w:lineRule="auto"/>
        <w:jc w:val="center"/>
      </w:pPr>
    </w:p>
    <w:p w14:paraId="5A985ABE">
      <w:pPr>
        <w:spacing w:after="200" w:line="360" w:lineRule="auto"/>
        <w:jc w:val="center"/>
      </w:pPr>
      <w:r>
        <w:rPr>
          <w:rFonts w:ascii="Times New Roman" w:hAnsi="Times New Roman" w:eastAsia="宋体"/>
          <w:b w:val="0"/>
          <w:sz w:val="28"/>
        </w:rPr>
        <w:t>项目名称：矿井货车倒矿智能管控系统开发项目</w:t>
      </w:r>
    </w:p>
    <w:p w14:paraId="57962B1D"/>
    <w:p w14:paraId="04FA5253"/>
    <w:p w14:paraId="4687DE9D"/>
    <w:p w14:paraId="6BCE8030">
      <w:pPr>
        <w:spacing w:after="120"/>
        <w:jc w:val="center"/>
      </w:pPr>
      <w:r>
        <w:rPr>
          <w:rFonts w:ascii="Times New Roman" w:hAnsi="Times New Roman" w:eastAsia="宋体"/>
          <w:b w:val="0"/>
          <w:sz w:val="28"/>
        </w:rPr>
        <w:t>委 托 方（甲方）：</w:t>
      </w:r>
      <w:r>
        <w:rPr>
          <w:rFonts w:hint="eastAsia"/>
          <w:b w:val="0"/>
          <w:sz w:val="28"/>
          <w:lang w:eastAsia="zh-CN"/>
        </w:rPr>
        <w:t>华盛</w:t>
      </w:r>
      <w:r>
        <w:rPr>
          <w:rFonts w:ascii="Times New Roman" w:hAnsi="Times New Roman" w:eastAsia="宋体"/>
          <w:b w:val="0"/>
          <w:sz w:val="28"/>
        </w:rPr>
        <w:t>矿业（集团）有限公司</w:t>
      </w:r>
    </w:p>
    <w:p w14:paraId="69373C1B">
      <w:pPr>
        <w:spacing w:after="120"/>
        <w:jc w:val="center"/>
        <w:rPr>
          <w:rFonts w:ascii="Times New Roman" w:hAnsi="Times New Roman" w:eastAsia="宋体"/>
          <w:b w:val="0"/>
          <w:sz w:val="28"/>
        </w:rPr>
      </w:pPr>
      <w:r>
        <w:rPr>
          <w:rFonts w:ascii="Times New Roman" w:hAnsi="Times New Roman" w:eastAsia="宋体"/>
          <w:b w:val="0"/>
          <w:sz w:val="28"/>
        </w:rPr>
        <w:t>受 托 方（乙方）：武汉</w:t>
      </w:r>
      <w:r>
        <w:rPr>
          <w:rFonts w:hint="eastAsia"/>
          <w:b w:val="0"/>
          <w:sz w:val="28"/>
          <w:lang w:eastAsia="zh-CN"/>
        </w:rPr>
        <w:t>黑曜石</w:t>
      </w:r>
      <w:r>
        <w:rPr>
          <w:rFonts w:ascii="Times New Roman" w:hAnsi="Times New Roman" w:eastAsia="宋体"/>
          <w:b w:val="0"/>
          <w:sz w:val="28"/>
        </w:rPr>
        <w:t>信息科技有限公司</w:t>
      </w:r>
    </w:p>
    <w:p w14:paraId="0ABBB67D">
      <w:pPr>
        <w:spacing w:after="120"/>
        <w:jc w:val="center"/>
        <w:rPr>
          <w:rFonts w:hint="eastAsia" w:ascii="Times New Roman" w:hAnsi="Times New Roman" w:eastAsia="宋体"/>
          <w:b w:val="0"/>
          <w:sz w:val="28"/>
          <w:lang w:val="en-US" w:eastAsia="zh-CN"/>
        </w:rPr>
      </w:pPr>
      <w:r>
        <w:rPr>
          <w:rFonts w:hint="eastAsia" w:ascii="Times New Roman" w:hAnsi="Times New Roman" w:eastAsia="宋体"/>
          <w:b w:val="0"/>
          <w:sz w:val="28"/>
          <w:lang w:val="en-US" w:eastAsia="zh-CN"/>
        </w:rPr>
        <w:t>第八组</w:t>
      </w:r>
    </w:p>
    <w:p w14:paraId="0CA2977C">
      <w:pPr>
        <w:spacing w:after="120"/>
        <w:jc w:val="center"/>
        <w:rPr>
          <w:rFonts w:hint="default" w:ascii="Times New Roman" w:hAnsi="Times New Roman" w:eastAsia="宋体"/>
          <w:b w:val="0"/>
          <w:sz w:val="28"/>
          <w:lang w:val="en-US" w:eastAsia="zh-CN"/>
        </w:rPr>
      </w:pPr>
      <w:r>
        <w:rPr>
          <w:rFonts w:hint="eastAsia" w:ascii="Times New Roman" w:hAnsi="Times New Roman" w:eastAsia="宋体"/>
          <w:b w:val="0"/>
          <w:sz w:val="28"/>
          <w:lang w:val="en-US" w:eastAsia="zh-CN"/>
        </w:rPr>
        <w:t>成员：刘展硕，马鼎盛，尚嘉鹏，洪誉文，张宇琪，胡良安</w:t>
      </w:r>
    </w:p>
    <w:p w14:paraId="1C76688B"/>
    <w:p w14:paraId="17E65563"/>
    <w:p w14:paraId="65B7BD8E"/>
    <w:p w14:paraId="1229E4AC"/>
    <w:p w14:paraId="19EF0B70">
      <w:pPr>
        <w:spacing w:after="80"/>
        <w:jc w:val="center"/>
      </w:pPr>
      <w:r>
        <w:rPr>
          <w:rFonts w:ascii="Times New Roman" w:hAnsi="Times New Roman" w:eastAsia="宋体"/>
          <w:b w:val="0"/>
          <w:sz w:val="28"/>
        </w:rPr>
        <w:t>签订时间：    年   月   日</w:t>
      </w:r>
    </w:p>
    <w:p w14:paraId="7F5626A7">
      <w:pPr>
        <w:spacing w:after="80"/>
        <w:jc w:val="center"/>
      </w:pPr>
      <w:r>
        <w:rPr>
          <w:rFonts w:ascii="Times New Roman" w:hAnsi="Times New Roman" w:eastAsia="宋体"/>
          <w:b w:val="0"/>
          <w:sz w:val="28"/>
        </w:rPr>
        <w:t>签订地点：山西省晋中市</w:t>
      </w:r>
    </w:p>
    <w:p w14:paraId="633DBFAC">
      <w:pPr>
        <w:spacing w:after="80"/>
        <w:jc w:val="center"/>
      </w:pPr>
      <w:r>
        <w:rPr>
          <w:rFonts w:ascii="Times New Roman" w:hAnsi="Times New Roman" w:eastAsia="宋体"/>
          <w:b w:val="0"/>
          <w:sz w:val="28"/>
        </w:rPr>
        <w:t>有效期限：    年  月  日 至    年  月  日</w:t>
      </w:r>
    </w:p>
    <w:p w14:paraId="733FDE9E">
      <w:r>
        <w:br w:type="page"/>
      </w:r>
    </w:p>
    <w:p w14:paraId="350C5661">
      <w:pPr>
        <w:spacing w:before="0" w:after="120" w:line="360" w:lineRule="auto"/>
        <w:ind w:firstLine="480"/>
      </w:pPr>
      <w:r>
        <w:rPr>
          <w:rFonts w:ascii="Times New Roman" w:hAnsi="Times New Roman" w:eastAsia="宋体"/>
          <w:b w:val="0"/>
          <w:sz w:val="24"/>
        </w:rPr>
        <w:t>本合同甲方委托乙方研究开发矿井货车倒矿智能管控系统开发项目（车牌识别、卸货次数自动统计、电子围栏），并支付研究开发经费和报酬，乙方接受委托并进行此项研究开发工作。双方经过平等协商，在真实、充分地表达各自意愿的基础上，根据《中华人民共和国民法典》的规定，达成如下协议，并由双方共同恪守。</w:t>
      </w:r>
    </w:p>
    <w:p w14:paraId="09A6EEAA">
      <w:pPr>
        <w:spacing w:before="240" w:after="200" w:line="360" w:lineRule="auto"/>
        <w:jc w:val="center"/>
      </w:pPr>
      <w:r>
        <w:rPr>
          <w:rFonts w:ascii="Times New Roman" w:hAnsi="Times New Roman" w:eastAsia="黑体"/>
          <w:b/>
          <w:sz w:val="32"/>
        </w:rPr>
        <w:t>第一条  本合同研究开发项目的要求如下：</w:t>
      </w:r>
    </w:p>
    <w:p w14:paraId="46DF25DD">
      <w:pPr>
        <w:spacing w:before="0" w:after="120" w:line="360" w:lineRule="auto"/>
        <w:ind w:firstLine="480"/>
      </w:pPr>
      <w:r>
        <w:rPr>
          <w:rFonts w:ascii="Times New Roman" w:hAnsi="Times New Roman" w:eastAsia="宋体"/>
          <w:b w:val="0"/>
          <w:sz w:val="24"/>
        </w:rPr>
        <w:t>1．技术目标：</w:t>
      </w:r>
    </w:p>
    <w:p w14:paraId="3D328B14">
      <w:pPr>
        <w:spacing w:before="0" w:after="120" w:line="360" w:lineRule="auto"/>
        <w:ind w:firstLine="480"/>
      </w:pPr>
      <w:r>
        <w:rPr>
          <w:rFonts w:ascii="Times New Roman" w:hAnsi="Times New Roman" w:eastAsia="宋体"/>
          <w:b w:val="0"/>
          <w:sz w:val="24"/>
        </w:rPr>
        <w:t>（1）项目主要开发内容：开发一套适用于矿井（露天及井工）场景的货车倒矿智能管控系统，实现三大核心能力：①矿区出入口及卸矿点的车辆车牌自动识别与车辆档案管理；②基于多源数据交叉校验的卸货（倒矿）次数自动统计与防作弊；③卸矿点、排土场、禁行区等作业区域的电子围栏管控与越界告警。并实现数据统计可视化、预警处置闭环、对外接口对接与移动端应用。</w:t>
      </w:r>
    </w:p>
    <w:p w14:paraId="7F858C0B">
      <w:pPr>
        <w:spacing w:before="0" w:after="120" w:line="360" w:lineRule="auto"/>
        <w:ind w:firstLine="480"/>
      </w:pPr>
      <w:r>
        <w:rPr>
          <w:rFonts w:ascii="Times New Roman" w:hAnsi="Times New Roman" w:eastAsia="宋体"/>
          <w:b w:val="0"/>
          <w:sz w:val="24"/>
        </w:rPr>
        <w:t>（2）本项目属于：系统的研究开发（计算机软件系统及行业应用软件的开发）。</w:t>
      </w:r>
    </w:p>
    <w:p w14:paraId="6B694AE7">
      <w:pPr>
        <w:spacing w:before="0" w:after="120" w:line="360" w:lineRule="auto"/>
        <w:ind w:firstLine="480"/>
      </w:pPr>
      <w:r>
        <w:rPr>
          <w:rFonts w:ascii="Times New Roman" w:hAnsi="Times New Roman" w:eastAsia="宋体"/>
          <w:b w:val="0"/>
          <w:sz w:val="24"/>
        </w:rPr>
        <w:t>（3）所开发项目要达到的技术标准（技术指标和参数，作为验收依据）：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3175"/>
        <w:gridCol w:w="4535"/>
      </w:tblGrid>
      <w:tr w14:paraId="295E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EE2B765">
            <w:pPr>
              <w:spacing w:before="40" w:after="40" w:line="276" w:lineRule="auto"/>
              <w:jc w:val="center"/>
            </w:pPr>
            <w:r>
              <w:rPr>
                <w:rFonts w:ascii="Times New Roman" w:hAnsi="Times New Roman" w:eastAsia="黑体"/>
                <w:b/>
                <w:sz w:val="19"/>
              </w:rPr>
              <w:t>序号</w:t>
            </w:r>
          </w:p>
        </w:tc>
        <w:tc>
          <w:tcPr>
            <w:tcW w:w="3175" w:type="dxa"/>
          </w:tcPr>
          <w:p w14:paraId="46D3971C">
            <w:pPr>
              <w:spacing w:before="40" w:after="40" w:line="276" w:lineRule="auto"/>
              <w:jc w:val="center"/>
            </w:pPr>
            <w:r>
              <w:rPr>
                <w:rFonts w:ascii="Times New Roman" w:hAnsi="Times New Roman" w:eastAsia="黑体"/>
                <w:b/>
                <w:sz w:val="19"/>
              </w:rPr>
              <w:t>技术指标</w:t>
            </w:r>
          </w:p>
        </w:tc>
        <w:tc>
          <w:tcPr>
            <w:tcW w:w="4535" w:type="dxa"/>
          </w:tcPr>
          <w:p w14:paraId="63D91F59">
            <w:pPr>
              <w:spacing w:before="40" w:after="40" w:line="276" w:lineRule="auto"/>
              <w:jc w:val="center"/>
            </w:pPr>
            <w:r>
              <w:rPr>
                <w:rFonts w:ascii="Times New Roman" w:hAnsi="Times New Roman" w:eastAsia="黑体"/>
                <w:b/>
                <w:sz w:val="19"/>
              </w:rPr>
              <w:t>参数要求</w:t>
            </w:r>
          </w:p>
        </w:tc>
      </w:tr>
      <w:tr w14:paraId="1F992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987F273">
            <w:pPr>
              <w:spacing w:before="40" w:after="40" w:line="276" w:lineRule="auto"/>
            </w:pPr>
            <w:r>
              <w:rPr>
                <w:rFonts w:ascii="Times New Roman" w:hAnsi="Times New Roman" w:eastAsia="宋体"/>
                <w:b w:val="0"/>
                <w:sz w:val="19"/>
              </w:rPr>
              <w:t>1</w:t>
            </w:r>
          </w:p>
        </w:tc>
        <w:tc>
          <w:tcPr>
            <w:tcW w:w="3175" w:type="dxa"/>
          </w:tcPr>
          <w:p w14:paraId="1A06EE49">
            <w:pPr>
              <w:spacing w:before="40" w:after="40" w:line="276" w:lineRule="auto"/>
            </w:pPr>
            <w:r>
              <w:rPr>
                <w:rFonts w:ascii="Times New Roman" w:hAnsi="Times New Roman" w:eastAsia="宋体"/>
                <w:b w:val="0"/>
                <w:sz w:val="19"/>
              </w:rPr>
              <w:t>车牌识别准确率</w:t>
            </w:r>
          </w:p>
        </w:tc>
        <w:tc>
          <w:tcPr>
            <w:tcW w:w="4535" w:type="dxa"/>
          </w:tcPr>
          <w:p w14:paraId="7BC680C7">
            <w:pPr>
              <w:spacing w:before="40" w:after="40" w:line="276" w:lineRule="auto"/>
            </w:pPr>
            <w:r>
              <w:rPr>
                <w:rFonts w:ascii="Times New Roman" w:hAnsi="Times New Roman" w:eastAsia="宋体"/>
                <w:b w:val="0"/>
                <w:sz w:val="19"/>
              </w:rPr>
              <w:t>白天 ≥ 98%；夜间及雨雾、粉尘等恶劣工况 ≥ 96%</w:t>
            </w:r>
          </w:p>
        </w:tc>
      </w:tr>
      <w:tr w14:paraId="428C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07F7839">
            <w:pPr>
              <w:spacing w:before="40" w:after="40" w:line="276" w:lineRule="auto"/>
            </w:pPr>
            <w:r>
              <w:rPr>
                <w:rFonts w:ascii="Times New Roman" w:hAnsi="Times New Roman" w:eastAsia="宋体"/>
                <w:b w:val="0"/>
                <w:sz w:val="19"/>
              </w:rPr>
              <w:t>2</w:t>
            </w:r>
          </w:p>
        </w:tc>
        <w:tc>
          <w:tcPr>
            <w:tcW w:w="3175" w:type="dxa"/>
          </w:tcPr>
          <w:p w14:paraId="5D4F4515">
            <w:pPr>
              <w:spacing w:before="40" w:after="40" w:line="276" w:lineRule="auto"/>
            </w:pPr>
            <w:r>
              <w:rPr>
                <w:rFonts w:ascii="Times New Roman" w:hAnsi="Times New Roman" w:eastAsia="宋体"/>
                <w:b w:val="0"/>
                <w:sz w:val="19"/>
              </w:rPr>
              <w:t>单帧识别耗时</w:t>
            </w:r>
          </w:p>
        </w:tc>
        <w:tc>
          <w:tcPr>
            <w:tcW w:w="4535" w:type="dxa"/>
          </w:tcPr>
          <w:p w14:paraId="6FC21193">
            <w:pPr>
              <w:spacing w:before="40" w:after="40" w:line="276" w:lineRule="auto"/>
            </w:pPr>
            <w:r>
              <w:rPr>
                <w:rFonts w:ascii="Times New Roman" w:hAnsi="Times New Roman" w:eastAsia="宋体"/>
                <w:b w:val="0"/>
                <w:sz w:val="19"/>
              </w:rPr>
              <w:t>平均 ≤ 300 毫秒</w:t>
            </w:r>
          </w:p>
        </w:tc>
      </w:tr>
      <w:tr w14:paraId="6928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D286C2F">
            <w:pPr>
              <w:spacing w:before="40" w:after="40" w:line="276" w:lineRule="auto"/>
            </w:pPr>
            <w:r>
              <w:rPr>
                <w:rFonts w:ascii="Times New Roman" w:hAnsi="Times New Roman" w:eastAsia="宋体"/>
                <w:b w:val="0"/>
                <w:sz w:val="19"/>
              </w:rPr>
              <w:t>3</w:t>
            </w:r>
          </w:p>
        </w:tc>
        <w:tc>
          <w:tcPr>
            <w:tcW w:w="3175" w:type="dxa"/>
          </w:tcPr>
          <w:p w14:paraId="274B4F12">
            <w:pPr>
              <w:spacing w:before="40" w:after="40" w:line="276" w:lineRule="auto"/>
            </w:pPr>
            <w:r>
              <w:rPr>
                <w:rFonts w:ascii="Times New Roman" w:hAnsi="Times New Roman" w:eastAsia="宋体"/>
                <w:b w:val="0"/>
                <w:sz w:val="19"/>
              </w:rPr>
              <w:t>有效卸货车次判定准确率</w:t>
            </w:r>
          </w:p>
        </w:tc>
        <w:tc>
          <w:tcPr>
            <w:tcW w:w="4535" w:type="dxa"/>
          </w:tcPr>
          <w:p w14:paraId="5523A514">
            <w:pPr>
              <w:spacing w:before="40" w:after="40" w:line="276" w:lineRule="auto"/>
            </w:pPr>
            <w:r>
              <w:rPr>
                <w:rFonts w:ascii="Times New Roman" w:hAnsi="Times New Roman" w:eastAsia="宋体"/>
                <w:b w:val="0"/>
                <w:sz w:val="19"/>
              </w:rPr>
              <w:t>≥ 99.5%</w:t>
            </w:r>
          </w:p>
        </w:tc>
      </w:tr>
      <w:tr w14:paraId="21B1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35C7036">
            <w:pPr>
              <w:spacing w:before="40" w:after="40" w:line="276" w:lineRule="auto"/>
            </w:pPr>
            <w:r>
              <w:rPr>
                <w:rFonts w:ascii="Times New Roman" w:hAnsi="Times New Roman" w:eastAsia="宋体"/>
                <w:b w:val="0"/>
                <w:sz w:val="19"/>
              </w:rPr>
              <w:t>4</w:t>
            </w:r>
          </w:p>
        </w:tc>
        <w:tc>
          <w:tcPr>
            <w:tcW w:w="3175" w:type="dxa"/>
          </w:tcPr>
          <w:p w14:paraId="09AB2381">
            <w:pPr>
              <w:spacing w:before="40" w:after="40" w:line="276" w:lineRule="auto"/>
            </w:pPr>
            <w:r>
              <w:rPr>
                <w:rFonts w:ascii="Times New Roman" w:hAnsi="Times New Roman" w:eastAsia="宋体"/>
                <w:b w:val="0"/>
                <w:sz w:val="19"/>
              </w:rPr>
              <w:t>围栏数量</w:t>
            </w:r>
          </w:p>
        </w:tc>
        <w:tc>
          <w:tcPr>
            <w:tcW w:w="4535" w:type="dxa"/>
          </w:tcPr>
          <w:p w14:paraId="727EDCAD">
            <w:pPr>
              <w:spacing w:before="40" w:after="40" w:line="276" w:lineRule="auto"/>
            </w:pPr>
            <w:r>
              <w:rPr>
                <w:rFonts w:ascii="Times New Roman" w:hAnsi="Times New Roman" w:eastAsia="宋体"/>
                <w:b w:val="0"/>
                <w:sz w:val="19"/>
              </w:rPr>
              <w:t>≥ 50 个（支持多边形与圆形，可配置生效时段与车辆分组）</w:t>
            </w:r>
          </w:p>
        </w:tc>
      </w:tr>
      <w:tr w14:paraId="0D32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10CE7E6">
            <w:pPr>
              <w:spacing w:before="40" w:after="40" w:line="276" w:lineRule="auto"/>
            </w:pPr>
            <w:r>
              <w:rPr>
                <w:rFonts w:ascii="Times New Roman" w:hAnsi="Times New Roman" w:eastAsia="宋体"/>
                <w:b w:val="0"/>
                <w:sz w:val="19"/>
              </w:rPr>
              <w:t>5</w:t>
            </w:r>
          </w:p>
        </w:tc>
        <w:tc>
          <w:tcPr>
            <w:tcW w:w="3175" w:type="dxa"/>
          </w:tcPr>
          <w:p w14:paraId="16419384">
            <w:pPr>
              <w:spacing w:before="40" w:after="40" w:line="276" w:lineRule="auto"/>
            </w:pPr>
            <w:r>
              <w:rPr>
                <w:rFonts w:ascii="Times New Roman" w:hAnsi="Times New Roman" w:eastAsia="宋体"/>
                <w:b w:val="0"/>
                <w:sz w:val="19"/>
              </w:rPr>
              <w:t>越界/非指定区域卸矿告警时延</w:t>
            </w:r>
          </w:p>
        </w:tc>
        <w:tc>
          <w:tcPr>
            <w:tcW w:w="4535" w:type="dxa"/>
          </w:tcPr>
          <w:p w14:paraId="6629A405">
            <w:pPr>
              <w:spacing w:before="40" w:after="40" w:line="276" w:lineRule="auto"/>
            </w:pPr>
            <w:r>
              <w:rPr>
                <w:rFonts w:ascii="Times New Roman" w:hAnsi="Times New Roman" w:eastAsia="宋体"/>
                <w:b w:val="0"/>
                <w:sz w:val="19"/>
              </w:rPr>
              <w:t>≤ 3 秒</w:t>
            </w:r>
          </w:p>
        </w:tc>
      </w:tr>
      <w:tr w14:paraId="0A9EA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D0F0615">
            <w:pPr>
              <w:spacing w:before="40" w:after="40" w:line="276" w:lineRule="auto"/>
            </w:pPr>
            <w:r>
              <w:rPr>
                <w:rFonts w:ascii="Times New Roman" w:hAnsi="Times New Roman" w:eastAsia="宋体"/>
                <w:b w:val="0"/>
                <w:sz w:val="19"/>
              </w:rPr>
              <w:t>6</w:t>
            </w:r>
          </w:p>
        </w:tc>
        <w:tc>
          <w:tcPr>
            <w:tcW w:w="3175" w:type="dxa"/>
          </w:tcPr>
          <w:p w14:paraId="2C6F7620">
            <w:pPr>
              <w:spacing w:before="40" w:after="40" w:line="276" w:lineRule="auto"/>
            </w:pPr>
            <w:r>
              <w:rPr>
                <w:rFonts w:ascii="Times New Roman" w:hAnsi="Times New Roman" w:eastAsia="宋体"/>
                <w:b w:val="0"/>
                <w:sz w:val="19"/>
              </w:rPr>
              <w:t>定位精度</w:t>
            </w:r>
          </w:p>
        </w:tc>
        <w:tc>
          <w:tcPr>
            <w:tcW w:w="4535" w:type="dxa"/>
          </w:tcPr>
          <w:p w14:paraId="626B4AFC">
            <w:pPr>
              <w:spacing w:before="40" w:after="40" w:line="276" w:lineRule="auto"/>
            </w:pPr>
            <w:r>
              <w:rPr>
                <w:rFonts w:ascii="Times New Roman" w:hAnsi="Times New Roman" w:eastAsia="宋体"/>
                <w:b w:val="0"/>
                <w:sz w:val="19"/>
              </w:rPr>
              <w:t>露天区域 ≤ 10 米</w:t>
            </w:r>
          </w:p>
        </w:tc>
      </w:tr>
      <w:tr w14:paraId="6EB82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98E5DFF">
            <w:pPr>
              <w:spacing w:before="40" w:after="40" w:line="276" w:lineRule="auto"/>
            </w:pPr>
            <w:r>
              <w:rPr>
                <w:rFonts w:ascii="Times New Roman" w:hAnsi="Times New Roman" w:eastAsia="宋体"/>
                <w:b w:val="0"/>
                <w:sz w:val="19"/>
              </w:rPr>
              <w:t>7</w:t>
            </w:r>
          </w:p>
        </w:tc>
        <w:tc>
          <w:tcPr>
            <w:tcW w:w="3175" w:type="dxa"/>
          </w:tcPr>
          <w:p w14:paraId="6772E877">
            <w:pPr>
              <w:spacing w:before="40" w:after="40" w:line="276" w:lineRule="auto"/>
            </w:pPr>
            <w:r>
              <w:rPr>
                <w:rFonts w:ascii="Times New Roman" w:hAnsi="Times New Roman" w:eastAsia="宋体"/>
                <w:b w:val="0"/>
                <w:sz w:val="19"/>
              </w:rPr>
              <w:t>并发与吞吐</w:t>
            </w:r>
          </w:p>
        </w:tc>
        <w:tc>
          <w:tcPr>
            <w:tcW w:w="4535" w:type="dxa"/>
          </w:tcPr>
          <w:p w14:paraId="2C151293">
            <w:pPr>
              <w:spacing w:before="40" w:after="40" w:line="276" w:lineRule="auto"/>
            </w:pPr>
            <w:r>
              <w:rPr>
                <w:rFonts w:ascii="Times New Roman" w:hAnsi="Times New Roman" w:eastAsia="宋体"/>
                <w:b w:val="0"/>
                <w:sz w:val="19"/>
              </w:rPr>
              <w:t>并发在线车辆 ≥ 300 辆；日均过车记录处理量 ≥ 3000 条</w:t>
            </w:r>
          </w:p>
        </w:tc>
      </w:tr>
      <w:tr w14:paraId="20D59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6B6018D">
            <w:pPr>
              <w:spacing w:before="40" w:after="40" w:line="276" w:lineRule="auto"/>
            </w:pPr>
            <w:r>
              <w:rPr>
                <w:rFonts w:ascii="Times New Roman" w:hAnsi="Times New Roman" w:eastAsia="宋体"/>
                <w:b w:val="0"/>
                <w:sz w:val="19"/>
              </w:rPr>
              <w:t>8</w:t>
            </w:r>
          </w:p>
        </w:tc>
        <w:tc>
          <w:tcPr>
            <w:tcW w:w="3175" w:type="dxa"/>
          </w:tcPr>
          <w:p w14:paraId="47A3F713">
            <w:pPr>
              <w:spacing w:before="40" w:after="40" w:line="276" w:lineRule="auto"/>
            </w:pPr>
            <w:r>
              <w:rPr>
                <w:rFonts w:ascii="Times New Roman" w:hAnsi="Times New Roman" w:eastAsia="宋体"/>
                <w:b w:val="0"/>
                <w:sz w:val="19"/>
              </w:rPr>
              <w:t>系统可用率</w:t>
            </w:r>
          </w:p>
        </w:tc>
        <w:tc>
          <w:tcPr>
            <w:tcW w:w="4535" w:type="dxa"/>
          </w:tcPr>
          <w:p w14:paraId="39345191">
            <w:pPr>
              <w:spacing w:before="40" w:after="40" w:line="276" w:lineRule="auto"/>
            </w:pPr>
            <w:r>
              <w:rPr>
                <w:rFonts w:ascii="Times New Roman" w:hAnsi="Times New Roman" w:eastAsia="宋体"/>
                <w:b w:val="0"/>
                <w:sz w:val="19"/>
              </w:rPr>
              <w:t>≥ 99.9%（年可用率）</w:t>
            </w:r>
          </w:p>
        </w:tc>
      </w:tr>
      <w:tr w14:paraId="2433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1C426CA1">
            <w:pPr>
              <w:spacing w:before="40" w:after="40" w:line="276" w:lineRule="auto"/>
            </w:pPr>
            <w:r>
              <w:rPr>
                <w:rFonts w:ascii="Times New Roman" w:hAnsi="Times New Roman" w:eastAsia="宋体"/>
                <w:b w:val="0"/>
                <w:sz w:val="19"/>
              </w:rPr>
              <w:t>9</w:t>
            </w:r>
          </w:p>
        </w:tc>
        <w:tc>
          <w:tcPr>
            <w:tcW w:w="3175" w:type="dxa"/>
          </w:tcPr>
          <w:p w14:paraId="1623D5C0">
            <w:pPr>
              <w:spacing w:before="40" w:after="40" w:line="276" w:lineRule="auto"/>
            </w:pPr>
            <w:r>
              <w:rPr>
                <w:rFonts w:ascii="Times New Roman" w:hAnsi="Times New Roman" w:eastAsia="宋体"/>
                <w:b w:val="0"/>
                <w:sz w:val="19"/>
              </w:rPr>
              <w:t>数据查询响应</w:t>
            </w:r>
          </w:p>
        </w:tc>
        <w:tc>
          <w:tcPr>
            <w:tcW w:w="4535" w:type="dxa"/>
          </w:tcPr>
          <w:p w14:paraId="4D69284B">
            <w:pPr>
              <w:spacing w:before="40" w:after="40" w:line="276" w:lineRule="auto"/>
            </w:pPr>
            <w:r>
              <w:rPr>
                <w:rFonts w:ascii="Times New Roman" w:hAnsi="Times New Roman" w:eastAsia="宋体"/>
                <w:b w:val="0"/>
                <w:sz w:val="19"/>
              </w:rPr>
              <w:t>3 年内历史数据在线查询响应 ≤ 3 秒；关键页面首屏加载 ≤ 2 秒</w:t>
            </w:r>
          </w:p>
        </w:tc>
      </w:tr>
      <w:tr w14:paraId="621AE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7CE329B">
            <w:pPr>
              <w:spacing w:before="40" w:after="40" w:line="276" w:lineRule="auto"/>
            </w:pPr>
            <w:r>
              <w:rPr>
                <w:rFonts w:ascii="Times New Roman" w:hAnsi="Times New Roman" w:eastAsia="宋体"/>
                <w:b w:val="0"/>
                <w:sz w:val="19"/>
              </w:rPr>
              <w:t>10</w:t>
            </w:r>
          </w:p>
        </w:tc>
        <w:tc>
          <w:tcPr>
            <w:tcW w:w="3175" w:type="dxa"/>
          </w:tcPr>
          <w:p w14:paraId="18A2F720">
            <w:pPr>
              <w:spacing w:before="40" w:after="40" w:line="276" w:lineRule="auto"/>
            </w:pPr>
            <w:r>
              <w:rPr>
                <w:rFonts w:ascii="Times New Roman" w:hAnsi="Times New Roman" w:eastAsia="宋体"/>
                <w:b w:val="0"/>
                <w:sz w:val="19"/>
              </w:rPr>
              <w:t>部署环境</w:t>
            </w:r>
          </w:p>
        </w:tc>
        <w:tc>
          <w:tcPr>
            <w:tcW w:w="4535" w:type="dxa"/>
          </w:tcPr>
          <w:p w14:paraId="30DB8625">
            <w:pPr>
              <w:spacing w:before="40" w:after="40" w:line="276" w:lineRule="auto"/>
            </w:pPr>
            <w:r>
              <w:rPr>
                <w:rFonts w:ascii="Times New Roman" w:hAnsi="Times New Roman" w:eastAsia="宋体"/>
                <w:b w:val="0"/>
                <w:sz w:val="19"/>
              </w:rPr>
              <w:t>内网友有化部署，支持 Linux（CentOS/麒麟）及 MySQL/达梦数据库</w:t>
            </w:r>
          </w:p>
        </w:tc>
      </w:tr>
    </w:tbl>
    <w:p w14:paraId="48790CC6">
      <w:pPr>
        <w:spacing w:after="80"/>
      </w:pPr>
    </w:p>
    <w:p w14:paraId="694A93EE">
      <w:pPr>
        <w:spacing w:before="0" w:after="120" w:line="360" w:lineRule="auto"/>
        <w:ind w:firstLine="480"/>
      </w:pPr>
      <w:r>
        <w:rPr>
          <w:rFonts w:ascii="Times New Roman" w:hAnsi="Times New Roman" w:eastAsia="宋体"/>
          <w:b w:val="0"/>
          <w:sz w:val="24"/>
        </w:rPr>
        <w:t>（4）创新点：①提出"车牌识别 + 称重数据 + 区域停留时长 + 视频存证"四重校验的卸货车次判定方法，解决矿山倒矿计次争议与虚报问题；②针对矿区粉尘、泥污、夜间等复杂工况，采用多帧投票融合 + 图像增强 + 置信度分级复核的车牌识别机制，提升恶劣条件下的识别率；③将电子围栏与计次引擎联动，实现"越界即告警、非指定区域卸矿不计次"的管控闭环；④采用链式校验与操作留痕技术，保证计次数据不可篡改、全程可追溯。</w:t>
      </w:r>
    </w:p>
    <w:p w14:paraId="38F8978D">
      <w:pPr>
        <w:spacing w:before="0" w:after="120" w:line="360" w:lineRule="auto"/>
        <w:ind w:firstLine="480"/>
      </w:pPr>
      <w:r>
        <w:rPr>
          <w:rFonts w:ascii="Times New Roman" w:hAnsi="Times New Roman" w:eastAsia="宋体"/>
          <w:b w:val="0"/>
          <w:sz w:val="24"/>
        </w:rPr>
        <w:t>2．技术内容：</w:t>
      </w:r>
    </w:p>
    <w:p w14:paraId="5B48750E">
      <w:pPr>
        <w:spacing w:before="0" w:after="120" w:line="360" w:lineRule="auto"/>
        <w:ind w:firstLine="480"/>
      </w:pPr>
      <w:r>
        <w:rPr>
          <w:rFonts w:ascii="Times New Roman" w:hAnsi="Times New Roman" w:eastAsia="宋体"/>
          <w:b w:val="0"/>
          <w:sz w:val="24"/>
        </w:rPr>
        <w:t>（1）项目所属技术领域：计算机软件、工业视觉识别、地理信息系统（GIS）与位置服务、矿山安全生产信息化。</w:t>
      </w:r>
    </w:p>
    <w:p w14:paraId="1FE74EBA">
      <w:pPr>
        <w:spacing w:before="0" w:after="120" w:line="360" w:lineRule="auto"/>
        <w:ind w:firstLine="480"/>
      </w:pPr>
      <w:r>
        <w:rPr>
          <w:rFonts w:ascii="Times New Roman" w:hAnsi="Times New Roman" w:eastAsia="宋体"/>
          <w:b w:val="0"/>
          <w:sz w:val="24"/>
        </w:rPr>
        <w:t>（2）阶段性技术成果：需求规格说明书、概要设计与详细设计说明书、数据库与接口设计文档、可运行的系统原型、系统测试版本、部署上线版本。</w:t>
      </w:r>
    </w:p>
    <w:p w14:paraId="0B8C5B13">
      <w:pPr>
        <w:spacing w:before="0" w:after="120" w:line="360" w:lineRule="auto"/>
        <w:ind w:firstLine="480"/>
      </w:pPr>
      <w:r>
        <w:rPr>
          <w:rFonts w:ascii="Times New Roman" w:hAnsi="Times New Roman" w:eastAsia="宋体"/>
          <w:b w:val="0"/>
          <w:sz w:val="24"/>
        </w:rPr>
        <w:t>（3）商业化应用成果：可在甲方所属矿区正式投入生产运行的矿井货车倒矿智能管控系统（Web 管理端 + 可视化看板 + 移动端 H5）。</w:t>
      </w:r>
    </w:p>
    <w:p w14:paraId="50A92122">
      <w:pPr>
        <w:spacing w:before="0" w:after="120" w:line="360" w:lineRule="auto"/>
        <w:ind w:firstLine="480"/>
      </w:pPr>
      <w:r>
        <w:rPr>
          <w:rFonts w:ascii="Times New Roman" w:hAnsi="Times New Roman" w:eastAsia="宋体"/>
          <w:b w:val="0"/>
          <w:sz w:val="24"/>
        </w:rPr>
        <w:t>（4）技术的主要组成部分与技术文件：系统源代码及编译脚本、部署脚本、数据库设计文档、技术架构文档、接口设计文档（REST API）、用户操作手册、系统运维手册。</w:t>
      </w:r>
    </w:p>
    <w:p w14:paraId="4B0B7482">
      <w:pPr>
        <w:spacing w:before="0" w:after="120" w:line="360" w:lineRule="auto"/>
        <w:ind w:firstLine="480"/>
      </w:pPr>
      <w:r>
        <w:rPr>
          <w:rFonts w:ascii="Times New Roman" w:hAnsi="Times New Roman" w:eastAsia="宋体"/>
          <w:b w:val="0"/>
          <w:sz w:val="24"/>
        </w:rPr>
        <w:t>（5）涉及的理论知识、方法与技术：视频流接入与图像预处理、车牌检测与字符识别、多帧融合投票算法、多边形围栏的空间关系判定（射线法）、北斗/GPS 定位数据纠偏与轨迹处理、规则引擎与异常行为识别模型、数据链式校验与审计留痕、微服务架构与容器化部署。</w:t>
      </w:r>
    </w:p>
    <w:p w14:paraId="37A17851">
      <w:pPr>
        <w:spacing w:before="0" w:after="120" w:line="360" w:lineRule="auto"/>
        <w:ind w:firstLine="480"/>
      </w:pPr>
      <w:r>
        <w:rPr>
          <w:rFonts w:ascii="Times New Roman" w:hAnsi="Times New Roman" w:eastAsia="宋体"/>
          <w:b w:val="0"/>
          <w:sz w:val="24"/>
        </w:rPr>
        <w:t>（6）其他说明：本项目不含车牌识别摄像机、道闸、工控机、服务器等硬件设备供货，乙方负责提出设备接入要求与参数建议，并承担联调配合义务。</w:t>
      </w:r>
    </w:p>
    <w:p w14:paraId="50F8E001">
      <w:pPr>
        <w:spacing w:before="0" w:after="120" w:line="360" w:lineRule="auto"/>
        <w:ind w:firstLine="480"/>
      </w:pPr>
      <w:r>
        <w:rPr>
          <w:rFonts w:ascii="Times New Roman" w:hAnsi="Times New Roman" w:eastAsia="宋体"/>
          <w:b w:val="0"/>
          <w:sz w:val="24"/>
        </w:rPr>
        <w:t>3．技术方法和路线：</w:t>
      </w:r>
    </w:p>
    <w:p w14:paraId="43B88583">
      <w:pPr>
        <w:spacing w:before="0" w:after="120" w:line="360" w:lineRule="auto"/>
        <w:ind w:firstLine="480"/>
      </w:pPr>
      <w:r>
        <w:rPr>
          <w:rFonts w:ascii="Times New Roman" w:hAnsi="Times New Roman" w:eastAsia="宋体"/>
          <w:b w:val="0"/>
          <w:sz w:val="24"/>
        </w:rPr>
        <w:t>本项目采用"需求调研—方案设计—模块开发—集成测试—部署上线—试运行—验收"的瀑布与迭代相结合的开发路线：</w:t>
      </w:r>
    </w:p>
    <w:p w14:paraId="24D597FB">
      <w:pPr>
        <w:spacing w:after="60" w:line="360" w:lineRule="auto"/>
        <w:ind w:left="480" w:hanging="240"/>
      </w:pPr>
      <w:r>
        <w:rPr>
          <w:rFonts w:ascii="Times New Roman" w:hAnsi="Times New Roman" w:eastAsia="宋体"/>
          <w:b w:val="0"/>
          <w:sz w:val="24"/>
        </w:rPr>
        <w:t>· （1）需求阶段：现场调研倒矿作业全流程，梳理车辆身份、卸货车次、作业区域三条业务主线，形成经双方确认的《需求规格说明书》；</w:t>
      </w:r>
    </w:p>
    <w:p w14:paraId="6E19F3BB">
      <w:pPr>
        <w:spacing w:after="60" w:line="360" w:lineRule="auto"/>
        <w:ind w:left="480" w:hanging="240"/>
      </w:pPr>
      <w:r>
        <w:rPr>
          <w:rFonts w:ascii="Times New Roman" w:hAnsi="Times New Roman" w:eastAsia="宋体"/>
          <w:b w:val="0"/>
          <w:sz w:val="24"/>
        </w:rPr>
        <w:t>· （2）设计阶段：采用分层架构（感知层—数据接入层—数据层—平台层—应用层）进行概要设计与详细设计，同步完成数据库设计与接口设计；</w:t>
      </w:r>
    </w:p>
    <w:p w14:paraId="47E8033A">
      <w:pPr>
        <w:spacing w:after="60" w:line="360" w:lineRule="auto"/>
        <w:ind w:left="480" w:hanging="240"/>
      </w:pPr>
      <w:r>
        <w:rPr>
          <w:rFonts w:ascii="Times New Roman" w:hAnsi="Times New Roman" w:eastAsia="宋体"/>
          <w:b w:val="0"/>
          <w:sz w:val="24"/>
        </w:rPr>
        <w:t>· （3）开发阶段：按八大功能模块并行开发（车牌识别与车辆档案、卸货次数统计、电子围栏与轨迹管控、统计看板、预警处置与移动端、对外接口、系统管理安全、可视化展示），每两周一次内部迭代评审；</w:t>
      </w:r>
    </w:p>
    <w:p w14:paraId="01ECC054">
      <w:pPr>
        <w:spacing w:after="60" w:line="360" w:lineRule="auto"/>
        <w:ind w:left="480" w:hanging="240"/>
      </w:pPr>
      <w:r>
        <w:rPr>
          <w:rFonts w:ascii="Times New Roman" w:hAnsi="Times New Roman" w:eastAsia="宋体"/>
          <w:b w:val="0"/>
          <w:sz w:val="24"/>
        </w:rPr>
        <w:t>· （4）测试阶段：依次开展单元测试、集成测试、性能测试（并发 300 辆、日均 3000 条）、安全测试与验收测试；</w:t>
      </w:r>
    </w:p>
    <w:p w14:paraId="1775BBB5">
      <w:pPr>
        <w:spacing w:after="60" w:line="360" w:lineRule="auto"/>
        <w:ind w:left="480" w:hanging="240"/>
      </w:pPr>
      <w:r>
        <w:rPr>
          <w:rFonts w:ascii="Times New Roman" w:hAnsi="Times New Roman" w:eastAsia="宋体"/>
          <w:b w:val="0"/>
          <w:sz w:val="24"/>
        </w:rPr>
        <w:t>· （5）部署阶段：在甲方内网友有化部署，完成数据初始化与接口联调；</w:t>
      </w:r>
    </w:p>
    <w:p w14:paraId="01AC0BD9">
      <w:pPr>
        <w:spacing w:after="60" w:line="360" w:lineRule="auto"/>
        <w:ind w:left="480" w:hanging="240"/>
      </w:pPr>
      <w:r>
        <w:rPr>
          <w:rFonts w:ascii="Times New Roman" w:hAnsi="Times New Roman" w:eastAsia="宋体"/>
          <w:b w:val="0"/>
          <w:sz w:val="24"/>
        </w:rPr>
        <w:t>· （6）试运行与验收阶段：试运行不少于 2 个月，期间完成缺陷修复与性能调优，最终组织验收。</w:t>
      </w:r>
    </w:p>
    <w:p w14:paraId="56F2FCA3">
      <w:pPr>
        <w:spacing w:before="240" w:after="200" w:line="360" w:lineRule="auto"/>
        <w:jc w:val="center"/>
      </w:pPr>
      <w:r>
        <w:rPr>
          <w:rFonts w:ascii="Times New Roman" w:hAnsi="Times New Roman" w:eastAsia="黑体"/>
          <w:b/>
          <w:sz w:val="32"/>
        </w:rPr>
        <w:t>第二条  乙方应在本合同生效后 10 日内向甲方提交研究开发计划。</w:t>
      </w:r>
    </w:p>
    <w:p w14:paraId="1D6C8897">
      <w:pPr>
        <w:spacing w:before="0" w:after="120" w:line="360" w:lineRule="auto"/>
        <w:ind w:firstLine="480"/>
      </w:pPr>
      <w:r>
        <w:rPr>
          <w:rFonts w:ascii="Times New Roman" w:hAnsi="Times New Roman" w:eastAsia="宋体"/>
          <w:b w:val="0"/>
          <w:sz w:val="24"/>
        </w:rPr>
        <w:t>研究开发计划应包括以下主要内容：</w:t>
      </w:r>
    </w:p>
    <w:p w14:paraId="5AA60F73">
      <w:pPr>
        <w:spacing w:before="0" w:after="120" w:line="360" w:lineRule="auto"/>
        <w:ind w:firstLine="480"/>
      </w:pPr>
      <w:r>
        <w:rPr>
          <w:rFonts w:ascii="Times New Roman" w:hAnsi="Times New Roman" w:eastAsia="宋体"/>
          <w:b w:val="0"/>
          <w:sz w:val="24"/>
        </w:rPr>
        <w:t>1. 项目总体实施计划与里程碑安排（需求与设计 T+0 至 T+1.5 月；系统开发 T+1.5 至 T+4 月；测试与部署 T+4 至 T+4.5 月；培训与试运行 T+4.5 至 T+6 月）；</w:t>
      </w:r>
    </w:p>
    <w:p w14:paraId="29118C67">
      <w:pPr>
        <w:spacing w:before="0" w:after="120" w:line="360" w:lineRule="auto"/>
        <w:ind w:firstLine="480"/>
      </w:pPr>
      <w:r>
        <w:rPr>
          <w:rFonts w:ascii="Times New Roman" w:hAnsi="Times New Roman" w:eastAsia="宋体"/>
          <w:b w:val="0"/>
          <w:sz w:val="24"/>
        </w:rPr>
        <w:t>2. 项目组人员组成、分工与投入工时安排（项目负责人 1 人、后端开发 2 人、前端开发 1 人、算法工程师 1 人、实施与测试 1 人，共 6 人）；</w:t>
      </w:r>
    </w:p>
    <w:p w14:paraId="7181D6DE">
      <w:pPr>
        <w:spacing w:before="0" w:after="120" w:line="360" w:lineRule="auto"/>
        <w:ind w:firstLine="480"/>
      </w:pPr>
      <w:r>
        <w:rPr>
          <w:rFonts w:ascii="Times New Roman" w:hAnsi="Times New Roman" w:eastAsia="宋体"/>
          <w:b w:val="0"/>
          <w:sz w:val="24"/>
        </w:rPr>
        <w:t>3. 各阶段交付成果、评审方式与质量控制措施；</w:t>
      </w:r>
    </w:p>
    <w:p w14:paraId="58B3D75C">
      <w:pPr>
        <w:spacing w:before="0" w:after="120" w:line="360" w:lineRule="auto"/>
        <w:ind w:firstLine="480"/>
      </w:pPr>
      <w:r>
        <w:rPr>
          <w:rFonts w:ascii="Times New Roman" w:hAnsi="Times New Roman" w:eastAsia="宋体"/>
          <w:b w:val="0"/>
          <w:sz w:val="24"/>
        </w:rPr>
        <w:t>4. 风险识别与应对措施、需甲方配合的事项清单。</w:t>
      </w:r>
    </w:p>
    <w:p w14:paraId="72FB66C3">
      <w:pPr>
        <w:spacing w:before="240" w:after="200" w:line="360" w:lineRule="auto"/>
        <w:jc w:val="center"/>
      </w:pPr>
      <w:r>
        <w:rPr>
          <w:rFonts w:ascii="Times New Roman" w:hAnsi="Times New Roman" w:eastAsia="黑体"/>
          <w:b/>
          <w:sz w:val="32"/>
        </w:rPr>
        <w:t>第三条  乙方应按下列进度完成研究开发工作：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432"/>
        <w:gridCol w:w="3580"/>
        <w:gridCol w:w="2612"/>
      </w:tblGrid>
      <w:tr w14:paraId="2B40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7100E19">
            <w:pPr>
              <w:spacing w:before="40" w:after="40" w:line="276" w:lineRule="auto"/>
              <w:jc w:val="center"/>
            </w:pPr>
            <w:r>
              <w:rPr>
                <w:rFonts w:ascii="Times New Roman" w:hAnsi="Times New Roman" w:eastAsia="黑体"/>
                <w:b/>
                <w:sz w:val="18"/>
              </w:rPr>
              <w:t>阶段</w:t>
            </w:r>
          </w:p>
        </w:tc>
        <w:tc>
          <w:tcPr>
            <w:tcW w:w="1474" w:type="dxa"/>
          </w:tcPr>
          <w:p w14:paraId="65CFBAB3">
            <w:pPr>
              <w:spacing w:before="40" w:after="40" w:line="276" w:lineRule="auto"/>
              <w:jc w:val="center"/>
            </w:pPr>
            <w:r>
              <w:rPr>
                <w:rFonts w:ascii="Times New Roman" w:hAnsi="Times New Roman" w:eastAsia="黑体"/>
                <w:b/>
                <w:sz w:val="18"/>
              </w:rPr>
              <w:t>起止时间</w:t>
            </w:r>
          </w:p>
        </w:tc>
        <w:tc>
          <w:tcPr>
            <w:tcW w:w="3742" w:type="dxa"/>
          </w:tcPr>
          <w:p w14:paraId="7B704AA3">
            <w:pPr>
              <w:spacing w:before="40" w:after="40" w:line="276" w:lineRule="auto"/>
              <w:jc w:val="center"/>
            </w:pPr>
            <w:r>
              <w:rPr>
                <w:rFonts w:ascii="Times New Roman" w:hAnsi="Times New Roman" w:eastAsia="黑体"/>
                <w:b/>
                <w:sz w:val="18"/>
              </w:rPr>
              <w:t>主要工作内容</w:t>
            </w:r>
          </w:p>
        </w:tc>
        <w:tc>
          <w:tcPr>
            <w:tcW w:w="2721" w:type="dxa"/>
          </w:tcPr>
          <w:p w14:paraId="1F5C1148">
            <w:pPr>
              <w:spacing w:before="40" w:after="40" w:line="276" w:lineRule="auto"/>
              <w:jc w:val="center"/>
            </w:pPr>
            <w:r>
              <w:rPr>
                <w:rFonts w:ascii="Times New Roman" w:hAnsi="Times New Roman" w:eastAsia="黑体"/>
                <w:b/>
                <w:sz w:val="18"/>
              </w:rPr>
              <w:t>阶段成果</w:t>
            </w:r>
          </w:p>
        </w:tc>
      </w:tr>
      <w:tr w14:paraId="1552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1519CF7">
            <w:pPr>
              <w:spacing w:before="40" w:after="40" w:line="276" w:lineRule="auto"/>
            </w:pPr>
            <w:r>
              <w:rPr>
                <w:rFonts w:ascii="Times New Roman" w:hAnsi="Times New Roman" w:eastAsia="宋体"/>
                <w:b w:val="0"/>
                <w:sz w:val="18"/>
              </w:rPr>
              <w:t>第一阶段</w:t>
            </w:r>
          </w:p>
        </w:tc>
        <w:tc>
          <w:tcPr>
            <w:tcW w:w="1474" w:type="dxa"/>
          </w:tcPr>
          <w:p w14:paraId="5590D0A5">
            <w:pPr>
              <w:spacing w:before="40" w:after="40" w:line="276" w:lineRule="auto"/>
            </w:pPr>
            <w:r>
              <w:rPr>
                <w:rFonts w:ascii="Times New Roman" w:hAnsi="Times New Roman" w:eastAsia="宋体"/>
                <w:b w:val="0"/>
                <w:sz w:val="18"/>
              </w:rPr>
              <w:t>T+0 至 T+1.5 月</w:t>
            </w:r>
          </w:p>
        </w:tc>
        <w:tc>
          <w:tcPr>
            <w:tcW w:w="3742" w:type="dxa"/>
          </w:tcPr>
          <w:p w14:paraId="7D1052B3">
            <w:pPr>
              <w:spacing w:before="40" w:after="40" w:line="276" w:lineRule="auto"/>
            </w:pPr>
            <w:r>
              <w:rPr>
                <w:rFonts w:ascii="Times New Roman" w:hAnsi="Times New Roman" w:eastAsia="宋体"/>
                <w:b w:val="0"/>
                <w:sz w:val="18"/>
              </w:rPr>
              <w:t>现场调研、需求确认、概要与详细设计、数据库与接口设计、原型确认</w:t>
            </w:r>
          </w:p>
        </w:tc>
        <w:tc>
          <w:tcPr>
            <w:tcW w:w="2721" w:type="dxa"/>
          </w:tcPr>
          <w:p w14:paraId="51810BE1">
            <w:pPr>
              <w:spacing w:before="40" w:after="40" w:line="276" w:lineRule="auto"/>
            </w:pPr>
            <w:r>
              <w:rPr>
                <w:rFonts w:ascii="Times New Roman" w:hAnsi="Times New Roman" w:eastAsia="宋体"/>
                <w:b w:val="0"/>
                <w:sz w:val="18"/>
              </w:rPr>
              <w:t>需求规格说明书、概要/详细设计说明书、数据库设计说明书、接口设计文档</w:t>
            </w:r>
          </w:p>
        </w:tc>
      </w:tr>
      <w:tr w14:paraId="406E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E66C3AD">
            <w:pPr>
              <w:spacing w:before="40" w:after="40" w:line="276" w:lineRule="auto"/>
            </w:pPr>
            <w:r>
              <w:rPr>
                <w:rFonts w:ascii="Times New Roman" w:hAnsi="Times New Roman" w:eastAsia="宋体"/>
                <w:b w:val="0"/>
                <w:sz w:val="18"/>
              </w:rPr>
              <w:t>第二阶段</w:t>
            </w:r>
          </w:p>
        </w:tc>
        <w:tc>
          <w:tcPr>
            <w:tcW w:w="1474" w:type="dxa"/>
          </w:tcPr>
          <w:p w14:paraId="588E719B">
            <w:pPr>
              <w:spacing w:before="40" w:after="40" w:line="276" w:lineRule="auto"/>
            </w:pPr>
            <w:r>
              <w:rPr>
                <w:rFonts w:ascii="Times New Roman" w:hAnsi="Times New Roman" w:eastAsia="宋体"/>
                <w:b w:val="0"/>
                <w:sz w:val="18"/>
              </w:rPr>
              <w:t>T+1.5 至 T+4 月</w:t>
            </w:r>
          </w:p>
        </w:tc>
        <w:tc>
          <w:tcPr>
            <w:tcW w:w="3742" w:type="dxa"/>
          </w:tcPr>
          <w:p w14:paraId="1653B74F">
            <w:pPr>
              <w:spacing w:before="40" w:after="40" w:line="276" w:lineRule="auto"/>
            </w:pPr>
            <w:r>
              <w:rPr>
                <w:rFonts w:ascii="Times New Roman" w:hAnsi="Times New Roman" w:eastAsia="宋体"/>
                <w:b w:val="0"/>
                <w:sz w:val="18"/>
              </w:rPr>
              <w:t>八大功能模块开发、单元测试、模块联调</w:t>
            </w:r>
          </w:p>
        </w:tc>
        <w:tc>
          <w:tcPr>
            <w:tcW w:w="2721" w:type="dxa"/>
          </w:tcPr>
          <w:p w14:paraId="62ABA8B7">
            <w:pPr>
              <w:spacing w:before="40" w:after="40" w:line="276" w:lineRule="auto"/>
            </w:pPr>
            <w:r>
              <w:rPr>
                <w:rFonts w:ascii="Times New Roman" w:hAnsi="Times New Roman" w:eastAsia="宋体"/>
                <w:b w:val="0"/>
                <w:sz w:val="18"/>
              </w:rPr>
              <w:t>系统各功能模块、单元测试报告</w:t>
            </w:r>
          </w:p>
        </w:tc>
      </w:tr>
      <w:tr w14:paraId="5CA9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B131DB9">
            <w:pPr>
              <w:spacing w:before="40" w:after="40" w:line="276" w:lineRule="auto"/>
            </w:pPr>
            <w:r>
              <w:rPr>
                <w:rFonts w:ascii="Times New Roman" w:hAnsi="Times New Roman" w:eastAsia="宋体"/>
                <w:b w:val="0"/>
                <w:sz w:val="18"/>
              </w:rPr>
              <w:t>第三阶段</w:t>
            </w:r>
          </w:p>
        </w:tc>
        <w:tc>
          <w:tcPr>
            <w:tcW w:w="1474" w:type="dxa"/>
          </w:tcPr>
          <w:p w14:paraId="46417B79">
            <w:pPr>
              <w:spacing w:before="40" w:after="40" w:line="276" w:lineRule="auto"/>
            </w:pPr>
            <w:r>
              <w:rPr>
                <w:rFonts w:ascii="Times New Roman" w:hAnsi="Times New Roman" w:eastAsia="宋体"/>
                <w:b w:val="0"/>
                <w:sz w:val="18"/>
              </w:rPr>
              <w:t>T+4 至 T+4.5 月</w:t>
            </w:r>
          </w:p>
        </w:tc>
        <w:tc>
          <w:tcPr>
            <w:tcW w:w="3742" w:type="dxa"/>
          </w:tcPr>
          <w:p w14:paraId="3EF9D3FC">
            <w:pPr>
              <w:spacing w:before="40" w:after="40" w:line="276" w:lineRule="auto"/>
            </w:pPr>
            <w:r>
              <w:rPr>
                <w:rFonts w:ascii="Times New Roman" w:hAnsi="Times New Roman" w:eastAsia="宋体"/>
                <w:b w:val="0"/>
                <w:sz w:val="18"/>
              </w:rPr>
              <w:t>集成测试、性能测试、安全测试、内网部署、数据初始化、接口联调</w:t>
            </w:r>
          </w:p>
        </w:tc>
        <w:tc>
          <w:tcPr>
            <w:tcW w:w="2721" w:type="dxa"/>
          </w:tcPr>
          <w:p w14:paraId="3BB5A566">
            <w:pPr>
              <w:spacing w:before="40" w:after="40" w:line="276" w:lineRule="auto"/>
            </w:pPr>
            <w:r>
              <w:rPr>
                <w:rFonts w:ascii="Times New Roman" w:hAnsi="Times New Roman" w:eastAsia="宋体"/>
                <w:b w:val="0"/>
                <w:sz w:val="18"/>
              </w:rPr>
              <w:t>测试报告、部署手册、用户操作手册、运维手册</w:t>
            </w:r>
          </w:p>
        </w:tc>
      </w:tr>
      <w:tr w14:paraId="6C56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6EEAE96">
            <w:pPr>
              <w:spacing w:before="40" w:after="40" w:line="276" w:lineRule="auto"/>
            </w:pPr>
            <w:r>
              <w:rPr>
                <w:rFonts w:ascii="Times New Roman" w:hAnsi="Times New Roman" w:eastAsia="宋体"/>
                <w:b w:val="0"/>
                <w:sz w:val="18"/>
              </w:rPr>
              <w:t>第四阶段</w:t>
            </w:r>
          </w:p>
        </w:tc>
        <w:tc>
          <w:tcPr>
            <w:tcW w:w="1474" w:type="dxa"/>
          </w:tcPr>
          <w:p w14:paraId="799C18CF">
            <w:pPr>
              <w:spacing w:before="40" w:after="40" w:line="276" w:lineRule="auto"/>
            </w:pPr>
            <w:r>
              <w:rPr>
                <w:rFonts w:ascii="Times New Roman" w:hAnsi="Times New Roman" w:eastAsia="宋体"/>
                <w:b w:val="0"/>
                <w:sz w:val="18"/>
              </w:rPr>
              <w:t>T+4.5 至 T+6 月</w:t>
            </w:r>
          </w:p>
        </w:tc>
        <w:tc>
          <w:tcPr>
            <w:tcW w:w="3742" w:type="dxa"/>
          </w:tcPr>
          <w:p w14:paraId="2D60500D">
            <w:pPr>
              <w:spacing w:before="40" w:after="40" w:line="276" w:lineRule="auto"/>
            </w:pPr>
            <w:r>
              <w:rPr>
                <w:rFonts w:ascii="Times New Roman" w:hAnsi="Times New Roman" w:eastAsia="宋体"/>
                <w:b w:val="0"/>
                <w:sz w:val="18"/>
              </w:rPr>
              <w:t>现场培训 3 场次 12 课时、试运行 2 个月、缺陷修复与性能调优</w:t>
            </w:r>
          </w:p>
        </w:tc>
        <w:tc>
          <w:tcPr>
            <w:tcW w:w="2721" w:type="dxa"/>
          </w:tcPr>
          <w:p w14:paraId="09D46855">
            <w:pPr>
              <w:spacing w:before="40" w:after="40" w:line="276" w:lineRule="auto"/>
            </w:pPr>
            <w:r>
              <w:rPr>
                <w:rFonts w:ascii="Times New Roman" w:hAnsi="Times New Roman" w:eastAsia="宋体"/>
                <w:b w:val="0"/>
                <w:sz w:val="18"/>
              </w:rPr>
              <w:t>培训教材与记录、试运行报告</w:t>
            </w:r>
          </w:p>
        </w:tc>
      </w:tr>
      <w:tr w14:paraId="2F4F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473C717">
            <w:pPr>
              <w:spacing w:before="40" w:after="40" w:line="276" w:lineRule="auto"/>
            </w:pPr>
            <w:r>
              <w:rPr>
                <w:rFonts w:ascii="Times New Roman" w:hAnsi="Times New Roman" w:eastAsia="宋体"/>
                <w:b w:val="0"/>
                <w:sz w:val="18"/>
              </w:rPr>
              <w:t>第五阶段</w:t>
            </w:r>
          </w:p>
        </w:tc>
        <w:tc>
          <w:tcPr>
            <w:tcW w:w="1474" w:type="dxa"/>
          </w:tcPr>
          <w:p w14:paraId="1B8DC744">
            <w:pPr>
              <w:spacing w:before="40" w:after="40" w:line="276" w:lineRule="auto"/>
            </w:pPr>
            <w:r>
              <w:rPr>
                <w:rFonts w:ascii="Times New Roman" w:hAnsi="Times New Roman" w:eastAsia="宋体"/>
                <w:b w:val="0"/>
                <w:sz w:val="18"/>
              </w:rPr>
              <w:t>T+6 月起</w:t>
            </w:r>
          </w:p>
        </w:tc>
        <w:tc>
          <w:tcPr>
            <w:tcW w:w="3742" w:type="dxa"/>
          </w:tcPr>
          <w:p w14:paraId="30FBFB00">
            <w:pPr>
              <w:spacing w:before="40" w:after="40" w:line="276" w:lineRule="auto"/>
            </w:pPr>
            <w:r>
              <w:rPr>
                <w:rFonts w:ascii="Times New Roman" w:hAnsi="Times New Roman" w:eastAsia="宋体"/>
                <w:b w:val="0"/>
                <w:sz w:val="18"/>
              </w:rPr>
              <w:t>最终验收、质保及运维期服务</w:t>
            </w:r>
          </w:p>
        </w:tc>
        <w:tc>
          <w:tcPr>
            <w:tcW w:w="2721" w:type="dxa"/>
          </w:tcPr>
          <w:p w14:paraId="61694775">
            <w:pPr>
              <w:spacing w:before="40" w:after="40" w:line="276" w:lineRule="auto"/>
            </w:pPr>
            <w:r>
              <w:rPr>
                <w:rFonts w:ascii="Times New Roman" w:hAnsi="Times New Roman" w:eastAsia="宋体"/>
                <w:b w:val="0"/>
                <w:sz w:val="18"/>
              </w:rPr>
              <w:t>项目验收报告</w:t>
            </w:r>
          </w:p>
        </w:tc>
      </w:tr>
    </w:tbl>
    <w:p w14:paraId="72E49BEB">
      <w:pPr>
        <w:spacing w:after="80"/>
      </w:pPr>
    </w:p>
    <w:p w14:paraId="74C4BDD3">
      <w:pPr>
        <w:spacing w:before="0" w:after="120" w:line="360" w:lineRule="auto"/>
        <w:ind w:firstLine="480"/>
      </w:pPr>
      <w:r>
        <w:rPr>
          <w:rFonts w:ascii="Times New Roman" w:hAnsi="Times New Roman" w:eastAsia="宋体"/>
          <w:b w:val="0"/>
          <w:sz w:val="24"/>
        </w:rPr>
        <w:t>注：T 为合同生效之日。如遇甲方未按期提供资料、接口未开放、现场条件不具备等非乙方原因导致延误的，相应节点顺延，双方以书面形式确认。</w:t>
      </w:r>
    </w:p>
    <w:p w14:paraId="3D91F922">
      <w:pPr>
        <w:spacing w:before="240" w:after="200" w:line="360" w:lineRule="auto"/>
        <w:jc w:val="center"/>
      </w:pPr>
      <w:r>
        <w:rPr>
          <w:rFonts w:ascii="Times New Roman" w:hAnsi="Times New Roman" w:eastAsia="黑体"/>
          <w:b/>
          <w:sz w:val="32"/>
        </w:rPr>
        <w:t>第四条  甲方应向乙方提供的技术资料及协作事项如下：</w:t>
      </w:r>
    </w:p>
    <w:p w14:paraId="7F3FF52D">
      <w:pPr>
        <w:spacing w:before="0" w:after="120" w:line="360" w:lineRule="auto"/>
        <w:ind w:firstLine="480"/>
      </w:pPr>
      <w:r>
        <w:rPr>
          <w:rFonts w:ascii="Times New Roman" w:hAnsi="Times New Roman" w:eastAsia="宋体"/>
          <w:b w:val="0"/>
          <w:sz w:val="24"/>
        </w:rPr>
        <w:t>1．技术资料清单：</w:t>
      </w:r>
    </w:p>
    <w:p w14:paraId="610FE509">
      <w:pPr>
        <w:spacing w:after="60" w:line="360" w:lineRule="auto"/>
        <w:ind w:left="480" w:hanging="240"/>
      </w:pPr>
      <w:r>
        <w:rPr>
          <w:rFonts w:ascii="Times New Roman" w:hAnsi="Times New Roman" w:eastAsia="宋体"/>
          <w:b w:val="0"/>
          <w:sz w:val="24"/>
        </w:rPr>
        <w:t>· ①矿区平面布置图、卸矿点/排土场/出入口位置与范围资料；</w:t>
      </w:r>
    </w:p>
    <w:p w14:paraId="58186B4C">
      <w:pPr>
        <w:spacing w:after="60" w:line="360" w:lineRule="auto"/>
        <w:ind w:left="480" w:hanging="240"/>
      </w:pPr>
      <w:r>
        <w:rPr>
          <w:rFonts w:ascii="Times New Roman" w:hAnsi="Times New Roman" w:eastAsia="宋体"/>
          <w:b w:val="0"/>
          <w:sz w:val="24"/>
        </w:rPr>
        <w:t>· ②既有车牌识别摄像机、地磅称重系统、视频监控平台、车载定位平台、ERP/结算系统的设备清单、接口文档与数据字典；</w:t>
      </w:r>
    </w:p>
    <w:p w14:paraId="415BD0F2">
      <w:pPr>
        <w:spacing w:after="60" w:line="360" w:lineRule="auto"/>
        <w:ind w:left="480" w:hanging="240"/>
      </w:pPr>
      <w:r>
        <w:rPr>
          <w:rFonts w:ascii="Times New Roman" w:hAnsi="Times New Roman" w:eastAsia="宋体"/>
          <w:b w:val="0"/>
          <w:sz w:val="24"/>
        </w:rPr>
        <w:t>· ③现有车辆台账（车牌号、车型、载重、所属运输单位、司机信息）；</w:t>
      </w:r>
    </w:p>
    <w:p w14:paraId="0B73FD3F">
      <w:pPr>
        <w:spacing w:after="60" w:line="360" w:lineRule="auto"/>
        <w:ind w:left="480" w:hanging="240"/>
      </w:pPr>
      <w:r>
        <w:rPr>
          <w:rFonts w:ascii="Times New Roman" w:hAnsi="Times New Roman" w:eastAsia="宋体"/>
          <w:b w:val="0"/>
          <w:sz w:val="24"/>
        </w:rPr>
        <w:t>· ④倒矿作业管理制度、车次统计规则、结算口径与相关业务流程说明；</w:t>
      </w:r>
    </w:p>
    <w:p w14:paraId="03118082">
      <w:pPr>
        <w:spacing w:after="60" w:line="360" w:lineRule="auto"/>
        <w:ind w:left="480" w:hanging="240"/>
      </w:pPr>
      <w:r>
        <w:rPr>
          <w:rFonts w:ascii="Times New Roman" w:hAnsi="Times New Roman" w:eastAsia="宋体"/>
          <w:b w:val="0"/>
          <w:sz w:val="24"/>
        </w:rPr>
        <w:t>· ⑤服务器、网络、机房等运行环境条件说明；</w:t>
      </w:r>
    </w:p>
    <w:p w14:paraId="66383FC3">
      <w:pPr>
        <w:spacing w:after="60" w:line="360" w:lineRule="auto"/>
        <w:ind w:left="480" w:hanging="240"/>
      </w:pPr>
      <w:r>
        <w:rPr>
          <w:rFonts w:ascii="Times New Roman" w:hAnsi="Times New Roman" w:eastAsia="宋体"/>
          <w:b w:val="0"/>
          <w:sz w:val="24"/>
        </w:rPr>
        <w:t>· ⑥矿区安全管理规定与进场作业要求。</w:t>
      </w:r>
    </w:p>
    <w:p w14:paraId="1321C739">
      <w:pPr>
        <w:spacing w:before="0" w:after="120" w:line="360" w:lineRule="auto"/>
        <w:ind w:firstLine="480"/>
      </w:pPr>
      <w:r>
        <w:rPr>
          <w:rFonts w:ascii="Times New Roman" w:hAnsi="Times New Roman" w:eastAsia="宋体"/>
          <w:b w:val="0"/>
          <w:sz w:val="24"/>
        </w:rPr>
        <w:t>2．提供时间和方式：本合同签订后 10 个工作日内，由甲方以书面或电子文档方式交付乙方，双方签署资料交接清单；接口账号与权限于联调开始前 5 个工作日提供。</w:t>
      </w:r>
    </w:p>
    <w:p w14:paraId="07CA0E29">
      <w:pPr>
        <w:spacing w:before="0" w:after="120" w:line="360" w:lineRule="auto"/>
        <w:ind w:firstLine="480"/>
      </w:pPr>
      <w:r>
        <w:rPr>
          <w:rFonts w:ascii="Times New Roman" w:hAnsi="Times New Roman" w:eastAsia="宋体"/>
          <w:b w:val="0"/>
          <w:sz w:val="24"/>
        </w:rPr>
        <w:t>3．其他协作事项：①甲方应指定专人配合需求调研、方案评审与验收工作；②甲方应为乙方进场人员办理入矿手续并提供必要的工作场地与网络条件；③甲方应及时确认乙方提交的方案与成果，确认时限不超过 5 个工作日，逾期未回复视为确认。</w:t>
      </w:r>
    </w:p>
    <w:p w14:paraId="2C261917">
      <w:pPr>
        <w:spacing w:before="0" w:after="120" w:line="360" w:lineRule="auto"/>
        <w:ind w:firstLine="480"/>
      </w:pPr>
      <w:r>
        <w:rPr>
          <w:rFonts w:ascii="Times New Roman" w:hAnsi="Times New Roman" w:eastAsia="宋体"/>
          <w:b w:val="0"/>
          <w:sz w:val="24"/>
        </w:rPr>
        <w:t>4．本合同履行完毕后，上述技术资料按以下方式处理：甲方提供的资料由乙方全部归还或按甲方要求销毁，不得留存副本；乙方在项目实施中形成的中间资料，除交付成果外，自行销毁并出具销毁说明。</w:t>
      </w:r>
    </w:p>
    <w:p w14:paraId="217AD4C9">
      <w:pPr>
        <w:spacing w:before="240" w:after="200" w:line="360" w:lineRule="auto"/>
        <w:jc w:val="center"/>
      </w:pPr>
      <w:r>
        <w:rPr>
          <w:rFonts w:ascii="Times New Roman" w:hAnsi="Times New Roman" w:eastAsia="黑体"/>
          <w:b/>
          <w:sz w:val="32"/>
        </w:rPr>
        <w:t>第五条  甲方应按以下方式向乙方支付研究开发经费和报酬：</w:t>
      </w:r>
    </w:p>
    <w:p w14:paraId="504F6D08">
      <w:pPr>
        <w:spacing w:before="0" w:after="120" w:line="360" w:lineRule="auto"/>
        <w:ind w:firstLine="480"/>
      </w:pPr>
      <w:r>
        <w:rPr>
          <w:rFonts w:ascii="Times New Roman" w:hAnsi="Times New Roman" w:eastAsia="宋体"/>
          <w:b w:val="0"/>
          <w:sz w:val="24"/>
        </w:rPr>
        <w:t>1．研究开发经费和报酬总额为 ¥456,000.00（大写：人民币肆拾伍万陆仟元整，含税）。</w:t>
      </w:r>
    </w:p>
    <w:p w14:paraId="0522231B">
      <w:pPr>
        <w:spacing w:before="0" w:after="120" w:line="360" w:lineRule="auto"/>
        <w:ind w:firstLine="480"/>
      </w:pPr>
      <w:r>
        <w:rPr>
          <w:rFonts w:ascii="Times New Roman" w:hAnsi="Times New Roman" w:eastAsia="宋体"/>
          <w:b w:val="0"/>
          <w:sz w:val="24"/>
        </w:rPr>
        <w:t>2．研究开发经费由甲方分四期支付乙方，具体支付方式和时间如下：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3061"/>
        <w:gridCol w:w="907"/>
        <w:gridCol w:w="1361"/>
        <w:gridCol w:w="2268"/>
      </w:tblGrid>
      <w:tr w14:paraId="6D4C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5986EF5">
            <w:pPr>
              <w:spacing w:before="40" w:after="40" w:line="276" w:lineRule="auto"/>
              <w:jc w:val="center"/>
            </w:pPr>
            <w:r>
              <w:rPr>
                <w:rFonts w:ascii="Times New Roman" w:hAnsi="Times New Roman" w:eastAsia="黑体"/>
                <w:b/>
                <w:sz w:val="19"/>
              </w:rPr>
              <w:t>期次</w:t>
            </w:r>
          </w:p>
        </w:tc>
        <w:tc>
          <w:tcPr>
            <w:tcW w:w="3061" w:type="dxa"/>
          </w:tcPr>
          <w:p w14:paraId="707A143B">
            <w:pPr>
              <w:spacing w:before="40" w:after="40" w:line="276" w:lineRule="auto"/>
              <w:jc w:val="center"/>
            </w:pPr>
            <w:r>
              <w:rPr>
                <w:rFonts w:ascii="Times New Roman" w:hAnsi="Times New Roman" w:eastAsia="黑体"/>
                <w:b/>
                <w:sz w:val="19"/>
              </w:rPr>
              <w:t>付款条件</w:t>
            </w:r>
          </w:p>
        </w:tc>
        <w:tc>
          <w:tcPr>
            <w:tcW w:w="907" w:type="dxa"/>
          </w:tcPr>
          <w:p w14:paraId="7F388E95">
            <w:pPr>
              <w:spacing w:before="40" w:after="40" w:line="276" w:lineRule="auto"/>
              <w:jc w:val="center"/>
            </w:pPr>
            <w:r>
              <w:rPr>
                <w:rFonts w:ascii="Times New Roman" w:hAnsi="Times New Roman" w:eastAsia="黑体"/>
                <w:b/>
                <w:sz w:val="19"/>
              </w:rPr>
              <w:t>比例</w:t>
            </w:r>
          </w:p>
        </w:tc>
        <w:tc>
          <w:tcPr>
            <w:tcW w:w="1361" w:type="dxa"/>
          </w:tcPr>
          <w:p w14:paraId="2DD9816C">
            <w:pPr>
              <w:spacing w:before="40" w:after="40" w:line="276" w:lineRule="auto"/>
              <w:jc w:val="center"/>
            </w:pPr>
            <w:r>
              <w:rPr>
                <w:rFonts w:ascii="Times New Roman" w:hAnsi="Times New Roman" w:eastAsia="黑体"/>
                <w:b/>
                <w:sz w:val="19"/>
              </w:rPr>
              <w:t>金额（元）</w:t>
            </w:r>
          </w:p>
        </w:tc>
        <w:tc>
          <w:tcPr>
            <w:tcW w:w="2268" w:type="dxa"/>
          </w:tcPr>
          <w:p w14:paraId="49301649">
            <w:pPr>
              <w:spacing w:before="40" w:after="40" w:line="276" w:lineRule="auto"/>
              <w:jc w:val="center"/>
            </w:pPr>
            <w:r>
              <w:rPr>
                <w:rFonts w:ascii="Times New Roman" w:hAnsi="Times New Roman" w:eastAsia="黑体"/>
                <w:b/>
                <w:sz w:val="19"/>
              </w:rPr>
              <w:t>支付时间</w:t>
            </w:r>
          </w:p>
        </w:tc>
      </w:tr>
      <w:tr w14:paraId="251F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3125786">
            <w:pPr>
              <w:spacing w:before="40" w:after="40" w:line="276" w:lineRule="auto"/>
            </w:pPr>
            <w:r>
              <w:rPr>
                <w:rFonts w:ascii="Times New Roman" w:hAnsi="Times New Roman" w:eastAsia="宋体"/>
                <w:b w:val="0"/>
                <w:sz w:val="19"/>
              </w:rPr>
              <w:t>首期</w:t>
            </w:r>
          </w:p>
        </w:tc>
        <w:tc>
          <w:tcPr>
            <w:tcW w:w="3061" w:type="dxa"/>
          </w:tcPr>
          <w:p w14:paraId="70FE5D8C">
            <w:pPr>
              <w:spacing w:before="40" w:after="40" w:line="276" w:lineRule="auto"/>
            </w:pPr>
            <w:r>
              <w:rPr>
                <w:rFonts w:ascii="Times New Roman" w:hAnsi="Times New Roman" w:eastAsia="宋体"/>
                <w:b w:val="0"/>
                <w:sz w:val="19"/>
              </w:rPr>
              <w:t>合同生效，乙方提交《项目实施方案》并经甲方评审通过</w:t>
            </w:r>
          </w:p>
        </w:tc>
        <w:tc>
          <w:tcPr>
            <w:tcW w:w="907" w:type="dxa"/>
          </w:tcPr>
          <w:p w14:paraId="2ADB91F8">
            <w:pPr>
              <w:spacing w:before="40" w:after="40" w:line="276" w:lineRule="auto"/>
            </w:pPr>
            <w:r>
              <w:rPr>
                <w:rFonts w:ascii="Times New Roman" w:hAnsi="Times New Roman" w:eastAsia="宋体"/>
                <w:b w:val="0"/>
                <w:sz w:val="19"/>
              </w:rPr>
              <w:t>30%</w:t>
            </w:r>
          </w:p>
        </w:tc>
        <w:tc>
          <w:tcPr>
            <w:tcW w:w="1361" w:type="dxa"/>
          </w:tcPr>
          <w:p w14:paraId="29F68577">
            <w:pPr>
              <w:spacing w:before="40" w:after="40" w:line="276" w:lineRule="auto"/>
            </w:pPr>
            <w:r>
              <w:rPr>
                <w:rFonts w:ascii="Times New Roman" w:hAnsi="Times New Roman" w:eastAsia="宋体"/>
                <w:b w:val="0"/>
                <w:sz w:val="19"/>
              </w:rPr>
              <w:t>136,800.00</w:t>
            </w:r>
          </w:p>
        </w:tc>
        <w:tc>
          <w:tcPr>
            <w:tcW w:w="2268" w:type="dxa"/>
          </w:tcPr>
          <w:p w14:paraId="678E9374">
            <w:pPr>
              <w:spacing w:before="40" w:after="40" w:line="276" w:lineRule="auto"/>
            </w:pPr>
            <w:r>
              <w:rPr>
                <w:rFonts w:ascii="Times New Roman" w:hAnsi="Times New Roman" w:eastAsia="宋体"/>
                <w:b w:val="0"/>
                <w:sz w:val="19"/>
              </w:rPr>
              <w:t>收到付款申请及增值税发票后 15 个工作日内</w:t>
            </w:r>
          </w:p>
        </w:tc>
      </w:tr>
      <w:tr w14:paraId="5709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3B67CC1">
            <w:pPr>
              <w:spacing w:before="40" w:after="40" w:line="276" w:lineRule="auto"/>
            </w:pPr>
            <w:r>
              <w:rPr>
                <w:rFonts w:ascii="Times New Roman" w:hAnsi="Times New Roman" w:eastAsia="宋体"/>
                <w:b w:val="0"/>
                <w:sz w:val="19"/>
              </w:rPr>
              <w:t>第二期</w:t>
            </w:r>
          </w:p>
        </w:tc>
        <w:tc>
          <w:tcPr>
            <w:tcW w:w="3061" w:type="dxa"/>
          </w:tcPr>
          <w:p w14:paraId="44919C64">
            <w:pPr>
              <w:spacing w:before="40" w:after="40" w:line="276" w:lineRule="auto"/>
            </w:pPr>
            <w:r>
              <w:rPr>
                <w:rFonts w:ascii="Times New Roman" w:hAnsi="Times New Roman" w:eastAsia="宋体"/>
                <w:b w:val="0"/>
                <w:sz w:val="19"/>
              </w:rPr>
              <w:t>系统开发完成，部署上线并进入试运行，经甲方确认</w:t>
            </w:r>
          </w:p>
        </w:tc>
        <w:tc>
          <w:tcPr>
            <w:tcW w:w="907" w:type="dxa"/>
          </w:tcPr>
          <w:p w14:paraId="3EB03FA4">
            <w:pPr>
              <w:spacing w:before="40" w:after="40" w:line="276" w:lineRule="auto"/>
            </w:pPr>
            <w:r>
              <w:rPr>
                <w:rFonts w:ascii="Times New Roman" w:hAnsi="Times New Roman" w:eastAsia="宋体"/>
                <w:b w:val="0"/>
                <w:sz w:val="19"/>
              </w:rPr>
              <w:t>30%</w:t>
            </w:r>
          </w:p>
        </w:tc>
        <w:tc>
          <w:tcPr>
            <w:tcW w:w="1361" w:type="dxa"/>
          </w:tcPr>
          <w:p w14:paraId="496B4F8F">
            <w:pPr>
              <w:spacing w:before="40" w:after="40" w:line="276" w:lineRule="auto"/>
            </w:pPr>
            <w:r>
              <w:rPr>
                <w:rFonts w:ascii="Times New Roman" w:hAnsi="Times New Roman" w:eastAsia="宋体"/>
                <w:b w:val="0"/>
                <w:sz w:val="19"/>
              </w:rPr>
              <w:t>136,800.00</w:t>
            </w:r>
          </w:p>
        </w:tc>
        <w:tc>
          <w:tcPr>
            <w:tcW w:w="2268" w:type="dxa"/>
          </w:tcPr>
          <w:p w14:paraId="52D15511">
            <w:pPr>
              <w:spacing w:before="40" w:after="40" w:line="276" w:lineRule="auto"/>
            </w:pPr>
            <w:r>
              <w:rPr>
                <w:rFonts w:ascii="Times New Roman" w:hAnsi="Times New Roman" w:eastAsia="宋体"/>
                <w:b w:val="0"/>
                <w:sz w:val="19"/>
              </w:rPr>
              <w:t>同上</w:t>
            </w:r>
          </w:p>
        </w:tc>
      </w:tr>
      <w:tr w14:paraId="6DD5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8371D99">
            <w:pPr>
              <w:spacing w:before="40" w:after="40" w:line="276" w:lineRule="auto"/>
            </w:pPr>
            <w:r>
              <w:rPr>
                <w:rFonts w:ascii="Times New Roman" w:hAnsi="Times New Roman" w:eastAsia="宋体"/>
                <w:b w:val="0"/>
                <w:sz w:val="19"/>
              </w:rPr>
              <w:t>第三期</w:t>
            </w:r>
          </w:p>
        </w:tc>
        <w:tc>
          <w:tcPr>
            <w:tcW w:w="3061" w:type="dxa"/>
          </w:tcPr>
          <w:p w14:paraId="16D3E0B5">
            <w:pPr>
              <w:spacing w:before="40" w:after="40" w:line="276" w:lineRule="auto"/>
            </w:pPr>
            <w:r>
              <w:rPr>
                <w:rFonts w:ascii="Times New Roman" w:hAnsi="Times New Roman" w:eastAsia="宋体"/>
                <w:b w:val="0"/>
                <w:sz w:val="19"/>
              </w:rPr>
              <w:t>试运行期满，通过初步验收，提交全部交付文档</w:t>
            </w:r>
          </w:p>
        </w:tc>
        <w:tc>
          <w:tcPr>
            <w:tcW w:w="907" w:type="dxa"/>
          </w:tcPr>
          <w:p w14:paraId="10810FF2">
            <w:pPr>
              <w:spacing w:before="40" w:after="40" w:line="276" w:lineRule="auto"/>
            </w:pPr>
            <w:r>
              <w:rPr>
                <w:rFonts w:ascii="Times New Roman" w:hAnsi="Times New Roman" w:eastAsia="宋体"/>
                <w:b w:val="0"/>
                <w:sz w:val="19"/>
              </w:rPr>
              <w:t>30%</w:t>
            </w:r>
          </w:p>
        </w:tc>
        <w:tc>
          <w:tcPr>
            <w:tcW w:w="1361" w:type="dxa"/>
          </w:tcPr>
          <w:p w14:paraId="6DEA1392">
            <w:pPr>
              <w:spacing w:before="40" w:after="40" w:line="276" w:lineRule="auto"/>
            </w:pPr>
            <w:r>
              <w:rPr>
                <w:rFonts w:ascii="Times New Roman" w:hAnsi="Times New Roman" w:eastAsia="宋体"/>
                <w:b w:val="0"/>
                <w:sz w:val="19"/>
              </w:rPr>
              <w:t>136,800.00</w:t>
            </w:r>
          </w:p>
        </w:tc>
        <w:tc>
          <w:tcPr>
            <w:tcW w:w="2268" w:type="dxa"/>
          </w:tcPr>
          <w:p w14:paraId="688C7FFA">
            <w:pPr>
              <w:spacing w:before="40" w:after="40" w:line="276" w:lineRule="auto"/>
            </w:pPr>
            <w:r>
              <w:rPr>
                <w:rFonts w:ascii="Times New Roman" w:hAnsi="Times New Roman" w:eastAsia="宋体"/>
                <w:b w:val="0"/>
                <w:sz w:val="19"/>
              </w:rPr>
              <w:t>同上</w:t>
            </w:r>
          </w:p>
        </w:tc>
      </w:tr>
      <w:tr w14:paraId="6F78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3DCB28F7">
            <w:pPr>
              <w:spacing w:before="40" w:after="40" w:line="276" w:lineRule="auto"/>
            </w:pPr>
            <w:r>
              <w:rPr>
                <w:rFonts w:ascii="Times New Roman" w:hAnsi="Times New Roman" w:eastAsia="宋体"/>
                <w:b w:val="0"/>
                <w:sz w:val="19"/>
              </w:rPr>
              <w:t>末期</w:t>
            </w:r>
          </w:p>
        </w:tc>
        <w:tc>
          <w:tcPr>
            <w:tcW w:w="3061" w:type="dxa"/>
          </w:tcPr>
          <w:p w14:paraId="549ACB3F">
            <w:pPr>
              <w:spacing w:before="40" w:after="40" w:line="276" w:lineRule="auto"/>
            </w:pPr>
            <w:r>
              <w:rPr>
                <w:rFonts w:ascii="Times New Roman" w:hAnsi="Times New Roman" w:eastAsia="宋体"/>
                <w:b w:val="0"/>
                <w:sz w:val="19"/>
              </w:rPr>
              <w:t>最终验收合格并完成 12 个月质保期，无重大质量问题</w:t>
            </w:r>
          </w:p>
        </w:tc>
        <w:tc>
          <w:tcPr>
            <w:tcW w:w="907" w:type="dxa"/>
          </w:tcPr>
          <w:p w14:paraId="2002EC1A">
            <w:pPr>
              <w:spacing w:before="40" w:after="40" w:line="276" w:lineRule="auto"/>
            </w:pPr>
            <w:r>
              <w:rPr>
                <w:rFonts w:ascii="Times New Roman" w:hAnsi="Times New Roman" w:eastAsia="宋体"/>
                <w:b w:val="0"/>
                <w:sz w:val="19"/>
              </w:rPr>
              <w:t>10%</w:t>
            </w:r>
          </w:p>
        </w:tc>
        <w:tc>
          <w:tcPr>
            <w:tcW w:w="1361" w:type="dxa"/>
          </w:tcPr>
          <w:p w14:paraId="05AE5FBF">
            <w:pPr>
              <w:spacing w:before="40" w:after="40" w:line="276" w:lineRule="auto"/>
            </w:pPr>
            <w:r>
              <w:rPr>
                <w:rFonts w:ascii="Times New Roman" w:hAnsi="Times New Roman" w:eastAsia="宋体"/>
                <w:b w:val="0"/>
                <w:sz w:val="19"/>
              </w:rPr>
              <w:t>45,600.00</w:t>
            </w:r>
          </w:p>
        </w:tc>
        <w:tc>
          <w:tcPr>
            <w:tcW w:w="2268" w:type="dxa"/>
          </w:tcPr>
          <w:p w14:paraId="7412F75D">
            <w:pPr>
              <w:spacing w:before="40" w:after="40" w:line="276" w:lineRule="auto"/>
            </w:pPr>
            <w:r>
              <w:rPr>
                <w:rFonts w:ascii="Times New Roman" w:hAnsi="Times New Roman" w:eastAsia="宋体"/>
                <w:b w:val="0"/>
                <w:sz w:val="19"/>
              </w:rPr>
              <w:t>质保期满后 15 个工作日内</w:t>
            </w:r>
          </w:p>
        </w:tc>
      </w:tr>
    </w:tbl>
    <w:p w14:paraId="656890F0">
      <w:pPr>
        <w:spacing w:after="80"/>
      </w:pPr>
    </w:p>
    <w:p w14:paraId="2C395470">
      <w:pPr>
        <w:spacing w:before="0" w:after="120" w:line="360" w:lineRule="auto"/>
        <w:ind w:firstLine="480"/>
      </w:pPr>
      <w:r>
        <w:rPr>
          <w:rFonts w:ascii="Times New Roman" w:hAnsi="Times New Roman" w:eastAsia="宋体"/>
          <w:b w:val="0"/>
          <w:sz w:val="24"/>
        </w:rPr>
        <w:t>3．支付方式：银行转账。乙方开户银行：招商银行股份有限公司武汉雄楚支行；账号：</w:t>
      </w:r>
      <w:r>
        <w:rPr>
          <w:rFonts w:hint="eastAsia"/>
          <w:b w:val="0"/>
          <w:sz w:val="24"/>
          <w:lang w:val="en-US" w:eastAsia="zh-CN"/>
        </w:rPr>
        <w:t>0000 0000 0000 0000</w:t>
      </w:r>
      <w:r>
        <w:rPr>
          <w:rFonts w:ascii="Times New Roman" w:hAnsi="Times New Roman" w:eastAsia="宋体"/>
          <w:b w:val="0"/>
          <w:sz w:val="24"/>
        </w:rPr>
        <w:t>。</w:t>
      </w:r>
    </w:p>
    <w:p w14:paraId="18B8932D">
      <w:pPr>
        <w:spacing w:before="0" w:after="120" w:line="360" w:lineRule="auto"/>
        <w:ind w:firstLine="480"/>
      </w:pPr>
      <w:r>
        <w:rPr>
          <w:rFonts w:ascii="Times New Roman" w:hAnsi="Times New Roman" w:eastAsia="宋体"/>
          <w:b w:val="0"/>
          <w:sz w:val="24"/>
        </w:rPr>
        <w:t>4．上述经费为包干价，已包含软件开发的全部成本、税费、差旅、培训、验收评审及质保期运维费用，甲方不再另行支付其他任何费用。</w:t>
      </w:r>
    </w:p>
    <w:p w14:paraId="43592E13">
      <w:pPr>
        <w:spacing w:before="0" w:after="120" w:line="360" w:lineRule="auto"/>
        <w:ind w:firstLine="480"/>
      </w:pPr>
      <w:r>
        <w:rPr>
          <w:rFonts w:ascii="Times New Roman" w:hAnsi="Times New Roman" w:eastAsia="宋体"/>
          <w:b w:val="0"/>
          <w:sz w:val="24"/>
        </w:rPr>
        <w:t>5．本合同总价款与中标通知书、投标文件、招标文件一致；如需追加委托事项导致工作量明显增加的，双方另行协商并签订补充协议。</w:t>
      </w:r>
    </w:p>
    <w:p w14:paraId="32E2AC18">
      <w:pPr>
        <w:spacing w:before="240" w:after="200" w:line="360" w:lineRule="auto"/>
        <w:jc w:val="center"/>
      </w:pPr>
      <w:r>
        <w:rPr>
          <w:rFonts w:ascii="Times New Roman" w:hAnsi="Times New Roman" w:eastAsia="黑体"/>
          <w:b/>
          <w:sz w:val="32"/>
        </w:rPr>
        <w:t>第六条  保密协议：</w:t>
      </w:r>
    </w:p>
    <w:p w14:paraId="3B88D0D7">
      <w:pPr>
        <w:spacing w:before="0" w:after="120" w:line="360" w:lineRule="auto"/>
        <w:ind w:firstLine="480"/>
      </w:pPr>
      <w:r>
        <w:rPr>
          <w:rFonts w:ascii="Times New Roman" w:hAnsi="Times New Roman" w:eastAsia="宋体"/>
          <w:b w:val="0"/>
          <w:sz w:val="24"/>
        </w:rPr>
        <w:t>甲方：</w:t>
      </w:r>
    </w:p>
    <w:p w14:paraId="11D26B80">
      <w:pPr>
        <w:spacing w:before="0" w:after="120" w:line="360" w:lineRule="auto"/>
        <w:ind w:firstLine="480"/>
      </w:pPr>
      <w:r>
        <w:rPr>
          <w:rFonts w:ascii="Times New Roman" w:hAnsi="Times New Roman" w:eastAsia="宋体"/>
          <w:b w:val="0"/>
          <w:sz w:val="24"/>
        </w:rPr>
        <w:t>1. 保密内容（包括技术信息和经营信息）：①乙方提供的技术方案、源代码、算法参数、设计文档；②乙方的商务报价与成本核算信息；③未经乙方同意不得对外转让或泄露。</w:t>
      </w:r>
    </w:p>
    <w:p w14:paraId="1FB36AC1">
      <w:pPr>
        <w:spacing w:before="0" w:after="120" w:line="360" w:lineRule="auto"/>
        <w:ind w:firstLine="480"/>
      </w:pPr>
      <w:r>
        <w:rPr>
          <w:rFonts w:ascii="Times New Roman" w:hAnsi="Times New Roman" w:eastAsia="宋体"/>
          <w:b w:val="0"/>
          <w:sz w:val="24"/>
        </w:rPr>
        <w:t>2. 涉密人员范围：直接或间接涉及本合同技术的有关人员。</w:t>
      </w:r>
    </w:p>
    <w:p w14:paraId="2932C9A1">
      <w:pPr>
        <w:spacing w:before="0" w:after="120" w:line="360" w:lineRule="auto"/>
        <w:ind w:firstLine="480"/>
      </w:pPr>
      <w:r>
        <w:rPr>
          <w:rFonts w:ascii="Times New Roman" w:hAnsi="Times New Roman" w:eastAsia="宋体"/>
          <w:b w:val="0"/>
          <w:sz w:val="24"/>
        </w:rPr>
        <w:t>3. 保密期限：自本合同签订之日起至 2029 年 12 月 31 日（本约定不作为合同有效期）。</w:t>
      </w:r>
    </w:p>
    <w:p w14:paraId="23D6B21A">
      <w:pPr>
        <w:spacing w:before="0" w:after="120" w:line="360" w:lineRule="auto"/>
        <w:ind w:firstLine="480"/>
      </w:pPr>
      <w:r>
        <w:rPr>
          <w:rFonts w:ascii="Times New Roman" w:hAnsi="Times New Roman" w:eastAsia="宋体"/>
          <w:b w:val="0"/>
          <w:sz w:val="24"/>
        </w:rPr>
        <w:t>4. 泄密责任：按本合同约定承担责任，并依照法律法规承担相应责任。</w:t>
      </w:r>
    </w:p>
    <w:p w14:paraId="0959E623">
      <w:pPr>
        <w:spacing w:before="0" w:after="120" w:line="360" w:lineRule="auto"/>
        <w:ind w:firstLine="480"/>
      </w:pPr>
      <w:r>
        <w:rPr>
          <w:rFonts w:ascii="Times New Roman" w:hAnsi="Times New Roman" w:eastAsia="宋体"/>
          <w:b w:val="0"/>
          <w:sz w:val="24"/>
        </w:rPr>
        <w:t>乙方：</w:t>
      </w:r>
    </w:p>
    <w:p w14:paraId="6B45F2E9">
      <w:pPr>
        <w:spacing w:before="0" w:after="120" w:line="360" w:lineRule="auto"/>
        <w:ind w:firstLine="480"/>
      </w:pPr>
      <w:r>
        <w:rPr>
          <w:rFonts w:ascii="Times New Roman" w:hAnsi="Times New Roman" w:eastAsia="宋体"/>
          <w:b w:val="0"/>
          <w:sz w:val="24"/>
        </w:rPr>
        <w:t>1. 保密内容（包括技术信息和经营信息）：①涉及本合同的技术文件、资料、经营信息和商业秘密；②甲方提供的矿区生产数据、车辆台账、称重数据、结算数据、账号口令；③本合同技术标的及应用方向。</w:t>
      </w:r>
    </w:p>
    <w:p w14:paraId="7F482F9B">
      <w:pPr>
        <w:spacing w:before="0" w:after="120" w:line="360" w:lineRule="auto"/>
        <w:ind w:firstLine="480"/>
      </w:pPr>
      <w:r>
        <w:rPr>
          <w:rFonts w:ascii="Times New Roman" w:hAnsi="Times New Roman" w:eastAsia="宋体"/>
          <w:b w:val="0"/>
          <w:sz w:val="24"/>
        </w:rPr>
        <w:t>2. 涉密人员范围：①直接或间接涉及本合同技术的有关人员；②乙方的研究开发人员与驻场人员；③涉及与该技术成果相关的其他人员。全体项目人员须签署《网络安全与数据保密承诺》。</w:t>
      </w:r>
    </w:p>
    <w:p w14:paraId="7AFF873E">
      <w:pPr>
        <w:spacing w:before="0" w:after="120" w:line="360" w:lineRule="auto"/>
        <w:ind w:firstLine="480"/>
      </w:pPr>
      <w:r>
        <w:rPr>
          <w:rFonts w:ascii="Times New Roman" w:hAnsi="Times New Roman" w:eastAsia="宋体"/>
          <w:b w:val="0"/>
          <w:sz w:val="24"/>
        </w:rPr>
        <w:t>3. 保密期限：自本合同签订之日起至 2029 年 12 月 31 日；涉及甲方生产数据的，保密义务长期有效。</w:t>
      </w:r>
    </w:p>
    <w:p w14:paraId="4C400FFF">
      <w:pPr>
        <w:spacing w:before="0" w:after="120" w:line="360" w:lineRule="auto"/>
        <w:ind w:firstLine="480"/>
      </w:pPr>
      <w:r>
        <w:rPr>
          <w:rFonts w:ascii="Times New Roman" w:hAnsi="Times New Roman" w:eastAsia="宋体"/>
          <w:b w:val="0"/>
          <w:sz w:val="24"/>
        </w:rPr>
        <w:t>4. 泄密责任：乙方及其人员违反保密义务的，乙方应立即采取补救措施，向甲方支付合同总价款 10% 的违约金，并赔偿由此给甲方造成的全部损失；情节严重的，甲方有权解除合同并追究法律责任。</w:t>
      </w:r>
    </w:p>
    <w:p w14:paraId="4E5E9A6F">
      <w:pPr>
        <w:spacing w:before="240" w:after="200" w:line="360" w:lineRule="auto"/>
        <w:jc w:val="center"/>
      </w:pPr>
      <w:r>
        <w:rPr>
          <w:rFonts w:ascii="Times New Roman" w:hAnsi="Times New Roman" w:eastAsia="黑体"/>
          <w:b/>
          <w:sz w:val="32"/>
        </w:rPr>
        <w:t>第七条  乙方应当按以下方式向甲方交付研究开发成果：</w:t>
      </w:r>
    </w:p>
    <w:p w14:paraId="3BBE698B">
      <w:pPr>
        <w:spacing w:before="0" w:after="120" w:line="360" w:lineRule="auto"/>
        <w:ind w:firstLine="480"/>
      </w:pPr>
      <w:r>
        <w:rPr>
          <w:rFonts w:ascii="Times New Roman" w:hAnsi="Times New Roman" w:eastAsia="宋体"/>
          <w:b w:val="0"/>
          <w:sz w:val="24"/>
        </w:rPr>
        <w:t>1．研究开发成果交付的形式及数量：</w:t>
      </w:r>
    </w:p>
    <w:p w14:paraId="64C55B30">
      <w:pPr>
        <w:spacing w:before="0" w:after="120" w:line="360" w:lineRule="auto"/>
        <w:ind w:firstLine="480"/>
      </w:pPr>
      <w:r>
        <w:rPr>
          <w:rFonts w:ascii="Times New Roman" w:hAnsi="Times New Roman" w:eastAsia="宋体"/>
          <w:b w:val="0"/>
          <w:sz w:val="24"/>
        </w:rPr>
        <w:t>（1）软件成果：可运行的矿井货车倒矿智能管控系统 1 套（Web 管理端 + 可视化看板 + 移动端 H5），部署于甲方内网服务器；系统完整源代码 1 份（含编译脚本、部署脚本、第三方组件清单），以移动存储介质或甲方指定方式交付；系统管理员账号及全部权限。</w:t>
      </w:r>
    </w:p>
    <w:p w14:paraId="561BE11F">
      <w:pPr>
        <w:spacing w:before="0" w:after="120" w:line="360" w:lineRule="auto"/>
        <w:ind w:firstLine="480"/>
      </w:pPr>
      <w:r>
        <w:rPr>
          <w:rFonts w:ascii="Times New Roman" w:hAnsi="Times New Roman" w:eastAsia="宋体"/>
          <w:b w:val="0"/>
          <w:sz w:val="24"/>
        </w:rPr>
        <w:t>（2）文档成果（纸质版 2 套、电子版 1 套）：需求规格说明书、概要设计说明书、详细设计说明书、数据库设计说明书、接口设计文档、项目实施方案、测试方案与测试报告、部署手册、用户操作手册、系统运维手册、培训教材与培训记录、试运行报告、项目验收报告。</w:t>
      </w:r>
    </w:p>
    <w:p w14:paraId="1A2A9704">
      <w:pPr>
        <w:spacing w:before="0" w:after="120" w:line="360" w:lineRule="auto"/>
        <w:ind w:firstLine="480"/>
      </w:pPr>
      <w:r>
        <w:rPr>
          <w:rFonts w:ascii="Times New Roman" w:hAnsi="Times New Roman" w:eastAsia="宋体"/>
          <w:b w:val="0"/>
          <w:sz w:val="24"/>
        </w:rPr>
        <w:t>2．研究开发成果交付的时间及地点：软件成果于合同生效后 4.5 个月内在甲方指定地点（矿区调度中心）完成部署上线；全部文档于各阶段评审通过后 10 个工作日内提交，最终成果于最终验收前一次性提交。</w:t>
      </w:r>
    </w:p>
    <w:p w14:paraId="44660207">
      <w:pPr>
        <w:spacing w:before="240" w:after="200" w:line="360" w:lineRule="auto"/>
        <w:jc w:val="center"/>
      </w:pPr>
      <w:r>
        <w:rPr>
          <w:rFonts w:ascii="Times New Roman" w:hAnsi="Times New Roman" w:eastAsia="黑体"/>
          <w:b/>
          <w:sz w:val="32"/>
        </w:rPr>
        <w:t>第八条  双方确定，按以下标准及方法对乙方完成的研究开发成果进行验收：</w:t>
      </w:r>
    </w:p>
    <w:p w14:paraId="3EC27D33">
      <w:pPr>
        <w:spacing w:before="0" w:after="120" w:line="360" w:lineRule="auto"/>
        <w:ind w:firstLine="480"/>
      </w:pPr>
      <w:r>
        <w:rPr>
          <w:rFonts w:ascii="Times New Roman" w:hAnsi="Times New Roman" w:eastAsia="宋体"/>
          <w:b w:val="0"/>
          <w:sz w:val="24"/>
        </w:rPr>
        <w:t>1．验收标准：招标文件、投标文件、本合同、《需求规格说明书》及双方确认的变更文件；第一条约定的技术指标与参数；国家与行业相关标准（GB/T 8566 软件生存周期过程、GB/T 25000 系统与软件质量要求等）。</w:t>
      </w:r>
    </w:p>
    <w:p w14:paraId="0ED85085">
      <w:pPr>
        <w:spacing w:before="0" w:after="120" w:line="360" w:lineRule="auto"/>
        <w:ind w:firstLine="480"/>
      </w:pPr>
      <w:r>
        <w:rPr>
          <w:rFonts w:ascii="Times New Roman" w:hAnsi="Times New Roman" w:eastAsia="宋体"/>
          <w:b w:val="0"/>
          <w:sz w:val="24"/>
        </w:rPr>
        <w:t>2．验收方法：</w:t>
      </w:r>
    </w:p>
    <w:p w14:paraId="03FC2E75">
      <w:pPr>
        <w:spacing w:after="60" w:line="360" w:lineRule="auto"/>
        <w:ind w:left="480" w:hanging="240"/>
      </w:pPr>
      <w:r>
        <w:rPr>
          <w:rFonts w:ascii="Times New Roman" w:hAnsi="Times New Roman" w:eastAsia="宋体"/>
          <w:b w:val="0"/>
          <w:sz w:val="24"/>
        </w:rPr>
        <w:t>· （1）功能验收：对照《需求规格说明书》逐项核验系统功能，功能实现率须达 100%；</w:t>
      </w:r>
    </w:p>
    <w:p w14:paraId="1BB70259">
      <w:pPr>
        <w:spacing w:after="60" w:line="360" w:lineRule="auto"/>
        <w:ind w:left="480" w:hanging="240"/>
      </w:pPr>
      <w:r>
        <w:rPr>
          <w:rFonts w:ascii="Times New Roman" w:hAnsi="Times New Roman" w:eastAsia="宋体"/>
          <w:b w:val="0"/>
          <w:sz w:val="24"/>
        </w:rPr>
        <w:t>· （2）性能验收：按第一条技术指标进行实测（车牌识别准确率、计次准确率、告警时延、并发能力、可用率、查询响应），测试结果须全部达标；</w:t>
      </w:r>
    </w:p>
    <w:p w14:paraId="47513E6F">
      <w:pPr>
        <w:spacing w:after="60" w:line="360" w:lineRule="auto"/>
        <w:ind w:left="480" w:hanging="240"/>
      </w:pPr>
      <w:r>
        <w:rPr>
          <w:rFonts w:ascii="Times New Roman" w:hAnsi="Times New Roman" w:eastAsia="宋体"/>
          <w:b w:val="0"/>
          <w:sz w:val="24"/>
        </w:rPr>
        <w:t>· （3）试运行：系统连续试运行不少于 2 个月，运行稳定、无重大缺陷；</w:t>
      </w:r>
    </w:p>
    <w:p w14:paraId="5C4C1400">
      <w:pPr>
        <w:spacing w:after="60" w:line="360" w:lineRule="auto"/>
        <w:ind w:left="480" w:hanging="240"/>
      </w:pPr>
      <w:r>
        <w:rPr>
          <w:rFonts w:ascii="Times New Roman" w:hAnsi="Times New Roman" w:eastAsia="宋体"/>
          <w:b w:val="0"/>
          <w:sz w:val="24"/>
        </w:rPr>
        <w:t>· （4）文档验收：交付文档齐全、规范，符合数字化交付要求；</w:t>
      </w:r>
    </w:p>
    <w:p w14:paraId="08762830">
      <w:pPr>
        <w:spacing w:after="60" w:line="360" w:lineRule="auto"/>
        <w:ind w:left="480" w:hanging="240"/>
      </w:pPr>
      <w:r>
        <w:rPr>
          <w:rFonts w:ascii="Times New Roman" w:hAnsi="Times New Roman" w:eastAsia="宋体"/>
          <w:b w:val="0"/>
          <w:sz w:val="24"/>
        </w:rPr>
        <w:t>· （5）验收组织：由甲方组织验收会议，必要时邀请外部专家参加，形成《项目验收报告》，双方签字盖章后视为验收通过。</w:t>
      </w:r>
    </w:p>
    <w:p w14:paraId="03725813">
      <w:pPr>
        <w:spacing w:before="0" w:after="120" w:line="360" w:lineRule="auto"/>
        <w:ind w:firstLine="480"/>
      </w:pPr>
      <w:r>
        <w:rPr>
          <w:rFonts w:ascii="Times New Roman" w:hAnsi="Times New Roman" w:eastAsia="宋体"/>
          <w:b w:val="0"/>
          <w:sz w:val="24"/>
        </w:rPr>
        <w:t>3．验收不合格的，甲方给予乙方不超过 30 日的整改期，乙方应无偿整改并承担整改费用；整改后仍不合格的，甲方有权解除合同，乙方退还已收取的全部款项并支付合同总价款 10% 的违约金。</w:t>
      </w:r>
    </w:p>
    <w:p w14:paraId="14A8E628">
      <w:pPr>
        <w:spacing w:before="240" w:after="200" w:line="360" w:lineRule="auto"/>
        <w:jc w:val="center"/>
      </w:pPr>
      <w:r>
        <w:rPr>
          <w:rFonts w:ascii="Times New Roman" w:hAnsi="Times New Roman" w:eastAsia="黑体"/>
          <w:b/>
          <w:sz w:val="32"/>
        </w:rPr>
        <w:t>第九条  乙方应当保证其交付给甲方的研究开发成果不侵犯任何第三人的合法权益。</w:t>
      </w:r>
    </w:p>
    <w:p w14:paraId="4A5E8A9D">
      <w:pPr>
        <w:spacing w:before="0" w:after="120" w:line="360" w:lineRule="auto"/>
        <w:ind w:firstLine="480"/>
      </w:pPr>
      <w:r>
        <w:rPr>
          <w:rFonts w:ascii="Times New Roman" w:hAnsi="Times New Roman" w:eastAsia="宋体"/>
          <w:b w:val="0"/>
          <w:sz w:val="24"/>
        </w:rPr>
        <w:t>如发生第三人指控甲方实施的技术侵权，乙方应当承担甲方由此而产生的经济损失和其他责任；本约定具有溯及力，合同结束后本约定仍然有约束力。乙方使用的第三方开源组件须符合开源许可协议，并在交付时提供组件清单及许可说明。</w:t>
      </w:r>
    </w:p>
    <w:p w14:paraId="5382DA07">
      <w:pPr>
        <w:spacing w:before="240" w:after="200" w:line="360" w:lineRule="auto"/>
        <w:jc w:val="center"/>
      </w:pPr>
      <w:r>
        <w:rPr>
          <w:rFonts w:ascii="Times New Roman" w:hAnsi="Times New Roman" w:eastAsia="黑体"/>
          <w:b/>
          <w:sz w:val="32"/>
        </w:rPr>
        <w:t>第十条  双方确定，因履行本合同所产生的研究开发成果及其相关知识产权权利归属，按下列第 1 种方式处理：</w:t>
      </w:r>
    </w:p>
    <w:p w14:paraId="62DFCB7C">
      <w:pPr>
        <w:spacing w:before="0" w:after="120" w:line="360" w:lineRule="auto"/>
        <w:ind w:firstLine="480"/>
      </w:pPr>
      <w:r>
        <w:rPr>
          <w:rFonts w:ascii="Times New Roman" w:hAnsi="Times New Roman" w:eastAsia="宋体"/>
          <w:b w:val="0"/>
          <w:sz w:val="24"/>
        </w:rPr>
        <w:t>1．本项目为纯软件开发项目，知识产权归委托方（甲方）所有：</w:t>
      </w:r>
    </w:p>
    <w:p w14:paraId="76CCA2CE">
      <w:pPr>
        <w:spacing w:after="60" w:line="360" w:lineRule="auto"/>
        <w:ind w:left="480" w:hanging="240"/>
      </w:pPr>
      <w:r>
        <w:rPr>
          <w:rFonts w:ascii="Times New Roman" w:hAnsi="Times New Roman" w:eastAsia="宋体"/>
          <w:b w:val="0"/>
          <w:sz w:val="24"/>
        </w:rPr>
        <w:t>· （1）乙方为履行本合同所开发的软件（含源代码、目标代码、文档、数据库结构、算法实现）的著作权、专利申请权及其他知识产权，自成果交付之日起归甲方所有；</w:t>
      </w:r>
    </w:p>
    <w:p w14:paraId="2DF6E5BF">
      <w:pPr>
        <w:spacing w:after="60" w:line="360" w:lineRule="auto"/>
        <w:ind w:left="480" w:hanging="240"/>
      </w:pPr>
      <w:r>
        <w:rPr>
          <w:rFonts w:ascii="Times New Roman" w:hAnsi="Times New Roman" w:eastAsia="宋体"/>
          <w:b w:val="0"/>
          <w:sz w:val="24"/>
        </w:rPr>
        <w:t>· （2）乙方在本合同签订前已独立拥有知识产权的基础平台、通用组件与开发工具，其权利仍归乙方所有；乙方在此授予甲方在本项目范围内永久、免费、不可撤销的使用权，并允许甲方为维护本系统之目的进行修改；</w:t>
      </w:r>
    </w:p>
    <w:p w14:paraId="5B534251">
      <w:pPr>
        <w:spacing w:after="60" w:line="360" w:lineRule="auto"/>
        <w:ind w:left="480" w:hanging="240"/>
      </w:pPr>
      <w:r>
        <w:rPr>
          <w:rFonts w:ascii="Times New Roman" w:hAnsi="Times New Roman" w:eastAsia="宋体"/>
          <w:b w:val="0"/>
          <w:sz w:val="24"/>
        </w:rPr>
        <w:t>· （3）未经甲方书面同意，乙方不得将本项目成果用于其他项目或向第三方转让、许可。</w:t>
      </w:r>
    </w:p>
    <w:p w14:paraId="39880015">
      <w:pPr>
        <w:spacing w:before="0" w:after="120" w:line="360" w:lineRule="auto"/>
        <w:ind w:firstLine="480"/>
      </w:pPr>
      <w:r>
        <w:rPr>
          <w:rFonts w:ascii="Times New Roman" w:hAnsi="Times New Roman" w:eastAsia="宋体"/>
          <w:b w:val="0"/>
          <w:sz w:val="24"/>
        </w:rPr>
        <w:t>2．（本项不适用，空白不填）</w:t>
      </w:r>
    </w:p>
    <w:p w14:paraId="2FFCE2CA">
      <w:pPr>
        <w:spacing w:before="240" w:after="200" w:line="360" w:lineRule="auto"/>
        <w:jc w:val="center"/>
      </w:pPr>
      <w:r>
        <w:rPr>
          <w:rFonts w:ascii="Times New Roman" w:hAnsi="Times New Roman" w:eastAsia="黑体"/>
          <w:b/>
          <w:sz w:val="32"/>
        </w:rPr>
        <w:t>第十一条  乙方不得在向甲方交付研究开发成果之前，自行将研究开发成果转让给第三人。</w:t>
      </w:r>
    </w:p>
    <w:p w14:paraId="7F1AACCC">
      <w:pPr>
        <w:spacing w:before="240" w:after="200" w:line="360" w:lineRule="auto"/>
        <w:jc w:val="center"/>
      </w:pPr>
      <w:r>
        <w:rPr>
          <w:rFonts w:ascii="Times New Roman" w:hAnsi="Times New Roman" w:eastAsia="黑体"/>
          <w:b/>
          <w:sz w:val="32"/>
        </w:rPr>
        <w:t>第十二条  乙方完成本合同项目的研究开发人员享有在有关技术成果文件上写明技术成果完成者的权利和取得有关荣誉证书、奖励的权利。</w:t>
      </w:r>
    </w:p>
    <w:p w14:paraId="26C9A94A">
      <w:pPr>
        <w:spacing w:before="240" w:after="200" w:line="360" w:lineRule="auto"/>
        <w:jc w:val="center"/>
      </w:pPr>
      <w:r>
        <w:rPr>
          <w:rFonts w:ascii="Times New Roman" w:hAnsi="Times New Roman" w:eastAsia="黑体"/>
          <w:b/>
          <w:sz w:val="32"/>
        </w:rPr>
        <w:t>第十三条  乙方利用研究开发经费所购置与研究开发工作有关的设备、器材、资料等财产，归乙方所有；甲方提供或出资购置的设备、器材、资料，归甲方所有。</w:t>
      </w:r>
    </w:p>
    <w:p w14:paraId="68CCBC1B">
      <w:pPr>
        <w:spacing w:before="240" w:after="200" w:line="360" w:lineRule="auto"/>
        <w:jc w:val="center"/>
      </w:pPr>
      <w:r>
        <w:rPr>
          <w:rFonts w:ascii="Times New Roman" w:hAnsi="Times New Roman" w:eastAsia="黑体"/>
          <w:b/>
          <w:sz w:val="32"/>
        </w:rPr>
        <w:t>第十四条  乙方应在向甲方交付研究开发成果后，根据甲方的请求，为甲方指定的人员提供技术指导和培训，或提供与使用该研究开发成果相关的技术服务。</w:t>
      </w:r>
    </w:p>
    <w:p w14:paraId="639C47D0">
      <w:pPr>
        <w:spacing w:before="0" w:after="120" w:line="360" w:lineRule="auto"/>
        <w:ind w:firstLine="480"/>
      </w:pPr>
      <w:r>
        <w:rPr>
          <w:rFonts w:ascii="Times New Roman" w:hAnsi="Times New Roman" w:eastAsia="宋体"/>
          <w:b w:val="0"/>
          <w:sz w:val="24"/>
        </w:rPr>
        <w:t>1．技术服务和指导内容：①系统操作培训（调度员、司磅员）；②系统管理与维护培训（系统管理员）；③告警处置与报表看板使用培训（安全监管与管理人员）；④运行期技术指导与咨询。</w:t>
      </w:r>
    </w:p>
    <w:p w14:paraId="5DA7BCC6">
      <w:pPr>
        <w:spacing w:before="0" w:after="120" w:line="360" w:lineRule="auto"/>
        <w:ind w:firstLine="480"/>
      </w:pPr>
      <w:r>
        <w:rPr>
          <w:rFonts w:ascii="Times New Roman" w:hAnsi="Times New Roman" w:eastAsia="宋体"/>
          <w:b w:val="0"/>
          <w:sz w:val="24"/>
        </w:rPr>
        <w:t>2．地点和方式：甲方所属矿区现场；方式为现场授课 + 实操演练，共 3 场次、累计不少于 12 课时，并提供纸质与电子教材。</w:t>
      </w:r>
    </w:p>
    <w:p w14:paraId="09B504A0">
      <w:pPr>
        <w:spacing w:before="0" w:after="120" w:line="360" w:lineRule="auto"/>
        <w:ind w:firstLine="480"/>
      </w:pPr>
      <w:r>
        <w:rPr>
          <w:rFonts w:ascii="Times New Roman" w:hAnsi="Times New Roman" w:eastAsia="宋体"/>
          <w:b w:val="0"/>
          <w:sz w:val="24"/>
        </w:rPr>
        <w:t>3．费用及支付方式：本合同总价款已包含培训费用，甲方不再另行支付；质保期内另提供 2 次免费补充培训。质保期满后如需新增培训，双方另行协商。</w:t>
      </w:r>
    </w:p>
    <w:p w14:paraId="7D4BFBDC">
      <w:pPr>
        <w:spacing w:before="240" w:after="200" w:line="360" w:lineRule="auto"/>
        <w:jc w:val="center"/>
      </w:pPr>
      <w:r>
        <w:rPr>
          <w:rFonts w:ascii="Times New Roman" w:hAnsi="Times New Roman" w:eastAsia="黑体"/>
          <w:b/>
          <w:sz w:val="32"/>
        </w:rPr>
        <w:t>第十五条  双方确定：任何一方违反本合同约定，造成研究开发工作停滞、延误或失败的，按以下约定承担违约责任：</w:t>
      </w:r>
    </w:p>
    <w:p w14:paraId="2FE8E6F0">
      <w:pPr>
        <w:spacing w:before="0" w:after="120" w:line="360" w:lineRule="auto"/>
        <w:ind w:firstLine="480"/>
      </w:pPr>
      <w:r>
        <w:rPr>
          <w:rFonts w:ascii="Times New Roman" w:hAnsi="Times New Roman" w:eastAsia="宋体"/>
          <w:b w:val="0"/>
          <w:sz w:val="24"/>
        </w:rPr>
        <w:t>1．甲方违反本合同第五条约定，逾期支付合同价款的，每逾期 1 天按逾期支付金额的 0.5‰ 支付违约金，累计不超过合同总价款的 10%；因甲方内部付款审批流程导致延迟的除外。</w:t>
      </w:r>
    </w:p>
    <w:p w14:paraId="32190C90">
      <w:pPr>
        <w:spacing w:before="0" w:after="120" w:line="360" w:lineRule="auto"/>
        <w:ind w:firstLine="480"/>
      </w:pPr>
      <w:r>
        <w:rPr>
          <w:rFonts w:ascii="Times New Roman" w:hAnsi="Times New Roman" w:eastAsia="宋体"/>
          <w:b w:val="0"/>
          <w:sz w:val="24"/>
        </w:rPr>
        <w:t>2．乙方违反本合同第三条约定，因自身原因逾期提交成果的，每逾期 1 天按合同总价款的 0.5‰ 支付违约金，累计不超过合同总价款的 10%；逾期超过 30 日的，甲方有权解除合同，乙方退还已收取的全部款项并支付合同总价款 10% 的违约金。</w:t>
      </w:r>
    </w:p>
    <w:p w14:paraId="0CB9AA52">
      <w:pPr>
        <w:spacing w:before="0" w:after="120" w:line="360" w:lineRule="auto"/>
        <w:ind w:firstLine="480"/>
      </w:pPr>
      <w:r>
        <w:rPr>
          <w:rFonts w:ascii="Times New Roman" w:hAnsi="Times New Roman" w:eastAsia="宋体"/>
          <w:b w:val="0"/>
          <w:sz w:val="24"/>
        </w:rPr>
        <w:t>3．乙方交付的成果经整改后仍未达到第一条技术指标或第八条验收标准的，甲方有权解除合同，乙方应退还全部已收款项并支付合同总价款 10% 的违约金；给甲方造成损失的，还应赔偿实际损失。</w:t>
      </w:r>
    </w:p>
    <w:p w14:paraId="72155C0F">
      <w:pPr>
        <w:spacing w:before="0" w:after="120" w:line="360" w:lineRule="auto"/>
        <w:ind w:firstLine="480"/>
      </w:pPr>
      <w:r>
        <w:rPr>
          <w:rFonts w:ascii="Times New Roman" w:hAnsi="Times New Roman" w:eastAsia="宋体"/>
          <w:b w:val="0"/>
          <w:sz w:val="24"/>
        </w:rPr>
        <w:t>4．乙方违反本合同第十一条约定擅自转让成果，或未经甲方同意将项目转包、违法分包给第三方的，甲方有权解除合同，乙方支付合同总价款 10% 的违约金并退还已收款项。</w:t>
      </w:r>
    </w:p>
    <w:p w14:paraId="5BC91370">
      <w:pPr>
        <w:spacing w:before="0" w:after="120" w:line="360" w:lineRule="auto"/>
        <w:ind w:firstLine="480"/>
      </w:pPr>
      <w:r>
        <w:rPr>
          <w:rFonts w:ascii="Times New Roman" w:hAnsi="Times New Roman" w:eastAsia="宋体"/>
          <w:b w:val="0"/>
          <w:sz w:val="24"/>
        </w:rPr>
        <w:t>5．乙方违反本合同第六条保密约定的，按第六条约定承担违约责任。</w:t>
      </w:r>
    </w:p>
    <w:p w14:paraId="2FADE1F2">
      <w:pPr>
        <w:spacing w:before="0" w:after="120" w:line="360" w:lineRule="auto"/>
        <w:ind w:firstLine="480"/>
      </w:pPr>
      <w:r>
        <w:rPr>
          <w:rFonts w:ascii="Times New Roman" w:hAnsi="Times New Roman" w:eastAsia="宋体"/>
          <w:b w:val="0"/>
          <w:sz w:val="24"/>
        </w:rPr>
        <w:t>6．合同生效后，双方不得任意终止合同，否则违约方赔偿对方合同总价款的 10% 作为违约金。</w:t>
      </w:r>
    </w:p>
    <w:p w14:paraId="3C055346">
      <w:pPr>
        <w:spacing w:before="240" w:after="200" w:line="360" w:lineRule="auto"/>
        <w:jc w:val="center"/>
      </w:pPr>
      <w:r>
        <w:rPr>
          <w:rFonts w:ascii="Times New Roman" w:hAnsi="Times New Roman" w:eastAsia="黑体"/>
          <w:b/>
          <w:sz w:val="32"/>
        </w:rPr>
        <w:t>第十六条  后续改进成果的权属：</w:t>
      </w:r>
    </w:p>
    <w:p w14:paraId="5D2A4039">
      <w:pPr>
        <w:spacing w:before="0" w:after="120" w:line="360" w:lineRule="auto"/>
        <w:ind w:firstLine="480"/>
      </w:pPr>
      <w:r>
        <w:rPr>
          <w:rFonts w:ascii="Times New Roman" w:hAnsi="Times New Roman" w:eastAsia="宋体"/>
          <w:b w:val="0"/>
          <w:sz w:val="24"/>
        </w:rPr>
        <w:t>1．甲方有权利用乙方按照本合同约定提供的研究开发成果进行后续改进，由此产生的具有实质性或创造性技术进步特征的新的技术成果及其权属，由甲方享有。</w:t>
      </w:r>
    </w:p>
    <w:p w14:paraId="5DA44BE7">
      <w:pPr>
        <w:spacing w:before="0" w:after="120" w:line="360" w:lineRule="auto"/>
        <w:ind w:firstLine="480"/>
      </w:pPr>
      <w:r>
        <w:rPr>
          <w:rFonts w:ascii="Times New Roman" w:hAnsi="Times New Roman" w:eastAsia="宋体"/>
          <w:b w:val="0"/>
          <w:sz w:val="24"/>
        </w:rPr>
        <w:t>2．乙方在完成本合同约定的研究开发工作后，利用该项研究开发成果进行后续改进所产生的新的技术成果，归甲乙双方共有；乙方如需将其用于对外商业推广，须事先取得甲方书面同意。</w:t>
      </w:r>
    </w:p>
    <w:p w14:paraId="255FF3AC">
      <w:pPr>
        <w:spacing w:before="240" w:after="200" w:line="360" w:lineRule="auto"/>
        <w:jc w:val="center"/>
      </w:pPr>
      <w:r>
        <w:rPr>
          <w:rFonts w:ascii="Times New Roman" w:hAnsi="Times New Roman" w:eastAsia="黑体"/>
          <w:b/>
          <w:sz w:val="32"/>
        </w:rPr>
        <w:t>第十七条  项目联系人：</w:t>
      </w:r>
    </w:p>
    <w:p w14:paraId="232CFE82">
      <w:pPr>
        <w:spacing w:before="0" w:after="120" w:line="360" w:lineRule="auto"/>
        <w:ind w:firstLine="480"/>
      </w:pPr>
      <w:r>
        <w:rPr>
          <w:rFonts w:ascii="Times New Roman" w:hAnsi="Times New Roman" w:eastAsia="宋体"/>
          <w:b w:val="0"/>
          <w:sz w:val="24"/>
        </w:rPr>
        <w:t xml:space="preserve">在本合同有效期内，甲方指定 </w:t>
      </w:r>
      <w:r>
        <w:rPr>
          <w:rFonts w:hint="eastAsia"/>
          <w:b w:val="0"/>
          <w:sz w:val="24"/>
          <w:lang w:val="en-US" w:eastAsia="zh-CN"/>
        </w:rPr>
        <w:t>张工</w:t>
      </w:r>
      <w:r>
        <w:rPr>
          <w:rFonts w:ascii="Times New Roman" w:hAnsi="Times New Roman" w:eastAsia="宋体"/>
          <w:b w:val="0"/>
          <w:sz w:val="24"/>
        </w:rPr>
        <w:t xml:space="preserve"> 为甲方项目联系人，乙方指定 </w:t>
      </w:r>
      <w:r>
        <w:rPr>
          <w:rFonts w:hint="eastAsia"/>
          <w:b w:val="0"/>
          <w:sz w:val="24"/>
          <w:lang w:val="en-US" w:eastAsia="zh-CN"/>
        </w:rPr>
        <w:t xml:space="preserve">周志辰 </w:t>
      </w:r>
      <w:r>
        <w:rPr>
          <w:rFonts w:ascii="Times New Roman" w:hAnsi="Times New Roman" w:eastAsia="宋体"/>
          <w:b w:val="0"/>
          <w:sz w:val="24"/>
        </w:rPr>
        <w:t>为乙方项目联系人（项目负责人）。项目联系人承担以下责任：</w:t>
      </w:r>
    </w:p>
    <w:p w14:paraId="47C0F587">
      <w:pPr>
        <w:spacing w:before="0" w:after="120" w:line="360" w:lineRule="auto"/>
        <w:ind w:firstLine="480"/>
      </w:pPr>
      <w:r>
        <w:rPr>
          <w:rFonts w:ascii="Times New Roman" w:hAnsi="Times New Roman" w:eastAsia="宋体"/>
          <w:b w:val="0"/>
          <w:sz w:val="24"/>
        </w:rPr>
        <w:t>1．按照约定的联系时间、联系方式和联系地点完成交办的相关工作；</w:t>
      </w:r>
    </w:p>
    <w:p w14:paraId="1AD48B79">
      <w:pPr>
        <w:spacing w:before="0" w:after="120" w:line="360" w:lineRule="auto"/>
        <w:ind w:firstLine="480"/>
      </w:pPr>
      <w:r>
        <w:rPr>
          <w:rFonts w:ascii="Times New Roman" w:hAnsi="Times New Roman" w:eastAsia="宋体"/>
          <w:b w:val="0"/>
          <w:sz w:val="24"/>
        </w:rPr>
        <w:t>2．防止因人事变动而使合同难以履行或无法履行；</w:t>
      </w:r>
    </w:p>
    <w:p w14:paraId="2E012DBA">
      <w:pPr>
        <w:spacing w:before="0" w:after="120" w:line="360" w:lineRule="auto"/>
        <w:ind w:firstLine="480"/>
      </w:pPr>
      <w:r>
        <w:rPr>
          <w:rFonts w:ascii="Times New Roman" w:hAnsi="Times New Roman" w:eastAsia="宋体"/>
          <w:b w:val="0"/>
          <w:sz w:val="24"/>
        </w:rPr>
        <w:t>3．保证按约定和法律法规，以适当的时间、方式、标准履行本合同。</w:t>
      </w:r>
    </w:p>
    <w:p w14:paraId="582F86A4">
      <w:pPr>
        <w:spacing w:before="0" w:after="120" w:line="360" w:lineRule="auto"/>
        <w:ind w:firstLine="480"/>
      </w:pPr>
      <w:r>
        <w:rPr>
          <w:rFonts w:ascii="Times New Roman" w:hAnsi="Times New Roman" w:eastAsia="宋体"/>
          <w:b w:val="0"/>
          <w:sz w:val="24"/>
        </w:rPr>
        <w:t>一方变更项目联系人的，应当及时以书面形式通知另一方；未及时通知并影响本合同履行或造成损失的，应承担相应的责任。乙方更换项目负责人须事先征得甲方书面同意，接任人员资历不得低于原人员。</w:t>
      </w:r>
    </w:p>
    <w:p w14:paraId="55D1E629">
      <w:pPr>
        <w:spacing w:before="240" w:after="200" w:line="360" w:lineRule="auto"/>
        <w:jc w:val="center"/>
      </w:pPr>
      <w:r>
        <w:rPr>
          <w:rFonts w:ascii="Times New Roman" w:hAnsi="Times New Roman" w:eastAsia="黑体"/>
          <w:b/>
          <w:sz w:val="32"/>
        </w:rPr>
        <w:t>第十八条  争议解决：</w:t>
      </w:r>
    </w:p>
    <w:p w14:paraId="5BED0374">
      <w:pPr>
        <w:spacing w:before="0" w:after="120" w:line="360" w:lineRule="auto"/>
        <w:ind w:firstLine="480"/>
      </w:pPr>
      <w:r>
        <w:rPr>
          <w:rFonts w:ascii="Times New Roman" w:hAnsi="Times New Roman" w:eastAsia="宋体"/>
          <w:b w:val="0"/>
          <w:sz w:val="24"/>
        </w:rPr>
        <w:t>甲、乙双方因履行本合同而发生的争议，应协商、调解解决。协商、调解不成的，确定按以下第 2 种方式处理：</w:t>
      </w:r>
    </w:p>
    <w:p w14:paraId="67935DA6">
      <w:pPr>
        <w:spacing w:before="0" w:after="120" w:line="360" w:lineRule="auto"/>
        <w:ind w:firstLine="480"/>
      </w:pPr>
      <w:r>
        <w:rPr>
          <w:rFonts w:ascii="Times New Roman" w:hAnsi="Times New Roman" w:eastAsia="宋体"/>
          <w:b w:val="0"/>
          <w:sz w:val="24"/>
        </w:rPr>
        <w:t>1．（本项不适用）提交仲裁委员会仲裁；</w:t>
      </w:r>
    </w:p>
    <w:p w14:paraId="3A8375E8">
      <w:pPr>
        <w:spacing w:before="0" w:after="120" w:line="360" w:lineRule="auto"/>
        <w:ind w:firstLine="480"/>
      </w:pPr>
      <w:r>
        <w:rPr>
          <w:rFonts w:ascii="Times New Roman" w:hAnsi="Times New Roman" w:eastAsia="宋体"/>
          <w:b w:val="0"/>
          <w:sz w:val="24"/>
        </w:rPr>
        <w:t>2．依法向甲方所在地人民法院起诉。</w:t>
      </w:r>
    </w:p>
    <w:p w14:paraId="192633B3">
      <w:pPr>
        <w:spacing w:before="240" w:after="200" w:line="360" w:lineRule="auto"/>
        <w:jc w:val="center"/>
      </w:pPr>
      <w:r>
        <w:rPr>
          <w:rFonts w:ascii="Times New Roman" w:hAnsi="Times New Roman" w:eastAsia="黑体"/>
          <w:b/>
          <w:sz w:val="32"/>
        </w:rPr>
        <w:t>第十九条  约定本合同其他相关事项为：</w:t>
      </w:r>
    </w:p>
    <w:p w14:paraId="3A453E94">
      <w:pPr>
        <w:spacing w:before="0" w:after="120" w:line="360" w:lineRule="auto"/>
        <w:ind w:firstLine="480"/>
      </w:pPr>
      <w:r>
        <w:rPr>
          <w:rFonts w:ascii="Times New Roman" w:hAnsi="Times New Roman" w:eastAsia="宋体"/>
          <w:b w:val="0"/>
          <w:sz w:val="24"/>
        </w:rPr>
        <w:t>1．招投标文件、中标通知书、投标文件、报价文件等是本合同的重要组成部分；如有不一致的，以对乙方义务要求最为严格的文件为准。</w:t>
      </w:r>
    </w:p>
    <w:p w14:paraId="205639DD">
      <w:pPr>
        <w:spacing w:before="0" w:after="120" w:line="360" w:lineRule="auto"/>
        <w:ind w:firstLine="480"/>
      </w:pPr>
      <w:r>
        <w:rPr>
          <w:rFonts w:ascii="Times New Roman" w:hAnsi="Times New Roman" w:eastAsia="宋体"/>
          <w:b w:val="0"/>
          <w:sz w:val="24"/>
        </w:rPr>
        <w:t>2．本项目硬件设备（车牌识别摄像机、道闸、工控机、服务器及网络链路等）由甲方提供或另行采购，乙方负责提出接入要求与参数建议并承担联调配合义务；不属于本合同价款范围。</w:t>
      </w:r>
    </w:p>
    <w:p w14:paraId="37D6D1B0">
      <w:pPr>
        <w:spacing w:before="0" w:after="120" w:line="360" w:lineRule="auto"/>
        <w:ind w:firstLine="480"/>
      </w:pPr>
      <w:r>
        <w:rPr>
          <w:rFonts w:ascii="Times New Roman" w:hAnsi="Times New Roman" w:eastAsia="宋体"/>
          <w:b w:val="0"/>
          <w:sz w:val="24"/>
        </w:rPr>
        <w:t>3．乙方进场人员须遵守矿区安全管理规定，接受安全教育并佩戴劳保用品；因乙方人员违规造成的安全事故由乙方承担责任。</w:t>
      </w:r>
    </w:p>
    <w:p w14:paraId="2D726E24">
      <w:pPr>
        <w:spacing w:before="0" w:after="120" w:line="360" w:lineRule="auto"/>
        <w:ind w:firstLine="480"/>
      </w:pPr>
      <w:r>
        <w:rPr>
          <w:rFonts w:ascii="Times New Roman" w:hAnsi="Times New Roman" w:eastAsia="宋体"/>
          <w:b w:val="0"/>
          <w:sz w:val="24"/>
        </w:rPr>
        <w:t>4．乙方应于签订合同前提交合同金额 5% 的履约保证金（或银行履约保函），最终验收合格且质保期满后 7 个工作日内无息退还。</w:t>
      </w:r>
    </w:p>
    <w:p w14:paraId="2B12B3FA">
      <w:pPr>
        <w:spacing w:before="0" w:after="120" w:line="360" w:lineRule="auto"/>
        <w:ind w:firstLine="480"/>
      </w:pPr>
      <w:r>
        <w:rPr>
          <w:rFonts w:ascii="Times New Roman" w:hAnsi="Times New Roman" w:eastAsia="宋体"/>
          <w:b w:val="0"/>
          <w:sz w:val="24"/>
        </w:rPr>
        <w:t>5．免费质保及运维期为 12 个月（自最终验收合格之日起），质保期内提供 7×24 小时响应、缺陷修复、版本升级（不含新增大功能模块）及每半年一次巡检。</w:t>
      </w:r>
    </w:p>
    <w:p w14:paraId="7AC837D9">
      <w:pPr>
        <w:spacing w:before="0" w:after="120" w:line="360" w:lineRule="auto"/>
        <w:ind w:firstLine="480"/>
      </w:pPr>
      <w:r>
        <w:rPr>
          <w:rFonts w:ascii="Times New Roman" w:hAnsi="Times New Roman" w:eastAsia="宋体"/>
          <w:b w:val="0"/>
          <w:sz w:val="24"/>
        </w:rPr>
        <w:t>6．本合同附件包括：附件一《项目需求与技术指标》、附件二《项目组成员名单》、附件三《付款节点与金额》、附件四《网络安全与数据保密协议》、附件五《中标通知书》。</w:t>
      </w:r>
    </w:p>
    <w:p w14:paraId="5B6B28CF">
      <w:pPr>
        <w:spacing w:before="240" w:after="200" w:line="360" w:lineRule="auto"/>
        <w:jc w:val="center"/>
      </w:pPr>
      <w:r>
        <w:rPr>
          <w:rFonts w:ascii="Times New Roman" w:hAnsi="Times New Roman" w:eastAsia="黑体"/>
          <w:b/>
          <w:sz w:val="32"/>
        </w:rPr>
        <w:t>第二十条  本合同一式肆份，双方各执贰份，具有同等法律效力。</w:t>
      </w:r>
    </w:p>
    <w:p w14:paraId="2B8EC8AA">
      <w:pPr>
        <w:spacing w:before="240" w:after="200" w:line="360" w:lineRule="auto"/>
        <w:jc w:val="center"/>
      </w:pPr>
      <w:r>
        <w:rPr>
          <w:rFonts w:ascii="Times New Roman" w:hAnsi="Times New Roman" w:eastAsia="黑体"/>
          <w:b/>
          <w:sz w:val="32"/>
        </w:rPr>
        <w:t>第二十一条  本合同经双方法定代表人或授权代表签字并加盖单位公章后生效。</w:t>
      </w:r>
    </w:p>
    <w:p w14:paraId="71CB641E">
      <w:r>
        <w:br w:type="page"/>
      </w:r>
    </w:p>
    <w:p w14:paraId="3723185D">
      <w:pPr>
        <w:spacing w:before="200" w:after="160" w:line="360" w:lineRule="auto"/>
      </w:pPr>
      <w:r>
        <w:rPr>
          <w:rFonts w:ascii="Times New Roman" w:hAnsi="Times New Roman" w:eastAsia="黑体"/>
          <w:b/>
          <w:sz w:val="30"/>
        </w:rPr>
        <w:t>（本页为签署页，无正文）</w:t>
      </w:r>
    </w:p>
    <w:p w14:paraId="436AEEF3">
      <w:pPr>
        <w:spacing w:after="200" w:line="360" w:lineRule="auto"/>
      </w:pPr>
      <w:r>
        <w:rPr>
          <w:rFonts w:ascii="Times New Roman" w:hAnsi="Times New Roman" w:eastAsia="宋体"/>
          <w:b w:val="0"/>
          <w:sz w:val="24"/>
        </w:rPr>
        <w:t>甲方（盖章）：</w:t>
      </w:r>
      <w:r>
        <w:rPr>
          <w:rFonts w:hint="eastAsia"/>
          <w:b w:val="0"/>
          <w:sz w:val="24"/>
          <w:lang w:eastAsia="zh-CN"/>
        </w:rPr>
        <w:t>华盛</w:t>
      </w:r>
      <w:r>
        <w:rPr>
          <w:rFonts w:ascii="Times New Roman" w:hAnsi="Times New Roman" w:eastAsia="宋体"/>
          <w:b w:val="0"/>
          <w:sz w:val="24"/>
        </w:rPr>
        <w:t>矿业（集团）有限公司</w:t>
      </w:r>
    </w:p>
    <w:p w14:paraId="63680060">
      <w:pPr>
        <w:spacing w:after="200" w:line="360" w:lineRule="auto"/>
      </w:pPr>
      <w:r>
        <w:rPr>
          <w:rFonts w:ascii="Times New Roman" w:hAnsi="Times New Roman" w:eastAsia="宋体"/>
          <w:b w:val="0"/>
          <w:sz w:val="24"/>
        </w:rPr>
        <w:t>统一社会信用代码：</w:t>
      </w:r>
    </w:p>
    <w:p w14:paraId="7184EEB7">
      <w:pPr>
        <w:spacing w:after="200" w:line="360" w:lineRule="auto"/>
      </w:pPr>
      <w:r>
        <w:rPr>
          <w:rFonts w:ascii="Times New Roman" w:hAnsi="Times New Roman" w:eastAsia="宋体"/>
          <w:b w:val="0"/>
          <w:sz w:val="24"/>
        </w:rPr>
        <w:t>住 所 地：山西省晋中市矿区路 1 号</w:t>
      </w:r>
    </w:p>
    <w:p w14:paraId="1F468562">
      <w:pPr>
        <w:spacing w:after="200" w:line="360" w:lineRule="auto"/>
      </w:pPr>
      <w:r>
        <w:rPr>
          <w:rFonts w:ascii="Times New Roman" w:hAnsi="Times New Roman" w:eastAsia="宋体"/>
          <w:b w:val="0"/>
          <w:sz w:val="24"/>
        </w:rPr>
        <w:t>法定代表人：</w:t>
      </w:r>
    </w:p>
    <w:p w14:paraId="3E44E8AE">
      <w:pPr>
        <w:spacing w:after="200" w:line="360" w:lineRule="auto"/>
      </w:pPr>
      <w:r>
        <w:rPr>
          <w:rFonts w:ascii="Times New Roman" w:hAnsi="Times New Roman" w:eastAsia="宋体"/>
          <w:b w:val="0"/>
          <w:sz w:val="24"/>
        </w:rPr>
        <w:t>通讯地址：山西省晋中市矿</w:t>
      </w:r>
      <w:r>
        <w:rPr>
          <w:rFonts w:hint="eastAsia"/>
          <w:b w:val="0"/>
          <w:sz w:val="24"/>
          <w:lang w:val="en-US" w:eastAsia="zh-CN"/>
        </w:rPr>
        <w:t>区</w:t>
      </w:r>
      <w:r>
        <w:rPr>
          <w:rFonts w:ascii="Times New Roman" w:hAnsi="Times New Roman" w:eastAsia="宋体"/>
          <w:b w:val="0"/>
          <w:sz w:val="24"/>
        </w:rPr>
        <w:t>路 1 号</w:t>
      </w:r>
    </w:p>
    <w:p w14:paraId="400E7F82">
      <w:pPr>
        <w:spacing w:after="200" w:line="360" w:lineRule="auto"/>
      </w:pPr>
      <w:r>
        <w:rPr>
          <w:rFonts w:ascii="Times New Roman" w:hAnsi="Times New Roman" w:eastAsia="宋体"/>
          <w:b w:val="0"/>
          <w:sz w:val="24"/>
        </w:rPr>
        <w:t>邮政编码：          电话：</w:t>
      </w:r>
    </w:p>
    <w:p w14:paraId="1C164378">
      <w:pPr>
        <w:spacing w:after="200" w:line="360" w:lineRule="auto"/>
      </w:pPr>
      <w:r>
        <w:rPr>
          <w:rFonts w:ascii="Times New Roman" w:hAnsi="Times New Roman" w:eastAsia="宋体"/>
          <w:b w:val="0"/>
          <w:sz w:val="24"/>
        </w:rPr>
        <w:t>开户银行：</w:t>
      </w:r>
    </w:p>
    <w:p w14:paraId="3A42D522">
      <w:pPr>
        <w:spacing w:after="200" w:line="360" w:lineRule="auto"/>
      </w:pPr>
      <w:r>
        <w:rPr>
          <w:rFonts w:ascii="Times New Roman" w:hAnsi="Times New Roman" w:eastAsia="宋体"/>
          <w:b w:val="0"/>
          <w:sz w:val="24"/>
        </w:rPr>
        <w:t>银行账号：</w:t>
      </w:r>
    </w:p>
    <w:p w14:paraId="19053575">
      <w:pPr>
        <w:spacing w:after="200" w:line="360" w:lineRule="auto"/>
      </w:pPr>
      <w:r>
        <w:rPr>
          <w:rFonts w:ascii="Times New Roman" w:hAnsi="Times New Roman" w:eastAsia="宋体"/>
          <w:b w:val="0"/>
          <w:sz w:val="24"/>
        </w:rPr>
        <w:t>合同联系人：          电子邮箱：</w:t>
      </w:r>
    </w:p>
    <w:p w14:paraId="5066B8CA">
      <w:pPr>
        <w:spacing w:after="200" w:line="360" w:lineRule="auto"/>
      </w:pPr>
    </w:p>
    <w:p w14:paraId="0DD9796A">
      <w:pPr>
        <w:spacing w:after="200" w:line="360" w:lineRule="auto"/>
      </w:pPr>
      <w:r>
        <w:rPr>
          <w:rFonts w:ascii="Times New Roman" w:hAnsi="Times New Roman" w:eastAsia="宋体"/>
          <w:b w:val="0"/>
          <w:sz w:val="24"/>
        </w:rPr>
        <w:t>法定代表人／委托代理人（签名）：</w:t>
      </w:r>
    </w:p>
    <w:p w14:paraId="0B0FAC45">
      <w:pPr>
        <w:spacing w:after="200" w:line="360" w:lineRule="auto"/>
      </w:pPr>
      <w:r>
        <w:rPr>
          <w:rFonts w:ascii="Times New Roman" w:hAnsi="Times New Roman" w:eastAsia="宋体"/>
          <w:b w:val="0"/>
          <w:sz w:val="24"/>
        </w:rPr>
        <w:t>项目负责人：          电话：</w:t>
      </w:r>
    </w:p>
    <w:p w14:paraId="62F927BF">
      <w:pPr>
        <w:spacing w:after="200" w:line="360" w:lineRule="auto"/>
      </w:pPr>
      <w:r>
        <w:rPr>
          <w:rFonts w:ascii="Times New Roman" w:hAnsi="Times New Roman" w:eastAsia="宋体"/>
          <w:b w:val="0"/>
          <w:sz w:val="24"/>
        </w:rPr>
        <w:t>签字时间：    年    月    日</w:t>
      </w:r>
    </w:p>
    <w:p w14:paraId="4E4A9337">
      <w:pPr>
        <w:spacing w:after="200" w:line="360" w:lineRule="auto"/>
      </w:pPr>
    </w:p>
    <w:p w14:paraId="6C25960D">
      <w:pPr>
        <w:spacing w:after="200" w:line="360" w:lineRule="auto"/>
      </w:pPr>
      <w:r>
        <w:rPr>
          <w:rFonts w:ascii="Times New Roman" w:hAnsi="Times New Roman" w:eastAsia="宋体"/>
          <w:b w:val="0"/>
          <w:sz w:val="24"/>
        </w:rPr>
        <w:t>乙方（盖章）：武汉</w:t>
      </w:r>
      <w:r>
        <w:rPr>
          <w:rFonts w:hint="eastAsia"/>
          <w:b w:val="0"/>
          <w:sz w:val="24"/>
          <w:lang w:eastAsia="zh-CN"/>
        </w:rPr>
        <w:t>黑曜石</w:t>
      </w:r>
      <w:r>
        <w:rPr>
          <w:rFonts w:ascii="Times New Roman" w:hAnsi="Times New Roman" w:eastAsia="宋体"/>
          <w:b w:val="0"/>
          <w:sz w:val="24"/>
        </w:rPr>
        <w:t>信息科技有限公司</w:t>
      </w:r>
    </w:p>
    <w:p w14:paraId="1C1B4988">
      <w:pPr>
        <w:spacing w:after="200" w:line="360" w:lineRule="auto"/>
      </w:pPr>
      <w:r>
        <w:rPr>
          <w:rFonts w:ascii="Times New Roman" w:hAnsi="Times New Roman" w:eastAsia="宋体"/>
          <w:b w:val="0"/>
          <w:sz w:val="24"/>
        </w:rPr>
        <w:t>统一社会信用代码：91420111MA4KXLFC3J</w:t>
      </w:r>
    </w:p>
    <w:p w14:paraId="543774EE">
      <w:pPr>
        <w:spacing w:after="200" w:line="360" w:lineRule="auto"/>
        <w:rPr>
          <w:rFonts w:hint="eastAsia" w:eastAsia="宋体"/>
          <w:lang w:eastAsia="zh-CN"/>
        </w:rPr>
      </w:pPr>
      <w:r>
        <w:rPr>
          <w:rFonts w:ascii="Times New Roman" w:hAnsi="Times New Roman" w:eastAsia="宋体"/>
          <w:b w:val="0"/>
          <w:sz w:val="24"/>
        </w:rPr>
        <w:t>住 所 地：</w:t>
      </w:r>
      <w:r>
        <w:rPr>
          <w:rFonts w:hint="eastAsia"/>
          <w:b w:val="0"/>
          <w:sz w:val="24"/>
          <w:lang w:eastAsia="zh-CN"/>
        </w:rPr>
        <w:t>湖北省武汉市洪山区南李路208号</w:t>
      </w:r>
    </w:p>
    <w:p w14:paraId="7C4C6498">
      <w:pPr>
        <w:spacing w:after="200" w:line="360" w:lineRule="auto"/>
        <w:rPr>
          <w:rFonts w:hint="eastAsia" w:eastAsia="宋体"/>
          <w:lang w:eastAsia="zh-CN"/>
        </w:rPr>
      </w:pPr>
      <w:r>
        <w:rPr>
          <w:rFonts w:ascii="Times New Roman" w:hAnsi="Times New Roman" w:eastAsia="宋体"/>
          <w:b w:val="0"/>
          <w:sz w:val="24"/>
        </w:rPr>
        <w:t>法定代表人：</w:t>
      </w:r>
      <w:r>
        <w:rPr>
          <w:rFonts w:hint="eastAsia"/>
          <w:b w:val="0"/>
          <w:sz w:val="24"/>
          <w:lang w:eastAsia="zh-CN"/>
        </w:rPr>
        <w:t>兰佳奇</w:t>
      </w:r>
    </w:p>
    <w:p w14:paraId="66BE9366">
      <w:pPr>
        <w:spacing w:after="200" w:line="360" w:lineRule="auto"/>
        <w:rPr>
          <w:rFonts w:hint="eastAsia" w:eastAsia="宋体"/>
          <w:lang w:eastAsia="zh-CN"/>
        </w:rPr>
      </w:pPr>
      <w:r>
        <w:rPr>
          <w:rFonts w:ascii="Times New Roman" w:hAnsi="Times New Roman" w:eastAsia="宋体"/>
          <w:b w:val="0"/>
          <w:sz w:val="24"/>
        </w:rPr>
        <w:t>通讯地址：</w:t>
      </w:r>
      <w:r>
        <w:rPr>
          <w:rFonts w:hint="eastAsia"/>
          <w:b w:val="0"/>
          <w:sz w:val="24"/>
          <w:lang w:eastAsia="zh-CN"/>
        </w:rPr>
        <w:t>湖北省武汉市洪山区南李路208号</w:t>
      </w:r>
    </w:p>
    <w:p w14:paraId="59F250F9">
      <w:pPr>
        <w:spacing w:after="200" w:line="360" w:lineRule="auto"/>
        <w:rPr>
          <w:rFonts w:hint="default" w:eastAsia="宋体"/>
          <w:lang w:val="en-US" w:eastAsia="zh-CN"/>
        </w:rPr>
      </w:pPr>
      <w:r>
        <w:rPr>
          <w:rFonts w:ascii="Times New Roman" w:hAnsi="Times New Roman" w:eastAsia="宋体"/>
          <w:b w:val="0"/>
          <w:sz w:val="24"/>
        </w:rPr>
        <w:t>邮政编码：430070         电话：027-</w:t>
      </w:r>
      <w:r>
        <w:rPr>
          <w:rFonts w:hint="eastAsia"/>
          <w:b w:val="0"/>
          <w:sz w:val="24"/>
          <w:lang w:val="en-US" w:eastAsia="zh-CN"/>
        </w:rPr>
        <w:t>123456</w:t>
      </w:r>
    </w:p>
    <w:p w14:paraId="218B88E8">
      <w:pPr>
        <w:spacing w:after="200" w:line="360" w:lineRule="auto"/>
      </w:pPr>
      <w:r>
        <w:rPr>
          <w:rFonts w:ascii="Times New Roman" w:hAnsi="Times New Roman" w:eastAsia="宋体"/>
          <w:b w:val="0"/>
          <w:sz w:val="24"/>
        </w:rPr>
        <w:t>开户银行：招商银行股份有限公司武汉雄楚支行</w:t>
      </w:r>
    </w:p>
    <w:p w14:paraId="46FF9768">
      <w:pPr>
        <w:spacing w:after="200" w:line="360" w:lineRule="auto"/>
        <w:rPr>
          <w:rFonts w:hint="default" w:eastAsia="宋体"/>
          <w:lang w:val="en-US" w:eastAsia="zh-CN"/>
        </w:rPr>
      </w:pPr>
      <w:r>
        <w:rPr>
          <w:rFonts w:ascii="Times New Roman" w:hAnsi="Times New Roman" w:eastAsia="宋体"/>
          <w:b w:val="0"/>
          <w:sz w:val="24"/>
        </w:rPr>
        <w:t>银行账号：</w:t>
      </w:r>
      <w:r>
        <w:rPr>
          <w:rFonts w:hint="eastAsia"/>
          <w:b w:val="0"/>
          <w:sz w:val="24"/>
          <w:lang w:val="en-US" w:eastAsia="zh-CN"/>
        </w:rPr>
        <w:t>0000 0000 0000 0000</w:t>
      </w:r>
    </w:p>
    <w:p w14:paraId="1AD1EB7D">
      <w:pPr>
        <w:spacing w:after="200" w:line="360" w:lineRule="auto"/>
      </w:pPr>
      <w:r>
        <w:rPr>
          <w:rFonts w:ascii="Times New Roman" w:hAnsi="Times New Roman" w:eastAsia="宋体"/>
          <w:b w:val="0"/>
          <w:sz w:val="24"/>
        </w:rPr>
        <w:t>合同联系人：          电子邮箱：</w:t>
      </w:r>
    </w:p>
    <w:p w14:paraId="026ABFF1">
      <w:pPr>
        <w:spacing w:after="200" w:line="360" w:lineRule="auto"/>
      </w:pPr>
    </w:p>
    <w:p w14:paraId="34761D10">
      <w:pPr>
        <w:spacing w:after="200" w:line="360" w:lineRule="auto"/>
      </w:pPr>
      <w:r>
        <w:rPr>
          <w:rFonts w:ascii="Times New Roman" w:hAnsi="Times New Roman" w:eastAsia="宋体"/>
          <w:b w:val="0"/>
          <w:sz w:val="24"/>
        </w:rPr>
        <w:t>法定代表人／委托代理人（签名）：</w:t>
      </w:r>
    </w:p>
    <w:p w14:paraId="392AD62D">
      <w:pPr>
        <w:spacing w:after="200" w:line="360" w:lineRule="auto"/>
      </w:pPr>
      <w:r>
        <w:rPr>
          <w:rFonts w:ascii="Times New Roman" w:hAnsi="Times New Roman" w:eastAsia="宋体"/>
          <w:b w:val="0"/>
          <w:sz w:val="24"/>
        </w:rPr>
        <w:t>项目负责人：          电话：</w:t>
      </w:r>
    </w:p>
    <w:p w14:paraId="0F03E585">
      <w:pPr>
        <w:spacing w:after="200" w:line="360" w:lineRule="auto"/>
      </w:pPr>
      <w:r>
        <w:rPr>
          <w:rFonts w:ascii="Times New Roman" w:hAnsi="Times New Roman" w:eastAsia="宋体"/>
          <w:b w:val="0"/>
          <w:sz w:val="24"/>
        </w:rPr>
        <w:t>签字时间：    年    月    日</w:t>
      </w:r>
    </w:p>
    <w:sectPr>
      <w:footerReference r:id="rId5" w:type="default"/>
      <w:pgSz w:w="11906" w:h="16838"/>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MS Gothic"/>
    <w:panose1 w:val="00000000000000000000"/>
    <w:charset w:val="80"/>
    <w:family w:val="roman"/>
    <w:pitch w:val="default"/>
    <w:sig w:usb0="00000000" w:usb1="00000000" w:usb2="00000010" w:usb3="00000000" w:csb0="00020000" w:csb1="00000000"/>
  </w:font>
  <w:font w:name="仓耳渔阳体 W05">
    <w:altName w:val="MS UI Gothic"/>
    <w:panose1 w:val="02020400000000000000"/>
    <w:charset w:val="80"/>
    <w:family w:val="auto"/>
    <w:pitch w:val="default"/>
    <w:sig w:usb0="00000000" w:usb1="00000000"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DCC0A">
    <w:pPr>
      <w:pStyle w:val="24"/>
      <w:jc w:val="center"/>
    </w:pPr>
    <w:r>
      <w:rPr>
        <w:rFonts w:ascii="Times New Roman" w:hAnsi="Times New Roman" w:eastAsia="宋体"/>
        <w:b w:val="0"/>
        <w:sz w:val="18"/>
      </w:rPr>
      <w:t xml:space="preserve">矿井货车倒矿智能管控系统开发项目 技术开发（委托）合同    第 </w:t>
    </w:r>
    <w:r>
      <w:rPr>
        <w:rFonts w:ascii="Times New Roman" w:hAnsi="Times New Roman" w:eastAsia="宋体"/>
        <w:b w:val="0"/>
        <w:sz w:val="18"/>
      </w:rPr>
      <w:fldChar w:fldCharType="begin"/>
    </w:r>
    <w:r>
      <w:rPr>
        <w:rFonts w:ascii="Times New Roman" w:hAnsi="Times New Roman" w:eastAsia="宋体"/>
        <w:b w:val="0"/>
        <w:sz w:val="18"/>
      </w:rPr>
      <w:instrText xml:space="preserve">PAGE</w:instrText>
    </w:r>
    <w:r>
      <w:rPr>
        <w:rFonts w:ascii="Times New Roman" w:hAnsi="Times New Roman" w:eastAsia="宋体"/>
        <w:b w:val="0"/>
        <w:sz w:val="18"/>
      </w:rPr>
      <w:fldChar w:fldCharType="end"/>
    </w:r>
    <w:r>
      <w:rPr>
        <w:rFonts w:ascii="Times New Roman" w:hAnsi="Times New Roman" w:eastAsia="宋体"/>
        <w:b w:val="0"/>
        <w:sz w:val="18"/>
      </w:rPr>
      <w:t xml:space="preserve"> 页 共 </w:t>
    </w:r>
    <w:r>
      <w:rPr>
        <w:rFonts w:ascii="Times New Roman" w:hAnsi="Times New Roman" w:eastAsia="宋体"/>
        <w:b w:val="0"/>
        <w:sz w:val="18"/>
      </w:rPr>
      <w:fldChar w:fldCharType="begin"/>
    </w:r>
    <w:r>
      <w:rPr>
        <w:rFonts w:ascii="Times New Roman" w:hAnsi="Times New Roman" w:eastAsia="宋体"/>
        <w:b w:val="0"/>
        <w:sz w:val="18"/>
      </w:rPr>
      <w:instrText xml:space="preserve">NUMPAGES</w:instrText>
    </w:r>
    <w:r>
      <w:rPr>
        <w:rFonts w:ascii="Times New Roman" w:hAnsi="Times New Roman" w:eastAsia="宋体"/>
        <w:b w:val="0"/>
        <w:sz w:val="18"/>
      </w:rPr>
      <w:fldChar w:fldCharType="end"/>
    </w:r>
    <w:r>
      <w:rPr>
        <w:rFonts w:ascii="Times New Roman" w:hAnsi="Times New Roman" w:eastAsia="宋体"/>
        <w:b w:val="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D737B5"/>
    <w:rsid w:val="6F84744A"/>
    <w:rsid w:val="75364E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7210</Words>
  <Characters>7524</Characters>
  <Lines>0</Lines>
  <Paragraphs>0</Paragraphs>
  <TotalTime>0</TotalTime>
  <ScaleCrop>false</ScaleCrop>
  <LinksUpToDate>false</LinksUpToDate>
  <CharactersWithSpaces>7931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scholary.</cp:lastModifiedBy>
  <dcterms:modified xsi:type="dcterms:W3CDTF">2026-10-20T06:22:53Z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eyJoZGlkIjoiNzM5MmJlOGUxMmU2OTZiNTYyMjMyZWJlZjczNmY0Y2YiLCJ1c2VySWQiOiIxMzE2OTEwNTk3In0=</vt:lpwstr>
  </property>
  <property fmtid="{D5CDD505-2E9C-101B-9397-08002B2CF9AE}" pid="3" name="KSOProductBuildVer">
    <vt:lpwstr>2052-12.1.0.29161</vt:lpwstr>
  </property>
  <property fmtid="{D5CDD505-2E9C-101B-9397-08002B2CF9AE}" pid="4" name="ICV">
    <vt:lpwstr>EF49F4196FE247BD9DAF84E08EED8635_13</vt:lpwstr>
  </property>
</Properties>
</file>