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D91A" w14:textId="3A6A8993" w:rsidR="00DA5DD4" w:rsidRDefault="005D2D2F">
      <w:r>
        <w:rPr>
          <w:rFonts w:hint="eastAsia"/>
        </w:rPr>
        <w:t>4.4 SPRV</w:t>
      </w:r>
      <w:r w:rsidR="00DA5DD4">
        <w:rPr>
          <w:rFonts w:hint="eastAsia"/>
        </w:rPr>
        <w:t>数式の妥当性検証</w:t>
      </w:r>
    </w:p>
    <w:p w14:paraId="754E5ACF" w14:textId="77777777" w:rsidR="00DA5DD4" w:rsidRDefault="00DA5DD4"/>
    <w:p w14:paraId="636DEA97" w14:textId="5F9F27F4" w:rsidR="00844B30" w:rsidRDefault="00516167">
      <w:r>
        <w:rPr>
          <w:rFonts w:hint="eastAsia"/>
        </w:rPr>
        <w:t>以下の前提条件においてSPRVおよび他方式</w:t>
      </w:r>
      <w:r w:rsidR="00E7559E">
        <w:rPr>
          <w:rFonts w:hint="eastAsia"/>
        </w:rPr>
        <w:t>にあてはめ、</w:t>
      </w:r>
      <w:r w:rsidR="005D2D2F">
        <w:rPr>
          <w:rFonts w:hint="eastAsia"/>
        </w:rPr>
        <w:t>残存リスク算定と損害額算定の２つ</w:t>
      </w:r>
      <w:r w:rsidR="00F8362A">
        <w:rPr>
          <w:rFonts w:hint="eastAsia"/>
        </w:rPr>
        <w:t>の算定結果を</w:t>
      </w:r>
      <w:r w:rsidR="00E7559E">
        <w:rPr>
          <w:rFonts w:hint="eastAsia"/>
        </w:rPr>
        <w:t>比較検証</w:t>
      </w:r>
      <w:r w:rsidR="00F8362A">
        <w:rPr>
          <w:rFonts w:hint="eastAsia"/>
        </w:rPr>
        <w:t>し</w:t>
      </w:r>
      <w:r w:rsidR="00E7559E">
        <w:rPr>
          <w:rFonts w:hint="eastAsia"/>
        </w:rPr>
        <w:t>、妥当性を検証する。</w:t>
      </w:r>
    </w:p>
    <w:p w14:paraId="1C3ED733" w14:textId="77777777" w:rsidR="00DA5DD4" w:rsidRDefault="00DA5DD4"/>
    <w:p w14:paraId="59A5C476" w14:textId="0CEFD547" w:rsidR="00DA5DD4" w:rsidRDefault="009E6775" w:rsidP="00DA5DD4">
      <w:r>
        <w:rPr>
          <w:rFonts w:hint="eastAsia"/>
        </w:rPr>
        <w:t>＜</w:t>
      </w:r>
      <w:r w:rsidR="00DA5DD4">
        <w:rPr>
          <w:rFonts w:hint="eastAsia"/>
        </w:rPr>
        <w:t>前提条件</w:t>
      </w:r>
      <w:r>
        <w:rPr>
          <w:rFonts w:hint="eastAsia"/>
        </w:rPr>
        <w:t>＞</w:t>
      </w:r>
    </w:p>
    <w:p w14:paraId="3B0A2F40" w14:textId="77777777" w:rsidR="00DA5DD4" w:rsidRDefault="00DA5DD4" w:rsidP="00DA5DD4"/>
    <w:p w14:paraId="254BA2B8" w14:textId="539F894D" w:rsidR="00DA5DD4" w:rsidRDefault="00DA5DD4" w:rsidP="00DA5DD4">
      <w:r>
        <w:rPr>
          <w:rFonts w:hint="eastAsia"/>
        </w:rPr>
        <w:t>攻撃再現率</w:t>
      </w:r>
      <w:r>
        <w:t xml:space="preserve"> </w:t>
      </w:r>
      <w:r>
        <w:rPr>
          <w:rFonts w:hint="eastAsia"/>
        </w:rPr>
        <w:t xml:space="preserve">　</w:t>
      </w:r>
      <w:r>
        <w:t>P=0.4</w:t>
      </w:r>
    </w:p>
    <w:p w14:paraId="7321689B" w14:textId="77777777" w:rsidR="00DA5DD4" w:rsidRDefault="00DA5DD4" w:rsidP="00DA5DD4"/>
    <w:p w14:paraId="1A375469" w14:textId="77777777" w:rsidR="00DA5DD4" w:rsidRDefault="00DA5DD4" w:rsidP="00DA5DD4">
      <w:r>
        <w:rPr>
          <w:rFonts w:hint="eastAsia"/>
        </w:rPr>
        <w:t>対策有効率</w:t>
      </w:r>
      <w:r>
        <w:t xml:space="preserve"> </w:t>
      </w:r>
      <w:r>
        <w:rPr>
          <w:rFonts w:hint="eastAsia"/>
        </w:rPr>
        <w:t xml:space="preserve">    </w:t>
      </w:r>
    </w:p>
    <w:p w14:paraId="68570E57" w14:textId="11F5B542" w:rsidR="00DA5DD4" w:rsidRPr="00DA5DD4" w:rsidRDefault="00DA5DD4" w:rsidP="00DA5DD4">
      <w:r>
        <w:t>M=</w:t>
      </w:r>
      <w:r>
        <w:rPr>
          <w:rFonts w:hint="eastAsia"/>
        </w:rPr>
        <w:t>1-(対策レベル5段階中4ｘ</w:t>
      </w:r>
      <w:r>
        <w:t>0.2</w:t>
      </w:r>
      <w:r>
        <w:rPr>
          <w:rFonts w:hint="eastAsia"/>
        </w:rPr>
        <w:t>)＝0.2</w:t>
      </w:r>
    </w:p>
    <w:p w14:paraId="6ECE0DF9" w14:textId="77777777" w:rsidR="00DA5DD4" w:rsidRDefault="00DA5DD4" w:rsidP="00DA5DD4"/>
    <w:p w14:paraId="71FAF8A6" w14:textId="77777777" w:rsidR="00DA5DD4" w:rsidRDefault="00DA5DD4" w:rsidP="00DA5DD4">
      <w:r>
        <w:rPr>
          <w:rFonts w:hint="eastAsia"/>
        </w:rPr>
        <w:t>基準損害額</w:t>
      </w:r>
      <w:r>
        <w:t xml:space="preserve"> </w:t>
      </w:r>
    </w:p>
    <w:p w14:paraId="254335BF" w14:textId="577A4F01" w:rsidR="00DA5DD4" w:rsidRDefault="00DA5DD4" w:rsidP="00DA5DD4">
      <w:r>
        <w:t>1</w:t>
      </w:r>
      <w:r>
        <w:rPr>
          <w:rFonts w:hint="eastAsia"/>
        </w:rPr>
        <w:t>億円</w:t>
      </w:r>
      <w:r>
        <w:t>（= 100,000,000円）</w:t>
      </w:r>
    </w:p>
    <w:p w14:paraId="1E71A1CD" w14:textId="77777777" w:rsidR="00DA5DD4" w:rsidRDefault="00DA5DD4" w:rsidP="00DA5DD4"/>
    <w:p w14:paraId="0858FEE8" w14:textId="77777777" w:rsidR="00DA5DD4" w:rsidRDefault="00DA5DD4" w:rsidP="00DA5DD4">
      <w:r>
        <w:rPr>
          <w:rFonts w:hint="eastAsia"/>
        </w:rPr>
        <w:t>計算は</w:t>
      </w:r>
      <w:r>
        <w:t>4ステップ分</w:t>
      </w:r>
    </w:p>
    <w:p w14:paraId="5937BE0E" w14:textId="77777777" w:rsidR="00DA5DD4" w:rsidRDefault="00DA5DD4" w:rsidP="00DA5DD4"/>
    <w:tbl>
      <w:tblPr>
        <w:tblStyle w:val="aa"/>
        <w:tblpPr w:leftFromText="142" w:rightFromText="142" w:vertAnchor="text" w:horzAnchor="margin" w:tblpX="-459" w:tblpY="1215"/>
        <w:tblW w:w="10065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134"/>
        <w:gridCol w:w="1134"/>
        <w:gridCol w:w="1134"/>
        <w:gridCol w:w="1168"/>
        <w:gridCol w:w="992"/>
        <w:gridCol w:w="1276"/>
      </w:tblGrid>
      <w:tr w:rsidR="00C96A74" w14:paraId="74B677E0" w14:textId="77777777" w:rsidTr="00C96A74">
        <w:tc>
          <w:tcPr>
            <w:tcW w:w="675" w:type="dxa"/>
          </w:tcPr>
          <w:p w14:paraId="453A71BD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Step</w:t>
            </w:r>
          </w:p>
        </w:tc>
        <w:tc>
          <w:tcPr>
            <w:tcW w:w="1418" w:type="dxa"/>
          </w:tcPr>
          <w:p w14:paraId="0E4CB778" w14:textId="77777777" w:rsidR="00472015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SPRV</w:t>
            </w:r>
          </w:p>
          <w:p w14:paraId="6E2A4569" w14:textId="77B5A375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cs="Segoe UI"/>
                <w:spacing w:val="1"/>
                <w:sz w:val="16"/>
                <w:szCs w:val="16"/>
              </w:rPr>
              <w:t xml:space="preserve"> 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(連鎖項)</w:t>
            </w:r>
          </w:p>
        </w:tc>
        <w:tc>
          <w:tcPr>
            <w:tcW w:w="1134" w:type="dxa"/>
          </w:tcPr>
          <w:p w14:paraId="66B5C09B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IPA</w:t>
            </w:r>
          </w:p>
        </w:tc>
        <w:tc>
          <w:tcPr>
            <w:tcW w:w="1134" w:type="dxa"/>
          </w:tcPr>
          <w:p w14:paraId="65AAF710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イベントツリー</w:t>
            </w:r>
          </w:p>
        </w:tc>
        <w:tc>
          <w:tcPr>
            <w:tcW w:w="1134" w:type="dxa"/>
          </w:tcPr>
          <w:p w14:paraId="6AD50B35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LBP</w:t>
            </w:r>
          </w:p>
        </w:tc>
        <w:tc>
          <w:tcPr>
            <w:tcW w:w="1134" w:type="dxa"/>
          </w:tcPr>
          <w:p w14:paraId="0A1BEDC3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疫学SIR</w:t>
            </w:r>
          </w:p>
        </w:tc>
        <w:tc>
          <w:tcPr>
            <w:tcW w:w="1168" w:type="dxa"/>
          </w:tcPr>
          <w:p w14:paraId="6C7D0EE7" w14:textId="624AAD10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経済ネットワーク</w:t>
            </w:r>
          </w:p>
        </w:tc>
        <w:tc>
          <w:tcPr>
            <w:tcW w:w="992" w:type="dxa"/>
          </w:tcPr>
          <w:p w14:paraId="14B1B58C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CVSS</w:t>
            </w:r>
          </w:p>
        </w:tc>
        <w:tc>
          <w:tcPr>
            <w:tcW w:w="1276" w:type="dxa"/>
          </w:tcPr>
          <w:p w14:paraId="008E78A1" w14:textId="77777777" w:rsidR="00DA5DD4" w:rsidRPr="00C96A74" w:rsidRDefault="00DA5DD4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Ahmed</w:t>
            </w:r>
          </w:p>
        </w:tc>
      </w:tr>
      <w:tr w:rsidR="00C96A74" w14:paraId="2C08C2FD" w14:textId="77777777" w:rsidTr="00C96A74">
        <w:tc>
          <w:tcPr>
            <w:tcW w:w="675" w:type="dxa"/>
          </w:tcPr>
          <w:p w14:paraId="1721BFD8" w14:textId="7777777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4C97D0A" w14:textId="08F192D2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40CEAB9E" w14:textId="5AA0044E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539AB513" w14:textId="7F7F8EFD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71216A39" w14:textId="2D5472E0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134" w:type="dxa"/>
          </w:tcPr>
          <w:p w14:paraId="29F5021F" w14:textId="24F58126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1168" w:type="dxa"/>
          </w:tcPr>
          <w:p w14:paraId="375F2B04" w14:textId="724DF588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992" w:type="dxa"/>
          </w:tcPr>
          <w:p w14:paraId="5902046E" w14:textId="184E7B01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  <w:tc>
          <w:tcPr>
            <w:tcW w:w="1276" w:type="dxa"/>
          </w:tcPr>
          <w:p w14:paraId="3D70D0D8" w14:textId="1061E8B8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0.08000</w:t>
            </w:r>
          </w:p>
        </w:tc>
      </w:tr>
      <w:tr w:rsidR="00C96A74" w14:paraId="39512AB2" w14:textId="77777777" w:rsidTr="00C96A74">
        <w:tc>
          <w:tcPr>
            <w:tcW w:w="675" w:type="dxa"/>
          </w:tcPr>
          <w:p w14:paraId="672D398D" w14:textId="7777777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4D05C7AA" w14:textId="50E524CB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0.08640</w:t>
            </w:r>
          </w:p>
        </w:tc>
        <w:tc>
          <w:tcPr>
            <w:tcW w:w="1134" w:type="dxa"/>
          </w:tcPr>
          <w:p w14:paraId="71C99EBE" w14:textId="1EAC61F6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5EDBE4FE" w14:textId="31855E7D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0.16000</w:t>
            </w:r>
          </w:p>
        </w:tc>
        <w:tc>
          <w:tcPr>
            <w:tcW w:w="1134" w:type="dxa"/>
          </w:tcPr>
          <w:p w14:paraId="34ECDBC9" w14:textId="607E204D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0.00640</w:t>
            </w:r>
          </w:p>
        </w:tc>
        <w:tc>
          <w:tcPr>
            <w:tcW w:w="1134" w:type="dxa"/>
          </w:tcPr>
          <w:p w14:paraId="7DB87CFE" w14:textId="170857A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0.64000</w:t>
            </w:r>
          </w:p>
        </w:tc>
        <w:tc>
          <w:tcPr>
            <w:tcW w:w="1168" w:type="dxa"/>
          </w:tcPr>
          <w:p w14:paraId="29A00759" w14:textId="2D8943FA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0.10240</w:t>
            </w:r>
          </w:p>
        </w:tc>
        <w:tc>
          <w:tcPr>
            <w:tcW w:w="992" w:type="dxa"/>
          </w:tcPr>
          <w:p w14:paraId="7B46AA89" w14:textId="571F97FC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0.16000</w:t>
            </w:r>
          </w:p>
        </w:tc>
        <w:tc>
          <w:tcPr>
            <w:tcW w:w="1276" w:type="dxa"/>
          </w:tcPr>
          <w:p w14:paraId="6109355D" w14:textId="1729A028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0.16000</w:t>
            </w:r>
          </w:p>
        </w:tc>
      </w:tr>
      <w:tr w:rsidR="00C96A74" w14:paraId="3E256BE8" w14:textId="77777777" w:rsidTr="00C96A74">
        <w:tc>
          <w:tcPr>
            <w:tcW w:w="675" w:type="dxa"/>
          </w:tcPr>
          <w:p w14:paraId="79DFB671" w14:textId="7777777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6670DB5" w14:textId="62D31970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0.08691</w:t>
            </w:r>
          </w:p>
        </w:tc>
        <w:tc>
          <w:tcPr>
            <w:tcW w:w="1134" w:type="dxa"/>
          </w:tcPr>
          <w:p w14:paraId="0A858796" w14:textId="22A1CE06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3FAF4D20" w14:textId="1962D2A2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0.24000</w:t>
            </w:r>
          </w:p>
        </w:tc>
        <w:tc>
          <w:tcPr>
            <w:tcW w:w="1134" w:type="dxa"/>
          </w:tcPr>
          <w:p w14:paraId="432E90FA" w14:textId="409E4090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0.00051</w:t>
            </w:r>
          </w:p>
        </w:tc>
        <w:tc>
          <w:tcPr>
            <w:tcW w:w="1134" w:type="dxa"/>
          </w:tcPr>
          <w:p w14:paraId="6C7CA42E" w14:textId="47DF1C4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0.96000</w:t>
            </w:r>
          </w:p>
        </w:tc>
        <w:tc>
          <w:tcPr>
            <w:tcW w:w="1168" w:type="dxa"/>
          </w:tcPr>
          <w:p w14:paraId="04B35EFE" w14:textId="6E9A8BC8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0.03277</w:t>
            </w:r>
          </w:p>
        </w:tc>
        <w:tc>
          <w:tcPr>
            <w:tcW w:w="992" w:type="dxa"/>
          </w:tcPr>
          <w:p w14:paraId="704FE780" w14:textId="0478DB16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0.24000</w:t>
            </w:r>
          </w:p>
        </w:tc>
        <w:tc>
          <w:tcPr>
            <w:tcW w:w="1276" w:type="dxa"/>
          </w:tcPr>
          <w:p w14:paraId="4471004D" w14:textId="32F1D2AF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0.24000</w:t>
            </w:r>
          </w:p>
        </w:tc>
      </w:tr>
      <w:tr w:rsidR="00C96A74" w14:paraId="54E137D0" w14:textId="77777777" w:rsidTr="00C96A74">
        <w:tc>
          <w:tcPr>
            <w:tcW w:w="675" w:type="dxa"/>
          </w:tcPr>
          <w:p w14:paraId="3CA96645" w14:textId="77777777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49C52761" w14:textId="15B2514E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0.08695</w:t>
            </w:r>
          </w:p>
        </w:tc>
        <w:tc>
          <w:tcPr>
            <w:tcW w:w="1134" w:type="dxa"/>
          </w:tcPr>
          <w:p w14:paraId="2B848490" w14:textId="0DEA0D5A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8000</w:t>
            </w:r>
          </w:p>
        </w:tc>
        <w:tc>
          <w:tcPr>
            <w:tcW w:w="1134" w:type="dxa"/>
          </w:tcPr>
          <w:p w14:paraId="15DE575D" w14:textId="7EFA3602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1134" w:type="dxa"/>
          </w:tcPr>
          <w:p w14:paraId="0DCA5677" w14:textId="02BF3325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0.00004</w:t>
            </w:r>
          </w:p>
        </w:tc>
        <w:tc>
          <w:tcPr>
            <w:tcW w:w="1134" w:type="dxa"/>
          </w:tcPr>
          <w:p w14:paraId="2663D83E" w14:textId="2580CAF9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1.28000</w:t>
            </w:r>
          </w:p>
        </w:tc>
        <w:tc>
          <w:tcPr>
            <w:tcW w:w="1168" w:type="dxa"/>
          </w:tcPr>
          <w:p w14:paraId="5F6B8129" w14:textId="4E5E684A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0.01049</w:t>
            </w:r>
          </w:p>
        </w:tc>
        <w:tc>
          <w:tcPr>
            <w:tcW w:w="992" w:type="dxa"/>
          </w:tcPr>
          <w:p w14:paraId="3A46FC67" w14:textId="775D9562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  <w:tc>
          <w:tcPr>
            <w:tcW w:w="1276" w:type="dxa"/>
          </w:tcPr>
          <w:p w14:paraId="504DD495" w14:textId="022C473D" w:rsidR="00472015" w:rsidRPr="00C96A74" w:rsidRDefault="00472015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0.32000</w:t>
            </w:r>
          </w:p>
        </w:tc>
      </w:tr>
    </w:tbl>
    <w:p w14:paraId="7281544C" w14:textId="4A830CA1" w:rsidR="00DA5DD4" w:rsidRDefault="00DA5DD4" w:rsidP="00DA5DD4">
      <w:r>
        <w:rPr>
          <w:rFonts w:hint="eastAsia"/>
        </w:rPr>
        <w:t>各モデルの数式の詳細は表下に記載</w:t>
      </w:r>
    </w:p>
    <w:p w14:paraId="24E83E6C" w14:textId="77777777" w:rsidR="00472015" w:rsidRDefault="00472015" w:rsidP="00DA5DD4"/>
    <w:p w14:paraId="681A5D70" w14:textId="77777777" w:rsidR="00204153" w:rsidRDefault="00472015" w:rsidP="00472015">
      <w:pPr>
        <w:spacing w:line="240" w:lineRule="exact"/>
        <w:jc w:val="left"/>
        <w:rPr>
          <w:b/>
          <w:bCs/>
        </w:rPr>
      </w:pPr>
      <w:r w:rsidRPr="00472015">
        <w:rPr>
          <w:b/>
          <w:bCs/>
        </w:rPr>
        <w:t>モデル別・残存リスク値比較表</w:t>
      </w:r>
      <w:r>
        <w:rPr>
          <w:b/>
          <w:bCs/>
        </w:rPr>
        <w:br/>
      </w:r>
    </w:p>
    <w:p w14:paraId="7696CECD" w14:textId="77777777" w:rsidR="00204153" w:rsidRDefault="00204153" w:rsidP="00472015">
      <w:pPr>
        <w:spacing w:line="240" w:lineRule="exact"/>
        <w:jc w:val="left"/>
        <w:rPr>
          <w:b/>
          <w:bCs/>
        </w:rPr>
      </w:pPr>
    </w:p>
    <w:p w14:paraId="3EBECB8D" w14:textId="567F8ED1" w:rsidR="00472015" w:rsidRPr="00472015" w:rsidRDefault="00472015" w:rsidP="00472015">
      <w:pPr>
        <w:spacing w:line="240" w:lineRule="exact"/>
        <w:jc w:val="left"/>
        <w:rPr>
          <w:b/>
          <w:bCs/>
        </w:rPr>
      </w:pPr>
      <w:r w:rsidRPr="00472015">
        <w:rPr>
          <w:b/>
          <w:bCs/>
        </w:rPr>
        <w:t>モデル別・損害額算定結果（単位：円）</w:t>
      </w:r>
    </w:p>
    <w:tbl>
      <w:tblPr>
        <w:tblStyle w:val="aa"/>
        <w:tblpPr w:leftFromText="142" w:rightFromText="142" w:vertAnchor="text" w:horzAnchor="margin" w:tblpX="-494" w:tblpY="404"/>
        <w:tblW w:w="10383" w:type="dxa"/>
        <w:tblLayout w:type="fixed"/>
        <w:tblLook w:val="04A0" w:firstRow="1" w:lastRow="0" w:firstColumn="1" w:lastColumn="0" w:noHBand="0" w:noVBand="1"/>
      </w:tblPr>
      <w:tblGrid>
        <w:gridCol w:w="710"/>
        <w:gridCol w:w="1383"/>
        <w:gridCol w:w="1203"/>
        <w:gridCol w:w="1134"/>
        <w:gridCol w:w="1099"/>
        <w:gridCol w:w="1276"/>
        <w:gridCol w:w="1027"/>
        <w:gridCol w:w="1134"/>
        <w:gridCol w:w="1417"/>
      </w:tblGrid>
      <w:tr w:rsidR="00C96A74" w:rsidRPr="00C96A74" w14:paraId="33825D6F" w14:textId="77777777" w:rsidTr="00956B69">
        <w:tc>
          <w:tcPr>
            <w:tcW w:w="710" w:type="dxa"/>
          </w:tcPr>
          <w:p w14:paraId="46EAE637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Step</w:t>
            </w:r>
          </w:p>
        </w:tc>
        <w:tc>
          <w:tcPr>
            <w:tcW w:w="1383" w:type="dxa"/>
          </w:tcPr>
          <w:p w14:paraId="3C8E982F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SPRV</w:t>
            </w:r>
          </w:p>
          <w:p w14:paraId="45711280" w14:textId="7DE0BA13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cs="Segoe UI"/>
                <w:spacing w:val="1"/>
                <w:sz w:val="16"/>
                <w:szCs w:val="16"/>
              </w:rPr>
              <w:t xml:space="preserve"> 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(</w:t>
            </w: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乗算</w:t>
            </w:r>
            <w:r w:rsidRPr="00C96A74">
              <w:rPr>
                <w:rFonts w:ascii="メイリオ" w:eastAsia="メイリオ" w:hAnsi="メイリオ"/>
                <w:sz w:val="16"/>
                <w:szCs w:val="16"/>
              </w:rPr>
              <w:t>)</w:t>
            </w:r>
          </w:p>
        </w:tc>
        <w:tc>
          <w:tcPr>
            <w:tcW w:w="1203" w:type="dxa"/>
          </w:tcPr>
          <w:p w14:paraId="1DDF80A9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IPA</w:t>
            </w:r>
          </w:p>
        </w:tc>
        <w:tc>
          <w:tcPr>
            <w:tcW w:w="1134" w:type="dxa"/>
          </w:tcPr>
          <w:p w14:paraId="225783CD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イベントツリー</w:t>
            </w:r>
          </w:p>
        </w:tc>
        <w:tc>
          <w:tcPr>
            <w:tcW w:w="1099" w:type="dxa"/>
          </w:tcPr>
          <w:p w14:paraId="12680FFD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LBP</w:t>
            </w:r>
          </w:p>
        </w:tc>
        <w:tc>
          <w:tcPr>
            <w:tcW w:w="1276" w:type="dxa"/>
          </w:tcPr>
          <w:p w14:paraId="3D3A1F72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疫学SIR</w:t>
            </w:r>
          </w:p>
        </w:tc>
        <w:tc>
          <w:tcPr>
            <w:tcW w:w="1027" w:type="dxa"/>
          </w:tcPr>
          <w:p w14:paraId="79D53DA4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経済ネットワーク</w:t>
            </w:r>
          </w:p>
        </w:tc>
        <w:tc>
          <w:tcPr>
            <w:tcW w:w="1134" w:type="dxa"/>
          </w:tcPr>
          <w:p w14:paraId="04AAA5A2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CVSS</w:t>
            </w:r>
          </w:p>
        </w:tc>
        <w:tc>
          <w:tcPr>
            <w:tcW w:w="1417" w:type="dxa"/>
          </w:tcPr>
          <w:p w14:paraId="21A0DE71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Ahmed</w:t>
            </w:r>
          </w:p>
        </w:tc>
      </w:tr>
      <w:tr w:rsidR="00C96A74" w:rsidRPr="00C96A74" w14:paraId="605279AE" w14:textId="77777777" w:rsidTr="00956B69">
        <w:tc>
          <w:tcPr>
            <w:tcW w:w="710" w:type="dxa"/>
          </w:tcPr>
          <w:p w14:paraId="2B4730A2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14:paraId="6521915D" w14:textId="6136D957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203" w:type="dxa"/>
          </w:tcPr>
          <w:p w14:paraId="53D286CF" w14:textId="37AC5A2D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134" w:type="dxa"/>
          </w:tcPr>
          <w:p w14:paraId="4E8A8DDD" w14:textId="0AAC04A3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099" w:type="dxa"/>
          </w:tcPr>
          <w:p w14:paraId="347128E2" w14:textId="51FCB8F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276" w:type="dxa"/>
          </w:tcPr>
          <w:p w14:paraId="743A3885" w14:textId="1C687D61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027" w:type="dxa"/>
          </w:tcPr>
          <w:p w14:paraId="78973F06" w14:textId="15BA0542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134" w:type="dxa"/>
          </w:tcPr>
          <w:p w14:paraId="5D59BAFF" w14:textId="642043D5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417" w:type="dxa"/>
          </w:tcPr>
          <w:p w14:paraId="56679F2E" w14:textId="2DC61ADF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</w:tr>
      <w:tr w:rsidR="00C96A74" w:rsidRPr="00C96A74" w14:paraId="58BC9A64" w14:textId="77777777" w:rsidTr="00956B69">
        <w:tc>
          <w:tcPr>
            <w:tcW w:w="710" w:type="dxa"/>
          </w:tcPr>
          <w:p w14:paraId="5712FD79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14:paraId="0E92EF11" w14:textId="28E2A14E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640,000</w:t>
            </w:r>
          </w:p>
        </w:tc>
        <w:tc>
          <w:tcPr>
            <w:tcW w:w="1203" w:type="dxa"/>
          </w:tcPr>
          <w:p w14:paraId="35EA0611" w14:textId="264C7171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8,000,000</w:t>
            </w:r>
          </w:p>
        </w:tc>
        <w:tc>
          <w:tcPr>
            <w:tcW w:w="1134" w:type="dxa"/>
          </w:tcPr>
          <w:p w14:paraId="6DF77810" w14:textId="741422AA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16,000,000</w:t>
            </w:r>
          </w:p>
        </w:tc>
        <w:tc>
          <w:tcPr>
            <w:tcW w:w="1099" w:type="dxa"/>
          </w:tcPr>
          <w:p w14:paraId="49C5FF5D" w14:textId="5D756855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640,000</w:t>
            </w:r>
          </w:p>
        </w:tc>
        <w:tc>
          <w:tcPr>
            <w:tcW w:w="1276" w:type="dxa"/>
          </w:tcPr>
          <w:p w14:paraId="4BE26EDF" w14:textId="75007851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64,000,000</w:t>
            </w:r>
          </w:p>
        </w:tc>
        <w:tc>
          <w:tcPr>
            <w:tcW w:w="1027" w:type="dxa"/>
          </w:tcPr>
          <w:p w14:paraId="48C443EB" w14:textId="0BC53165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10,240,000</w:t>
            </w:r>
          </w:p>
        </w:tc>
        <w:tc>
          <w:tcPr>
            <w:tcW w:w="1134" w:type="dxa"/>
          </w:tcPr>
          <w:p w14:paraId="2C6E5F38" w14:textId="0A41015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16,000,000</w:t>
            </w:r>
          </w:p>
        </w:tc>
        <w:tc>
          <w:tcPr>
            <w:tcW w:w="1417" w:type="dxa"/>
          </w:tcPr>
          <w:p w14:paraId="2147C0CF" w14:textId="709A4357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16,000,000</w:t>
            </w:r>
          </w:p>
        </w:tc>
      </w:tr>
      <w:tr w:rsidR="00C96A74" w:rsidRPr="00C96A74" w14:paraId="6277758E" w14:textId="77777777" w:rsidTr="00956B69">
        <w:tc>
          <w:tcPr>
            <w:tcW w:w="710" w:type="dxa"/>
          </w:tcPr>
          <w:p w14:paraId="567BDC52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14:paraId="68C02881" w14:textId="3DA9B43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51,200</w:t>
            </w:r>
          </w:p>
        </w:tc>
        <w:tc>
          <w:tcPr>
            <w:tcW w:w="1203" w:type="dxa"/>
          </w:tcPr>
          <w:p w14:paraId="2EDEBA3A" w14:textId="36D3C8E6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8,000,000</w:t>
            </w:r>
          </w:p>
        </w:tc>
        <w:tc>
          <w:tcPr>
            <w:tcW w:w="1134" w:type="dxa"/>
          </w:tcPr>
          <w:p w14:paraId="319B02FC" w14:textId="5275E50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24,000,000</w:t>
            </w:r>
          </w:p>
        </w:tc>
        <w:tc>
          <w:tcPr>
            <w:tcW w:w="1099" w:type="dxa"/>
          </w:tcPr>
          <w:p w14:paraId="22CE5511" w14:textId="4695CE9E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51,200</w:t>
            </w:r>
          </w:p>
        </w:tc>
        <w:tc>
          <w:tcPr>
            <w:tcW w:w="1276" w:type="dxa"/>
          </w:tcPr>
          <w:p w14:paraId="60A226A5" w14:textId="3F1B482A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96,000,000</w:t>
            </w:r>
          </w:p>
        </w:tc>
        <w:tc>
          <w:tcPr>
            <w:tcW w:w="1027" w:type="dxa"/>
          </w:tcPr>
          <w:p w14:paraId="47B16DFE" w14:textId="76B4E41C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3,276,800</w:t>
            </w:r>
          </w:p>
        </w:tc>
        <w:tc>
          <w:tcPr>
            <w:tcW w:w="1134" w:type="dxa"/>
          </w:tcPr>
          <w:p w14:paraId="7CD5923F" w14:textId="7E6590D5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24,000,000</w:t>
            </w:r>
          </w:p>
        </w:tc>
        <w:tc>
          <w:tcPr>
            <w:tcW w:w="1417" w:type="dxa"/>
          </w:tcPr>
          <w:p w14:paraId="28586716" w14:textId="21D605FC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24,000,000</w:t>
            </w:r>
          </w:p>
        </w:tc>
      </w:tr>
      <w:tr w:rsidR="00C96A74" w:rsidRPr="00C96A74" w14:paraId="429D52F7" w14:textId="77777777" w:rsidTr="00956B69">
        <w:tc>
          <w:tcPr>
            <w:tcW w:w="710" w:type="dxa"/>
          </w:tcPr>
          <w:p w14:paraId="1BE5BC21" w14:textId="77777777" w:rsidR="00204153" w:rsidRPr="00C96A74" w:rsidRDefault="00204153" w:rsidP="00C96A74">
            <w:pPr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14:paraId="576EF4E9" w14:textId="694A5EFC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4,096</w:t>
            </w:r>
          </w:p>
        </w:tc>
        <w:tc>
          <w:tcPr>
            <w:tcW w:w="1203" w:type="dxa"/>
          </w:tcPr>
          <w:p w14:paraId="56B66DF4" w14:textId="75CEF6E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/>
                <w:sz w:val="16"/>
                <w:szCs w:val="16"/>
              </w:rPr>
              <w:t>8,000,000</w:t>
            </w:r>
          </w:p>
        </w:tc>
        <w:tc>
          <w:tcPr>
            <w:tcW w:w="1134" w:type="dxa"/>
          </w:tcPr>
          <w:p w14:paraId="2FA50547" w14:textId="2AC11C84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099" w:type="dxa"/>
          </w:tcPr>
          <w:p w14:paraId="68C85440" w14:textId="127B575E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4,096</w:t>
            </w:r>
          </w:p>
        </w:tc>
        <w:tc>
          <w:tcPr>
            <w:tcW w:w="1276" w:type="dxa"/>
          </w:tcPr>
          <w:p w14:paraId="685504D2" w14:textId="63466992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128,000,000</w:t>
            </w:r>
          </w:p>
        </w:tc>
        <w:tc>
          <w:tcPr>
            <w:tcW w:w="1027" w:type="dxa"/>
          </w:tcPr>
          <w:p w14:paraId="20A6E9DF" w14:textId="27B14C72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1,048,576</w:t>
            </w:r>
          </w:p>
        </w:tc>
        <w:tc>
          <w:tcPr>
            <w:tcW w:w="1134" w:type="dxa"/>
          </w:tcPr>
          <w:p w14:paraId="3E66D3F9" w14:textId="456A2471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  <w:tc>
          <w:tcPr>
            <w:tcW w:w="1417" w:type="dxa"/>
          </w:tcPr>
          <w:p w14:paraId="09DEC7A2" w14:textId="3EADABCB" w:rsidR="00204153" w:rsidRPr="00C96A74" w:rsidRDefault="00204153" w:rsidP="00C96A74">
            <w:pPr>
              <w:jc w:val="right"/>
              <w:rPr>
                <w:rFonts w:ascii="メイリオ" w:eastAsia="メイリオ" w:hAnsi="メイリオ"/>
                <w:sz w:val="16"/>
                <w:szCs w:val="16"/>
              </w:rPr>
            </w:pPr>
            <w:r w:rsidRPr="00C96A74">
              <w:rPr>
                <w:rFonts w:ascii="メイリオ" w:eastAsia="メイリオ" w:hAnsi="メイリオ" w:hint="eastAsia"/>
                <w:sz w:val="16"/>
                <w:szCs w:val="16"/>
              </w:rPr>
              <w:t>32,000,000</w:t>
            </w:r>
          </w:p>
        </w:tc>
      </w:tr>
    </w:tbl>
    <w:p w14:paraId="67F3B715" w14:textId="77777777" w:rsidR="00C75B76" w:rsidRPr="00C96A74" w:rsidRDefault="00C75B76" w:rsidP="00DA5DD4">
      <w:pPr>
        <w:rPr>
          <w:b/>
          <w:bCs/>
          <w:sz w:val="16"/>
          <w:szCs w:val="16"/>
        </w:rPr>
      </w:pPr>
    </w:p>
    <w:p w14:paraId="208A4A8D" w14:textId="77777777" w:rsidR="00C75B76" w:rsidRDefault="00C75B76" w:rsidP="00DA5DD4">
      <w:pPr>
        <w:rPr>
          <w:b/>
          <w:bCs/>
        </w:rPr>
      </w:pPr>
    </w:p>
    <w:p w14:paraId="492B1301" w14:textId="086EDFBF" w:rsidR="00472015" w:rsidRDefault="00C75B76" w:rsidP="00DA5DD4">
      <w:pPr>
        <w:rPr>
          <w:b/>
          <w:bCs/>
        </w:rPr>
      </w:pPr>
      <w:r w:rsidRPr="00C75B76">
        <w:rPr>
          <w:rFonts w:hint="eastAsia"/>
          <w:b/>
          <w:bCs/>
        </w:rPr>
        <w:lastRenderedPageBreak/>
        <w:t>各モデルの計算式</w:t>
      </w:r>
    </w:p>
    <w:tbl>
      <w:tblPr>
        <w:tblStyle w:val="aa"/>
        <w:tblW w:w="0" w:type="auto"/>
        <w:tblInd w:w="9" w:type="dxa"/>
        <w:tblLook w:val="04A0" w:firstRow="1" w:lastRow="0" w:firstColumn="1" w:lastColumn="0" w:noHBand="0" w:noVBand="1"/>
      </w:tblPr>
      <w:tblGrid>
        <w:gridCol w:w="2041"/>
        <w:gridCol w:w="6444"/>
      </w:tblGrid>
      <w:tr w:rsidR="00C75B76" w14:paraId="6ADC2DDF" w14:textId="77777777" w:rsidTr="00C75B76">
        <w:tc>
          <w:tcPr>
            <w:tcW w:w="2084" w:type="dxa"/>
          </w:tcPr>
          <w:p w14:paraId="1B322131" w14:textId="6521BFCE" w:rsidR="00C75B76" w:rsidRDefault="00C75B76" w:rsidP="00DA5D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モデル</w:t>
            </w:r>
          </w:p>
        </w:tc>
        <w:tc>
          <w:tcPr>
            <w:tcW w:w="6618" w:type="dxa"/>
          </w:tcPr>
          <w:p w14:paraId="6D3023D9" w14:textId="058544DD" w:rsidR="00C75B76" w:rsidRDefault="00C75B76" w:rsidP="00C75B76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計算式例（</w:t>
            </w:r>
            <w:r w:rsidRPr="00C75B76">
              <w:rPr>
                <w:b/>
                <w:bCs/>
              </w:rPr>
              <w:t>Step i時）</w:t>
            </w:r>
          </w:p>
        </w:tc>
      </w:tr>
      <w:tr w:rsidR="00C75B76" w14:paraId="5004ED1B" w14:textId="77777777" w:rsidTr="00C75B76">
        <w:tc>
          <w:tcPr>
            <w:tcW w:w="2084" w:type="dxa"/>
          </w:tcPr>
          <w:p w14:paraId="1BD8AF89" w14:textId="09F83D43" w:rsidR="00C75B76" w:rsidRP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SPRV(連鎖項)</w:t>
            </w:r>
          </w:p>
        </w:tc>
        <w:tc>
          <w:tcPr>
            <w:tcW w:w="6618" w:type="dxa"/>
          </w:tcPr>
          <w:p w14:paraId="62D2E76B" w14:textId="24728C65" w:rsidR="00C75B76" w:rsidRPr="00C75B76" w:rsidRDefault="00C75B76" w:rsidP="00DA5DD4">
            <w:pPr>
              <w:rPr>
                <w:spacing w:val="1"/>
                <w:szCs w:val="21"/>
              </w:rPr>
            </w:pPr>
            <m:oMath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R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0"/>
                  <w:szCs w:val="20"/>
                  <w:bdr w:val="single" w:sz="2" w:space="0" w:color="auto" w:frame="1"/>
                </w:rPr>
                <m:t>i</m:t>
              </m:r>
              <m:r>
                <m:rPr>
                  <m:sty m:val="p"/>
                </m:rPr>
                <w:rPr>
                  <w:rStyle w:val="mrel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=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P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spacing w:val="1"/>
                  <w:sz w:val="29"/>
                  <w:szCs w:val="29"/>
                  <w:bdr w:val="single" w:sz="2" w:space="0" w:color="auto" w:frame="1"/>
                </w:rPr>
                <m:t>⋅</m:t>
              </m:r>
              <m:r>
                <w:rPr>
                  <w:rStyle w:val="mord"/>
                  <w:rFonts w:ascii="Cambria Math" w:hAnsi="Cambria Math" w:cs="Times New Roman"/>
                  <w:spacing w:val="1"/>
                  <w:sz w:val="29"/>
                  <w:szCs w:val="29"/>
                  <w:bdr w:val="single" w:sz="2" w:space="0" w:color="auto" w:frame="1"/>
                </w:rPr>
                <m:t>M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spacing w:val="1"/>
                  <w:sz w:val="29"/>
                  <w:szCs w:val="29"/>
                  <w:bdr w:val="single" w:sz="2" w:space="0" w:color="auto" w:frame="1"/>
                </w:rPr>
                <m:t>⋅</m:t>
              </m:r>
              <m:d>
                <m:dPr>
                  <m:ctrlPr>
                    <w:rPr>
                      <w:rStyle w:val="mopen"/>
                      <w:rFonts w:ascii="Cambria Math" w:hAnsi="Cambria Math" w:cs="Times New Roman"/>
                      <w:i/>
                      <w:iCs/>
                      <w:spacing w:val="1"/>
                      <w:sz w:val="29"/>
                      <w:szCs w:val="29"/>
                      <w:bdr w:val="single" w:sz="2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+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R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1</m:t>
                  </m:r>
                  <m:ctrlPr>
                    <w:rPr>
                      <w:rStyle w:val="mclose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Segoe UI"/>
                  <w:spacing w:val="1"/>
                  <w:szCs w:val="21"/>
                </w:rPr>
                <m:t>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Segoe UI"/>
                      <w:spacing w:val="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1"/>
                      <w:szCs w:val="21"/>
                    </w:rPr>
                    <m:t>初期</m:t>
                  </m:r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1"/>
                      <w:szCs w:val="21"/>
                    </w:rPr>
                    <m:t>: </m:t>
                  </m:r>
                  <m:r>
                    <w:rPr>
                      <w:rStyle w:val="katex-mathml"/>
                      <w:rFonts w:ascii="Cambria Math" w:hAnsi="Cambria Math" w:cs="Times New Roman"/>
                      <w:spacing w:val="1"/>
                      <w:sz w:val="29"/>
                      <w:szCs w:val="29"/>
                      <w:bdr w:val="none" w:sz="0" w:space="0" w:color="auto" w:frame="1"/>
                    </w:rPr>
                    <m:t>R0=0</m:t>
                  </m:r>
                  <m: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R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0"/>
                      <w:szCs w:val="20"/>
                      <w:bdr w:val="single" w:sz="2" w:space="0" w:color="auto" w:frame="1"/>
                    </w:rPr>
                    <m:t>0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pacing w:val="1"/>
                      <w:sz w:val="29"/>
                      <w:szCs w:val="29"/>
                      <w:bdr w:val="single" w:sz="2" w:space="0" w:color="auto" w:frame="1"/>
                    </w:rPr>
                    <m:t>0</m:t>
                  </m:r>
                </m:e>
              </m:d>
            </m:oMath>
            <w:r w:rsidR="00C96A74">
              <w:rPr>
                <w:spacing w:val="1"/>
                <w:szCs w:val="21"/>
              </w:rPr>
              <w:t xml:space="preserve"> </w:t>
            </w:r>
          </w:p>
        </w:tc>
      </w:tr>
      <w:tr w:rsidR="00C75B76" w14:paraId="21E4B51E" w14:textId="77777777" w:rsidTr="00C75B76">
        <w:tc>
          <w:tcPr>
            <w:tcW w:w="2084" w:type="dxa"/>
          </w:tcPr>
          <w:p w14:paraId="6808FA99" w14:textId="54A0C060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SPRV(乗算)</w:t>
            </w:r>
          </w:p>
        </w:tc>
        <w:tc>
          <w:tcPr>
            <w:tcW w:w="6618" w:type="dxa"/>
          </w:tcPr>
          <w:p w14:paraId="3B82BEF6" w14:textId="39FEA6A3" w:rsidR="00C75B76" w:rsidRPr="00C75B76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3DF37FBD" w14:textId="77777777" w:rsidTr="00C75B76">
        <w:tc>
          <w:tcPr>
            <w:tcW w:w="2084" w:type="dxa"/>
          </w:tcPr>
          <w:p w14:paraId="5E04F9E4" w14:textId="01E42D37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IPA</w:t>
            </w:r>
          </w:p>
        </w:tc>
        <w:tc>
          <w:tcPr>
            <w:tcW w:w="6618" w:type="dxa"/>
          </w:tcPr>
          <w:p w14:paraId="7FF3904B" w14:textId="689EFB9C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R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9"/>
                    <w:szCs w:val="29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9"/>
                    <w:szCs w:val="29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spacing w:val="1"/>
                    <w:szCs w:val="21"/>
                  </w:rPr>
                  <m:t>（ステップ毎同値）</m:t>
                </m:r>
              </m:oMath>
            </m:oMathPara>
          </w:p>
        </w:tc>
      </w:tr>
      <w:tr w:rsidR="00C75B76" w14:paraId="70AC81BD" w14:textId="77777777" w:rsidTr="00C75B76">
        <w:tc>
          <w:tcPr>
            <w:tcW w:w="2084" w:type="dxa"/>
          </w:tcPr>
          <w:p w14:paraId="41783E1E" w14:textId="4CACC38A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イベントツリー</w:t>
            </w:r>
          </w:p>
        </w:tc>
        <w:tc>
          <w:tcPr>
            <w:tcW w:w="6618" w:type="dxa"/>
          </w:tcPr>
          <w:p w14:paraId="3CF3D12D" w14:textId="348E79B4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4072EC36" w14:textId="77777777" w:rsidTr="00C75B76">
        <w:tc>
          <w:tcPr>
            <w:tcW w:w="2084" w:type="dxa"/>
          </w:tcPr>
          <w:p w14:paraId="24FA1A0F" w14:textId="4082E407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LBP</w:t>
            </w:r>
          </w:p>
        </w:tc>
        <w:tc>
          <w:tcPr>
            <w:tcW w:w="6618" w:type="dxa"/>
          </w:tcPr>
          <w:p w14:paraId="29C68898" w14:textId="5D0AE140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688DDF17" w14:textId="77777777" w:rsidTr="00C75B76">
        <w:tc>
          <w:tcPr>
            <w:tcW w:w="2084" w:type="dxa"/>
          </w:tcPr>
          <w:p w14:paraId="3D4C8A9B" w14:textId="6C9123FE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疫学</w:t>
            </w:r>
            <w:r w:rsidRPr="00C75B76">
              <w:rPr>
                <w:b/>
                <w:bCs/>
              </w:rPr>
              <w:t>SIR</w:t>
            </w:r>
          </w:p>
        </w:tc>
        <w:tc>
          <w:tcPr>
            <w:tcW w:w="6618" w:type="dxa"/>
          </w:tcPr>
          <w:p w14:paraId="3C6E24FD" w14:textId="611E3172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1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-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6EC34E95" w14:textId="77777777" w:rsidTr="00C75B76">
        <w:tc>
          <w:tcPr>
            <w:tcW w:w="2084" w:type="dxa"/>
          </w:tcPr>
          <w:p w14:paraId="47F72639" w14:textId="39E54B4B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rFonts w:hint="eastAsia"/>
                <w:b/>
                <w:bCs/>
              </w:rPr>
              <w:t>経済ネットワーク</w:t>
            </w:r>
          </w:p>
        </w:tc>
        <w:tc>
          <w:tcPr>
            <w:tcW w:w="6618" w:type="dxa"/>
          </w:tcPr>
          <w:p w14:paraId="6F82249B" w14:textId="289E0899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1</m:t>
                </m:r>
                <m:r>
                  <w:rPr>
                    <w:rStyle w:val="mbin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-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))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41906B77" w14:textId="77777777" w:rsidTr="00C75B76">
        <w:tc>
          <w:tcPr>
            <w:tcW w:w="2084" w:type="dxa"/>
          </w:tcPr>
          <w:p w14:paraId="729C4C3B" w14:textId="405D4A08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CVSS</w:t>
            </w:r>
          </w:p>
        </w:tc>
        <w:tc>
          <w:tcPr>
            <w:tcW w:w="6618" w:type="dxa"/>
          </w:tcPr>
          <w:p w14:paraId="71255DE7" w14:textId="1B7A9E2A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  <w:tr w:rsidR="00C75B76" w14:paraId="7FA71083" w14:textId="77777777" w:rsidTr="00C75B76">
        <w:tc>
          <w:tcPr>
            <w:tcW w:w="2084" w:type="dxa"/>
          </w:tcPr>
          <w:p w14:paraId="0EAD0CDC" w14:textId="5CE07110" w:rsidR="00C75B76" w:rsidRDefault="00C75B76" w:rsidP="00DA5DD4">
            <w:pPr>
              <w:rPr>
                <w:b/>
                <w:bCs/>
              </w:rPr>
            </w:pPr>
            <w:r w:rsidRPr="00C75B76">
              <w:rPr>
                <w:b/>
                <w:bCs/>
              </w:rPr>
              <w:t>Ahmed方式</w:t>
            </w:r>
          </w:p>
        </w:tc>
        <w:tc>
          <w:tcPr>
            <w:tcW w:w="6618" w:type="dxa"/>
          </w:tcPr>
          <w:p w14:paraId="1FD313B0" w14:textId="32843C10" w:rsidR="00C75B76" w:rsidRPr="00C96A74" w:rsidRDefault="00C96A74" w:rsidP="00DA5DD4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R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18"/>
                    <w:szCs w:val="18"/>
                    <w:bdr w:val="single" w:sz="2" w:space="0" w:color="auto" w:frame="1"/>
                  </w:rPr>
                  <m:t>i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=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M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  <w:spacing w:val="1"/>
                    <w:sz w:val="25"/>
                    <w:szCs w:val="25"/>
                    <w:bdr w:val="single" w:sz="2" w:space="0" w:color="auto" w:frame="1"/>
                  </w:rPr>
                  <m:t>⋅</m:t>
                </m:r>
                <m:r>
                  <w:rPr>
                    <w:rStyle w:val="mord"/>
                    <w:rFonts w:ascii="Cambria Math" w:hAnsi="Cambria Math" w:cs="Times New Roman"/>
                    <w:spacing w:val="1"/>
                    <w:sz w:val="25"/>
                    <w:szCs w:val="25"/>
                    <w:bdr w:val="single" w:sz="2" w:space="0" w:color="auto" w:frame="1"/>
                  </w:rPr>
                  <m:t>i</m:t>
                </m:r>
              </m:oMath>
            </m:oMathPara>
          </w:p>
        </w:tc>
      </w:tr>
    </w:tbl>
    <w:p w14:paraId="5930AAE7" w14:textId="51543461" w:rsidR="00C75B76" w:rsidRDefault="00C75B76" w:rsidP="00DA5DD4">
      <w:pPr>
        <w:rPr>
          <w:b/>
          <w:bCs/>
        </w:rPr>
      </w:pPr>
      <w:r w:rsidRPr="00C75B76">
        <w:rPr>
          <w:rFonts w:hint="eastAsia"/>
          <w:b/>
          <w:bCs/>
        </w:rPr>
        <w:t>損害額はリスク値×基準資産額（例</w:t>
      </w:r>
      <w:r w:rsidRPr="00C75B76">
        <w:rPr>
          <w:b/>
          <w:bCs/>
        </w:rPr>
        <w:t xml:space="preserve"> 1億円）で算定</w:t>
      </w:r>
    </w:p>
    <w:p w14:paraId="3D89FBE4" w14:textId="77777777" w:rsidR="00C96A74" w:rsidRDefault="00C96A74" w:rsidP="00DA5DD4">
      <w:pPr>
        <w:rPr>
          <w:b/>
          <w:bCs/>
        </w:rPr>
      </w:pPr>
    </w:p>
    <w:p w14:paraId="15AFBC8B" w14:textId="77777777" w:rsidR="00C96A74" w:rsidRDefault="00C96A74" w:rsidP="00C96A74">
      <w:pPr>
        <w:rPr>
          <w:b/>
          <w:bCs/>
        </w:rPr>
      </w:pPr>
      <w:r w:rsidRPr="00C96A74">
        <w:rPr>
          <w:b/>
          <w:bCs/>
        </w:rPr>
        <w:t>解説・比較ポイント</w:t>
      </w:r>
    </w:p>
    <w:p w14:paraId="31A05889" w14:textId="7731C715" w:rsidR="00956B69" w:rsidRPr="00C96A74" w:rsidRDefault="00956B69" w:rsidP="00C96A74">
      <w:pPr>
        <w:rPr>
          <w:b/>
          <w:bCs/>
        </w:rPr>
      </w:pPr>
      <w:r>
        <w:rPr>
          <w:rFonts w:hint="eastAsia"/>
          <w:b/>
          <w:bCs/>
        </w:rPr>
        <w:t>＜残存リスク値の算出＞</w:t>
      </w:r>
    </w:p>
    <w:p w14:paraId="11E0D819" w14:textId="14F03B7D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SPRV(連鎖項)は各ステップで蓄積・増幅し、中間リスクを過小評価しない</w:t>
      </w:r>
      <w:r w:rsidR="00956B69">
        <w:rPr>
          <w:rFonts w:hint="eastAsia"/>
          <w:b/>
          <w:bCs/>
        </w:rPr>
        <w:t>ため、複数段階それぞれの</w:t>
      </w:r>
      <w:r w:rsidR="00576D4E">
        <w:rPr>
          <w:rFonts w:hint="eastAsia"/>
          <w:b/>
          <w:bCs/>
        </w:rPr>
        <w:t>ステップ</w:t>
      </w:r>
      <w:r w:rsidR="00956B69">
        <w:rPr>
          <w:rFonts w:hint="eastAsia"/>
          <w:b/>
          <w:bCs/>
        </w:rPr>
        <w:t>におけるリスク値を適正に算出できる唯一の手法。</w:t>
      </w:r>
    </w:p>
    <w:p w14:paraId="79CEE203" w14:textId="3A8EAB6C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乗算型（LBP等）は段階ごとに急減衰、</w:t>
      </w:r>
      <w:r w:rsidR="00956B69">
        <w:rPr>
          <w:rFonts w:hint="eastAsia"/>
          <w:b/>
          <w:bCs/>
        </w:rPr>
        <w:t>複数段階を踏む</w:t>
      </w:r>
      <w:r w:rsidR="003615EA">
        <w:rPr>
          <w:rFonts w:hint="eastAsia"/>
          <w:b/>
          <w:bCs/>
        </w:rPr>
        <w:t>ごとに</w:t>
      </w:r>
      <w:r w:rsidR="00956B69">
        <w:rPr>
          <w:rFonts w:hint="eastAsia"/>
          <w:b/>
          <w:bCs/>
        </w:rPr>
        <w:t>残存リスク値が</w:t>
      </w:r>
      <w:r w:rsidRPr="00C96A74">
        <w:rPr>
          <w:b/>
          <w:bCs/>
        </w:rPr>
        <w:t>小さくなる。</w:t>
      </w:r>
      <w:r w:rsidR="00956B69">
        <w:rPr>
          <w:rFonts w:hint="eastAsia"/>
          <w:b/>
          <w:bCs/>
        </w:rPr>
        <w:t>そのためリスク値の過小評価になる傾向がある。</w:t>
      </w:r>
    </w:p>
    <w:p w14:paraId="10C1905E" w14:textId="77777777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IPAは各段階で同値評価、伝播構造やピークアウトは不可視。</w:t>
      </w:r>
    </w:p>
    <w:p w14:paraId="6CCC229D" w14:textId="77777777" w:rsidR="00C96A74" w:rsidRP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イベントツリー/経済ネットワーク/疫学SIR/CVSS/Ahmedは加算・乗算・伝播系の計算式。モデルごとにリスク推移・損害推計の特徴が異なる。</w:t>
      </w:r>
    </w:p>
    <w:p w14:paraId="6E58D146" w14:textId="77777777" w:rsidR="00C96A74" w:rsidRDefault="00C96A74" w:rsidP="00C96A74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疫学SIR/経済ネットワークはリスク値・損害額が指数的に拡大傾向である一方で、現実的な経営評価との整合に課題が残る。</w:t>
      </w:r>
    </w:p>
    <w:p w14:paraId="1C129588" w14:textId="0829E021" w:rsidR="00446823" w:rsidRDefault="00446823" w:rsidP="00446823">
      <w:pPr>
        <w:rPr>
          <w:b/>
          <w:bCs/>
        </w:rPr>
      </w:pPr>
      <w:r>
        <w:rPr>
          <w:rFonts w:hint="eastAsia"/>
          <w:b/>
          <w:bCs/>
        </w:rPr>
        <w:t>＜損害額算定</w:t>
      </w:r>
      <w:r w:rsidR="00124070">
        <w:rPr>
          <w:rFonts w:hint="eastAsia"/>
          <w:b/>
          <w:bCs/>
        </w:rPr>
        <w:t>＞</w:t>
      </w:r>
    </w:p>
    <w:p w14:paraId="296C34C4" w14:textId="2AEB852A" w:rsidR="00D518A1" w:rsidRDefault="00D518A1" w:rsidP="00446823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</w:t>
      </w:r>
      <w:r>
        <w:rPr>
          <w:rFonts w:hint="eastAsia"/>
          <w:b/>
          <w:bCs/>
        </w:rPr>
        <w:t>（乗算）</w:t>
      </w:r>
      <w:r w:rsidRPr="00C96A74">
        <w:rPr>
          <w:b/>
          <w:bCs/>
        </w:rPr>
        <w:t>は</w:t>
      </w:r>
      <w:r w:rsidR="00EA3EEF">
        <w:rPr>
          <w:rFonts w:hint="eastAsia"/>
          <w:b/>
          <w:bCs/>
        </w:rPr>
        <w:t>、損害額算定時に有効</w:t>
      </w:r>
      <w:r w:rsidR="00DC308F">
        <w:rPr>
          <w:rFonts w:hint="eastAsia"/>
          <w:b/>
          <w:bCs/>
        </w:rPr>
        <w:t>な数式</w:t>
      </w:r>
      <w:r w:rsidR="00EA3EEF">
        <w:rPr>
          <w:rFonts w:hint="eastAsia"/>
          <w:b/>
          <w:bCs/>
        </w:rPr>
        <w:t>であり、</w:t>
      </w:r>
      <w:r w:rsidR="004B6710">
        <w:rPr>
          <w:rFonts w:hint="eastAsia"/>
          <w:b/>
          <w:bCs/>
        </w:rPr>
        <w:t>今回の前提条件は</w:t>
      </w:r>
      <w:r w:rsidR="00C26BFD">
        <w:rPr>
          <w:rFonts w:hint="eastAsia"/>
          <w:b/>
          <w:bCs/>
        </w:rPr>
        <w:t>対策の成熟度が高いケースを前提にしており、ステップを踏む毎に</w:t>
      </w:r>
      <w:r w:rsidR="00647AA5">
        <w:rPr>
          <w:rFonts w:hint="eastAsia"/>
          <w:b/>
          <w:bCs/>
        </w:rPr>
        <w:t>適正な対策を実施できていることを考えると、第4ステップの損害額は</w:t>
      </w:r>
      <w:r w:rsidR="00060756">
        <w:rPr>
          <w:rFonts w:hint="eastAsia"/>
          <w:b/>
          <w:bCs/>
        </w:rPr>
        <w:t>減衰されていることが正であると考えられる。</w:t>
      </w:r>
      <w:r w:rsidR="00DC308F">
        <w:rPr>
          <w:rFonts w:hint="eastAsia"/>
          <w:b/>
          <w:bCs/>
        </w:rPr>
        <w:t>その意味ではLBP</w:t>
      </w:r>
      <w:r w:rsidR="00511E73">
        <w:rPr>
          <w:rFonts w:hint="eastAsia"/>
          <w:b/>
          <w:bCs/>
        </w:rPr>
        <w:t>、経済ネットワークとならび、</w:t>
      </w:r>
      <w:r w:rsidR="007B27C1">
        <w:rPr>
          <w:rFonts w:hint="eastAsia"/>
          <w:b/>
          <w:bCs/>
        </w:rPr>
        <w:t>妥当な損害額の算出ができていると考えられる。</w:t>
      </w:r>
    </w:p>
    <w:p w14:paraId="174C1282" w14:textId="476E4909" w:rsidR="007B27C1" w:rsidRPr="00D518A1" w:rsidRDefault="007B27C1" w:rsidP="007B27C1">
      <w:pPr>
        <w:rPr>
          <w:b/>
          <w:bCs/>
        </w:rPr>
      </w:pPr>
      <w:r>
        <w:rPr>
          <w:rFonts w:hint="eastAsia"/>
          <w:b/>
          <w:bCs/>
        </w:rPr>
        <w:t>＜SPRV</w:t>
      </w:r>
      <w:r w:rsidR="00E30BEA">
        <w:rPr>
          <w:rFonts w:hint="eastAsia"/>
          <w:b/>
          <w:bCs/>
        </w:rPr>
        <w:t>方式の妥当性について＞</w:t>
      </w:r>
    </w:p>
    <w:p w14:paraId="60616E87" w14:textId="46B15438" w:rsidR="00C96A74" w:rsidRPr="00C96A74" w:rsidRDefault="00C96A74" w:rsidP="00956B69">
      <w:pPr>
        <w:numPr>
          <w:ilvl w:val="0"/>
          <w:numId w:val="1"/>
        </w:numPr>
        <w:rPr>
          <w:b/>
          <w:bCs/>
        </w:rPr>
      </w:pPr>
      <w:r w:rsidRPr="00C96A74">
        <w:rPr>
          <w:b/>
          <w:bCs/>
        </w:rPr>
        <w:t>SPRV方式は「説明責任、警戒ポイント、経営判断」のいずれにおいてもバランスよく機能する優位性を持つため、</w:t>
      </w:r>
      <w:r w:rsidR="00956B69">
        <w:rPr>
          <w:rFonts w:hint="eastAsia"/>
          <w:b/>
          <w:bCs/>
        </w:rPr>
        <w:t>企業における複数段階を踏むサイバー攻撃における残存リスク算定</w:t>
      </w:r>
      <w:r w:rsidR="00E30BEA">
        <w:rPr>
          <w:rFonts w:hint="eastAsia"/>
          <w:b/>
          <w:bCs/>
        </w:rPr>
        <w:t>および乗算型を採用したSPRV</w:t>
      </w:r>
      <w:r w:rsidR="00613900">
        <w:rPr>
          <w:rFonts w:hint="eastAsia"/>
          <w:b/>
          <w:bCs/>
        </w:rPr>
        <w:t>は損害額算定</w:t>
      </w:r>
      <w:r w:rsidR="00956B69">
        <w:rPr>
          <w:rFonts w:hint="eastAsia"/>
          <w:b/>
          <w:bCs/>
        </w:rPr>
        <w:t>において</w:t>
      </w:r>
      <w:r w:rsidR="00613900">
        <w:rPr>
          <w:rFonts w:hint="eastAsia"/>
          <w:b/>
          <w:bCs/>
        </w:rPr>
        <w:t>も妥当性を</w:t>
      </w:r>
      <w:r w:rsidR="00516167">
        <w:rPr>
          <w:rFonts w:hint="eastAsia"/>
          <w:b/>
          <w:bCs/>
        </w:rPr>
        <w:t>証明可能な</w:t>
      </w:r>
      <w:r w:rsidR="00956B69" w:rsidRPr="00956B69">
        <w:rPr>
          <w:rFonts w:hint="eastAsia"/>
          <w:b/>
          <w:bCs/>
        </w:rPr>
        <w:t>ひとつの</w:t>
      </w:r>
      <w:r w:rsidR="00956B69">
        <w:rPr>
          <w:rFonts w:hint="eastAsia"/>
          <w:b/>
          <w:bCs/>
        </w:rPr>
        <w:t>ソリューションを</w:t>
      </w:r>
      <w:r w:rsidR="00D518A1">
        <w:rPr>
          <w:rFonts w:hint="eastAsia"/>
          <w:b/>
          <w:bCs/>
        </w:rPr>
        <w:t>提示した。</w:t>
      </w:r>
    </w:p>
    <w:p w14:paraId="6A32FBE5" w14:textId="30048F8A" w:rsidR="00C96A74" w:rsidRPr="00C96A74" w:rsidRDefault="00C96A74" w:rsidP="00DA5DD4">
      <w:pPr>
        <w:rPr>
          <w:b/>
          <w:bCs/>
        </w:rPr>
      </w:pPr>
    </w:p>
    <w:sectPr w:rsidR="00C96A74" w:rsidRPr="00C96A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3EF96" w14:textId="77777777" w:rsidR="00FE52F6" w:rsidRDefault="00FE52F6" w:rsidP="005D2D2F">
      <w:r>
        <w:separator/>
      </w:r>
    </w:p>
  </w:endnote>
  <w:endnote w:type="continuationSeparator" w:id="0">
    <w:p w14:paraId="06E29204" w14:textId="77777777" w:rsidR="00FE52F6" w:rsidRDefault="00FE52F6" w:rsidP="005D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1E2D1" w14:textId="77777777" w:rsidR="00FE52F6" w:rsidRDefault="00FE52F6" w:rsidP="005D2D2F">
      <w:r>
        <w:separator/>
      </w:r>
    </w:p>
  </w:footnote>
  <w:footnote w:type="continuationSeparator" w:id="0">
    <w:p w14:paraId="05CA1EB4" w14:textId="77777777" w:rsidR="00FE52F6" w:rsidRDefault="00FE52F6" w:rsidP="005D2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0B88"/>
    <w:multiLevelType w:val="multilevel"/>
    <w:tmpl w:val="09C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26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D4"/>
    <w:rsid w:val="00031351"/>
    <w:rsid w:val="00060756"/>
    <w:rsid w:val="00124070"/>
    <w:rsid w:val="00204153"/>
    <w:rsid w:val="003615EA"/>
    <w:rsid w:val="00446823"/>
    <w:rsid w:val="00472015"/>
    <w:rsid w:val="004B6710"/>
    <w:rsid w:val="00511E73"/>
    <w:rsid w:val="00516167"/>
    <w:rsid w:val="00576D4E"/>
    <w:rsid w:val="005D2D2F"/>
    <w:rsid w:val="00613900"/>
    <w:rsid w:val="00647AA5"/>
    <w:rsid w:val="007B27C1"/>
    <w:rsid w:val="00844B30"/>
    <w:rsid w:val="008A6086"/>
    <w:rsid w:val="00956B69"/>
    <w:rsid w:val="009E6775"/>
    <w:rsid w:val="00A629AA"/>
    <w:rsid w:val="00C26BFD"/>
    <w:rsid w:val="00C75B76"/>
    <w:rsid w:val="00C96A74"/>
    <w:rsid w:val="00D518A1"/>
    <w:rsid w:val="00DA5DD4"/>
    <w:rsid w:val="00DC308F"/>
    <w:rsid w:val="00E30BEA"/>
    <w:rsid w:val="00E7559E"/>
    <w:rsid w:val="00EA3EEF"/>
    <w:rsid w:val="00F604EE"/>
    <w:rsid w:val="00F8362A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152EF7"/>
  <w15:chartTrackingRefBased/>
  <w15:docId w15:val="{9E993C4D-9109-4D00-A5D5-FBA598A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D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D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D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D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D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D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D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5D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DA5D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5D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5D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5D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D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5D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5D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5D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5DD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5DD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5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5DD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A5DD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75B76"/>
    <w:rPr>
      <w:color w:val="666666"/>
    </w:rPr>
  </w:style>
  <w:style w:type="character" w:customStyle="1" w:styleId="mord">
    <w:name w:val="mord"/>
    <w:basedOn w:val="a0"/>
    <w:rsid w:val="00C75B76"/>
  </w:style>
  <w:style w:type="character" w:customStyle="1" w:styleId="mrel">
    <w:name w:val="mrel"/>
    <w:basedOn w:val="a0"/>
    <w:rsid w:val="00C75B76"/>
  </w:style>
  <w:style w:type="character" w:customStyle="1" w:styleId="mbin">
    <w:name w:val="mbin"/>
    <w:basedOn w:val="a0"/>
    <w:rsid w:val="00C75B76"/>
  </w:style>
  <w:style w:type="character" w:customStyle="1" w:styleId="mopen">
    <w:name w:val="mopen"/>
    <w:basedOn w:val="a0"/>
    <w:rsid w:val="00C75B76"/>
  </w:style>
  <w:style w:type="character" w:customStyle="1" w:styleId="mclose">
    <w:name w:val="mclose"/>
    <w:basedOn w:val="a0"/>
    <w:rsid w:val="00C75B76"/>
  </w:style>
  <w:style w:type="character" w:customStyle="1" w:styleId="katex-mathml">
    <w:name w:val="katex-mathml"/>
    <w:basedOn w:val="a0"/>
    <w:rsid w:val="00C75B76"/>
  </w:style>
  <w:style w:type="paragraph" w:styleId="ac">
    <w:name w:val="header"/>
    <w:basedOn w:val="a"/>
    <w:link w:val="ad"/>
    <w:uiPriority w:val="99"/>
    <w:unhideWhenUsed/>
    <w:rsid w:val="005D2D2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5D2D2F"/>
  </w:style>
  <w:style w:type="paragraph" w:styleId="ae">
    <w:name w:val="footer"/>
    <w:basedOn w:val="a"/>
    <w:link w:val="af"/>
    <w:uiPriority w:val="99"/>
    <w:unhideWhenUsed/>
    <w:rsid w:val="005D2D2F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5D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吉也 伊藤</dc:creator>
  <cp:keywords/>
  <dc:description/>
  <cp:lastModifiedBy>吉也 伊藤</cp:lastModifiedBy>
  <cp:revision>4</cp:revision>
  <dcterms:created xsi:type="dcterms:W3CDTF">2025-09-08T14:32:00Z</dcterms:created>
  <dcterms:modified xsi:type="dcterms:W3CDTF">2025-09-08T14:41:00Z</dcterms:modified>
</cp:coreProperties>
</file>