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niltezqwauux" w:id="0"/>
      <w:bookmarkEnd w:id="0"/>
      <w:r w:rsidDel="00000000" w:rsidR="00000000" w:rsidRPr="00000000">
        <w:rPr>
          <w:rtl w:val="0"/>
        </w:rPr>
        <w:t xml:space="preserve">Bionexo (Cotar apenas itens sem perda)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Na configuração da empresa adicionamos a opção (Cotar apenas itens sem perda)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895725" cy="22383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Essa configuração, vai agilizar  processo de cotação Bionexo, imagine uma cotação com 500 itens e o usuário só vai cotar 10?</w:t>
        <w:br w:type="textWrapping"/>
        <w:t xml:space="preserve">Hoje ao clicar no item para cotar (preencher valores) a tela de cotação apresenta os 500 itens mesmo que o usuário não for cotar.</w:t>
        <w:br w:type="textWrapping"/>
        <w:br w:type="textWrapping"/>
        <w:t xml:space="preserve">Com essa opção ativa, basta selecionar no movimentos os itens que não vão ser cotados e marcá los como perda.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005388" cy="19258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1925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Dessa forma ao clicar no item que vai ser cotado o sistema leva para a próxima tela apenas itens que não estão como perda.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739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5">
    <w:pPr>
      <w:pageBreakBefore w:val="0"/>
      <w:ind w:left="-1133.8582677165355" w:firstLine="0"/>
      <w:rPr/>
    </w:pPr>
    <w:r w:rsidDel="00000000" w:rsidR="00000000" w:rsidRPr="00000000">
      <w:rPr/>
      <w:drawing>
        <wp:inline distB="114300" distT="114300" distL="114300" distR="114300">
          <wp:extent cx="1042988" cy="318111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2988" cy="31811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