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qreudf3z7kib" w:id="0"/>
      <w:bookmarkEnd w:id="0"/>
      <w:r w:rsidDel="00000000" w:rsidR="00000000" w:rsidRPr="00000000">
        <w:rPr>
          <w:rtl w:val="0"/>
        </w:rPr>
        <w:t xml:space="preserve">Resposta Automática Bionexo - Ativa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Regra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Tabela preço #5 'Bionexo' para o login "bionexo" e da empresa #2101 e do grupo "Bionexo Curva (A)"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Tabela 5 = aplica 10% de rentabilidade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Clientes = “Apenas agentes do tipo Bionexo Curva (A)” para primeiro teste</w:t>
        <w:br w:type="textWrapping"/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Processo do sistema.</w:t>
        <w:br w:type="textWrapping"/>
        <w:br w:type="textWrapping"/>
        <w:t xml:space="preserve">Quando a cotação for selecionada pelo operador</w:t>
        <w:br w:type="textWrapping"/>
        <w:t xml:space="preserve">O sistema vai identificar a tabela e o item com base na regra acima.</w:t>
        <w:br w:type="textWrapping"/>
        <w:t xml:space="preserve">Se os itens encontrados na tabela e com estoque vai preencher o valor com base em 10% de rentabilidade </w:t>
        <w:br w:type="textWrapping"/>
        <w:t xml:space="preserve">E enviar a resposta para a Bionexo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