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Icms de partilha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both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Com a entrada em vigor da Emenda Constitucional nº 87/2015 e Convênio ICMS 93/2015, o Estado de destino, onde está localizado o consumidor final, passará a receber o valor do diferencial de alíquota, conforme Cláusula Décima do Convênio supracitado. Vale ressaltar que no recebimento de mercadorias, destinadas a consumo ou integração ao ativo permanente para contribuinte do ICMS, oriundas de outra unidade da Federação, aplica-se o artigo 35 do Decreto 2.912/06 (RICMS).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both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seria Difal?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Seria a diferença entre a alíquota interna do Estado destinatário e a alíquota interestadual do Estado remetente, devido nas operações interestaduais destinadas a consumidor final não contribuinte do imposto, em 2015 o Conselho Nacional da Política Fazendária( Confaz) determinou um calendário para ser seguido aplicando o seguintes percentuais.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40% </w:t>
        <w:tab/>
        <w:t xml:space="preserve">para o estado Destino e 60 % para origem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60% </w:t>
        <w:tab/>
        <w:t xml:space="preserve">para o estado Destino e 40 % para origem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80% </w:t>
        <w:tab/>
        <w:t xml:space="preserve">para o estado Destino e 20% para origem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100% </w:t>
        <w:tab/>
        <w:t xml:space="preserve">para o estado de Destino.</w:t>
        <w:br w:type="textWrapping"/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quem seria a responsabilidade pelo recolhimento ?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jc w:val="both"/>
        <w:rPr>
          <w:color w:val="333333"/>
          <w:sz w:val="20"/>
          <w:szCs w:val="20"/>
          <w:highlight w:val="white"/>
        </w:rPr>
      </w:pP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A responsabilidade pelo recolhimento da DIFAL é do contribuinte localizado no Estado de origem.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Porém alguns estados Aplicam o cálculo do ICMS por Dentro.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jc w:val="both"/>
        <w:rPr>
          <w:color w:val="40404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O E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stado não quer perder dinheiro nas aquisições interestaduais, pois o ICMS é devido na origem, e também não pode impedir o contribuinte de fazer aquisições interestaduais, então a forma encontrada é a seguinte: Cobrar um percentual que corresponda ao valor da aquisição interna. Previsto pela Constituição Federal, em seu art. 155, §2º, que o Estado, poderá cobrar a diferença entre a alíquota interna da interestadual, justamente para não ser prejudicado, porém, vou cobrar essa diferença das alíquotas sobre qual base?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jc w:val="both"/>
        <w:rPr>
          <w:color w:val="474747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Cada estado tem um decreto próprio onde determina o cálculo para se chegar a base de cálculo de ICMS um exemplo </w:t>
      </w:r>
      <w:r w:rsidDel="00000000" w:rsidR="00000000" w:rsidRPr="00000000">
        <w:rPr>
          <w:color w:val="474747"/>
          <w:sz w:val="20"/>
          <w:szCs w:val="20"/>
          <w:highlight w:val="white"/>
          <w:rtl w:val="0"/>
        </w:rPr>
        <w:t xml:space="preserve">de cálculo seria Uma venda do Estado de SP para um não contribuinte em GO,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both"/>
        <w:rPr>
          <w:highlight w:val="white"/>
        </w:rPr>
      </w:pP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Valor da nota R$ 3,760,00 :0,83 = R$ 4,530,12 x 13% ( Diferença de alíquota entre os estados) = R$ 588,82 valor que deve ser recolhido 100% para o destino.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jc w:val="both"/>
        <w:rPr>
          <w:highlight w:val="white"/>
        </w:rPr>
      </w:pPr>
      <w:r w:rsidDel="00000000" w:rsidR="00000000" w:rsidRPr="00000000">
        <w:rPr>
          <w:color w:val="474747"/>
          <w:sz w:val="18"/>
          <w:szCs w:val="18"/>
          <w:highlight w:val="white"/>
          <w:rtl w:val="0"/>
        </w:rPr>
        <w:t xml:space="preserve">Fonte :</w:t>
      </w:r>
      <w:hyperlink r:id="rId6">
        <w:r w:rsidDel="00000000" w:rsidR="00000000" w:rsidRPr="00000000">
          <w:rPr>
            <w:rFonts w:ascii="SimSun" w:cs="SimSun" w:eastAsia="SimSun" w:hAnsi="SimSun"/>
            <w:color w:val="1155cc"/>
            <w:sz w:val="20"/>
            <w:szCs w:val="20"/>
            <w:u w:val="single"/>
            <w:rtl w:val="0"/>
          </w:rPr>
          <w:t xml:space="preserve">https://www.contabeis.com.br/artigos/3521/por-que-fazer-o-calculo-de-icms-por-dentro-no-calculo-do-diferencial-de-aliquotas/</w:t>
        </w:r>
      </w:hyperlink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rFonts w:ascii="SimSun" w:cs="SimSun" w:eastAsia="SimSun" w:hAnsi="SimSun"/>
            <w:color w:val="1155cc"/>
            <w:sz w:val="20"/>
            <w:szCs w:val="20"/>
            <w:u w:val="single"/>
            <w:rtl w:val="0"/>
          </w:rPr>
          <w:t xml:space="preserve">https://www.jornalcontabil.com.br/difal%E2%80%AFem-2019-mudancas-e-consequencias-para-nao-contribuintes-do-icms/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SimSu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1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919163" cy="27574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9163" cy="27574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ntabeis.com.br/artigos/3521/por-que-fazer-o-calculo-de-icms-por-dentro-no-calculo-do-diferencial-de-aliquotas/" TargetMode="External"/><Relationship Id="rId7" Type="http://schemas.openxmlformats.org/officeDocument/2006/relationships/hyperlink" Target="https://www.jornalcontabil.com.br/difal%E2%80%AFem-2019-mudancas-e-consequencias-para-nao-contribuintes-do-icms/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