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1qmsd5g3a6yc" w:id="0"/>
      <w:bookmarkEnd w:id="0"/>
      <w:r w:rsidDel="00000000" w:rsidR="00000000" w:rsidRPr="00000000">
        <w:rPr>
          <w:rtl w:val="0"/>
        </w:rPr>
        <w:t xml:space="preserve">Uso da taxa de acréscimo ou periculosidade para cálculo do frete pago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Marcar no agente na aba extras se o cliente vai ter essa cobrança de taxa no cálculo do frete pago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816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Informar na transportadora, o percentual de acréscimo usando a variável ‘taxa_acrescimo’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467350" cy="32861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8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