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ntkjutqdbkpa" w:id="0"/>
      <w:bookmarkEnd w:id="0"/>
      <w:r w:rsidDel="00000000" w:rsidR="00000000" w:rsidRPr="00000000">
        <w:rPr>
          <w:rtl w:val="0"/>
        </w:rPr>
        <w:t xml:space="preserve">MIX FISCAL - CONSULTA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Para uso da consulta de informações fiscais do item, hoje a integração que temos, funciona da seguinte forma:</w:t>
        <w:br w:type="textWrapping"/>
      </w:r>
    </w:p>
    <w:p w:rsidR="00000000" w:rsidDel="00000000" w:rsidP="00000000" w:rsidRDefault="00000000" w:rsidRPr="00000000" w14:paraId="0000000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1. Selecionar o item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957638" cy="221315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213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587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2 Selecionar a opção de tributação no item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1651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Informar a integração MIX e o estado que deseja consultar</w:t>
        <w:br w:type="textWrapping"/>
      </w:r>
      <w:r w:rsidDel="00000000" w:rsidR="00000000" w:rsidRPr="00000000">
        <w:rPr/>
        <w:drawing>
          <wp:inline distB="114300" distT="114300" distL="114300" distR="114300">
            <wp:extent cx="4138613" cy="197468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197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Clicar em gerar para liberar o token</w:t>
        <w:br w:type="textWrapping"/>
        <w:t xml:space="preserve">Após liberação clicar em gerar token, digitar a informação no campo informar token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616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667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Após informar o token, clicar em gerar novamente para trazer as informações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628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0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