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ind w:left="-992.1259842519685" w:firstLine="0"/>
        <w:rPr/>
      </w:pPr>
      <w:bookmarkStart w:colFirst="0" w:colLast="0" w:name="_9aitijr72sov" w:id="0"/>
      <w:bookmarkEnd w:id="0"/>
      <w:r w:rsidDel="00000000" w:rsidR="00000000" w:rsidRPr="00000000">
        <w:rPr>
          <w:rtl w:val="0"/>
        </w:rPr>
        <w:t xml:space="preserve">Opção bloqueio de campos do mov</w:t>
        <w:br w:type="textWrapping"/>
      </w:r>
    </w:p>
    <w:p w:rsidR="00000000" w:rsidDel="00000000" w:rsidP="00000000" w:rsidRDefault="00000000" w:rsidRPr="00000000" w14:paraId="00000003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  <w:t xml:space="preserve">Permite bloquear alguns campos do movimento por grupo.</w:t>
      </w:r>
    </w:p>
    <w:p w:rsidR="00000000" w:rsidDel="00000000" w:rsidP="00000000" w:rsidRDefault="00000000" w:rsidRPr="00000000" w14:paraId="00000004">
      <w:pPr>
        <w:pageBreakBefore w:val="0"/>
        <w:ind w:right="-749.5275590551165"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6776041" cy="2081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6041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