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body>
    <w:p w:rsidR="00000000" w:rsidDel="00000000" w:rsidP="00000000" w:rsidRDefault="00000000" w:rsidRPr="00000000" w14:paraId="00000001">
      <w:pPr>
        <w:pageBreakBefore w:val="0"/>
        <w:rPr/>
      </w:pPr>
      <w:r w:rsidDel="00000000" w:rsidR="00000000" w:rsidRPr="00000000">
        <w:rPr>
          <w:rtl w:val="0"/>
        </w:rPr>
        <w:t xml:space="preserve">Relatório de vendas Bionexo (Itens ganhos e perdidos)</w:t>
      </w:r>
    </w:p>
    <w:p w:rsidR="00000000" w:rsidDel="00000000" w:rsidP="00000000" w:rsidRDefault="00000000" w:rsidRPr="00000000" w14:paraId="00000002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ageBreakBefore w:val="0"/>
        <w:rPr/>
      </w:pPr>
      <w:r w:rsidDel="00000000" w:rsidR="00000000" w:rsidRPr="00000000">
        <w:rPr/>
        <w:drawing>
          <wp:inline distB="114300" distT="114300" distL="114300" distR="114300">
            <wp:extent cx="5734050" cy="2667000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2667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br w:type="textWrapping"/>
        <w:br w:type="textWrapping"/>
        <w:t xml:space="preserve">Na seleção do relatório, já existe a opção que deixamos salvos para os itens ganhos e perdidos. Basta informar o período a ser analisado e gerar o relatório</w:t>
      </w:r>
    </w:p>
    <w:p w:rsidR="00000000" w:rsidDel="00000000" w:rsidP="00000000" w:rsidRDefault="00000000" w:rsidRPr="00000000" w14:paraId="00000004">
      <w:pPr>
        <w:pageBreakBefore w:val="0"/>
        <w:rPr/>
      </w:pPr>
      <w:r w:rsidDel="00000000" w:rsidR="00000000" w:rsidRPr="00000000">
        <w:rPr>
          <w:rtl w:val="0"/>
        </w:rPr>
        <w:br w:type="textWrapping"/>
      </w:r>
      <w:r w:rsidDel="00000000" w:rsidR="00000000" w:rsidRPr="00000000">
        <w:rPr/>
        <w:drawing>
          <wp:inline distB="114300" distT="114300" distL="114300" distR="114300">
            <wp:extent cx="5734050" cy="4368800"/>
            <wp:effectExtent b="0" l="0" r="0" t="0"/>
            <wp:docPr id="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4368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br w:type="textWrapping"/>
      </w:r>
    </w:p>
    <w:sectPr>
      <w:headerReference r:id="rId8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font w:name="Arial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p w:rsidR="00000000" w:rsidDel="00000000" w:rsidP="00000000" w:rsidRDefault="00000000" w:rsidRPr="00000000" w14:paraId="00000005">
    <w:pPr>
      <w:pageBreakBefore w:val="0"/>
      <w:rPr/>
    </w:pPr>
    <w:r w:rsidDel="00000000" w:rsidR="00000000" w:rsidRPr="00000000">
      <w:rPr/>
      <w:drawing>
        <wp:inline distB="114300" distT="114300" distL="114300" distR="114300">
          <wp:extent cx="1097256" cy="442913"/>
          <wp:effectExtent b="0" l="0" r="0" t="0"/>
          <wp:docPr id="2" name="image3.jpg"/>
          <a:graphic>
            <a:graphicData uri="http://schemas.openxmlformats.org/drawingml/2006/picture">
              <pic:pic>
                <pic:nvPicPr>
                  <pic:cNvPr id="0" name="image3.jp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097256" cy="442913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1.png"/><Relationship Id="rId8" Type="http://schemas.openxmlformats.org/officeDocument/2006/relationships/header" Target="header1.xm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3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