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qbt47450jh21" w:id="0"/>
      <w:bookmarkEnd w:id="0"/>
      <w:r w:rsidDel="00000000" w:rsidR="00000000" w:rsidRPr="00000000">
        <w:rPr>
          <w:rtl w:val="0"/>
        </w:rPr>
        <w:t xml:space="preserve">Procesos licitação / Contrato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Duplicar o orçamento </w:t>
        <w:br w:type="textWrapping"/>
        <w:t xml:space="preserve">Após confirmação dos itens duplicar o orçamento para o tipo de movimento Contrato  Licitação/Hospitalar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 Licitação</w:t>
        <w:br w:type="textWrapping"/>
        <w:t xml:space="preserve">Depois de criado o tipo contrato, acessar a tela de recepção para gerar os empenhos conforme demanda de entrega</w:t>
        <w:br w:type="textWrapping"/>
      </w:r>
      <w:r w:rsidDel="00000000" w:rsidR="00000000" w:rsidRPr="00000000">
        <w:rPr/>
        <w:drawing>
          <wp:inline distB="114300" distT="114300" distL="114300" distR="114300">
            <wp:extent cx="5019675" cy="4638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Recepção</w:t>
        <w:br w:type="textWrapping"/>
        <w:t xml:space="preserve">Na tela de recepção, basta selecionar o contrato que deseja coletar para gerar o empenho e clicar na opção processar</w:t>
        <w:br w:type="textWrapping"/>
        <w:br w:type="textWrapping"/>
        <w:t xml:space="preserve">Na tela de recepção vão aparecer os itens, e suas quantidades</w:t>
        <w:br w:type="textWrapping"/>
        <w:t xml:space="preserve">Para coletar o item, basta digitar na quantidade que deseja coletar do item depois digitar * e clicar sobre o item.</w:t>
        <w:br w:type="textWrapping"/>
        <w:t xml:space="preserve">O sistema vai marcar como coletado a quantidade digitada.</w:t>
        <w:br w:type="textWrapping"/>
        <w:br w:type="textWrapping"/>
        <w:t xml:space="preserve">Após finalização da coleta clicar em concluir, o sistema vai dar uma alerta informando que existem quantidades pendentes normal caso tenha.</w:t>
        <w:br w:type="textWrapping"/>
        <w:t xml:space="preserve">Depois vai ser gerado um movimento novo de empenho, onde esse movimento terá um vínculo com o movimento de contrato.</w:t>
        <w:br w:type="textWrapping"/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Empenho </w:t>
        <w:br w:type="textWrapping"/>
        <w:t xml:space="preserve">Com o movimento de empenho gerado, pasta realizar o bloqueio para que seja faturado.</w:t>
        <w:br w:type="textWrapping"/>
      </w:r>
    </w:p>
    <w:p w:rsidR="00000000" w:rsidDel="00000000" w:rsidP="00000000" w:rsidRDefault="00000000" w:rsidRPr="00000000" w14:paraId="00000006">
      <w:pPr>
        <w:pStyle w:val="Subtitle"/>
        <w:pageBreakBefore w:val="0"/>
        <w:ind w:left="720" w:firstLine="0"/>
        <w:rPr/>
      </w:pPr>
      <w:bookmarkStart w:colFirst="0" w:colLast="0" w:name="_o1tpezxjvctn" w:id="1"/>
      <w:bookmarkEnd w:id="1"/>
      <w:r w:rsidDel="00000000" w:rsidR="00000000" w:rsidRPr="00000000">
        <w:rPr>
          <w:rtl w:val="0"/>
        </w:rPr>
        <w:t xml:space="preserve">Relatórios</w:t>
        <w:br w:type="textWrapping"/>
      </w:r>
      <w:r w:rsidDel="00000000" w:rsidR="00000000" w:rsidRPr="00000000">
        <w:rPr/>
        <w:drawing>
          <wp:inline distB="114300" distT="114300" distL="114300" distR="114300">
            <wp:extent cx="4562475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