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1º Na descrição da tabela informar (VCU) para indicar que a tabela é vencimento curto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752975" cy="26955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 xml:space="preserve">2º No </w:t>
      </w: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super estoque do item tem que estar cadastrado como vencimento curto</w:t>
        <w:br w:type="textWrapping"/>
      </w:r>
      <w:r w:rsidDel="00000000" w:rsidR="00000000" w:rsidRPr="00000000">
        <w:rPr>
          <w:color w:val="1d1c1d"/>
          <w:sz w:val="23"/>
          <w:szCs w:val="23"/>
          <w:highlight w:val="white"/>
        </w:rPr>
        <w:drawing>
          <wp:inline distB="114300" distT="114300" distL="114300" distR="114300">
            <wp:extent cx="5731200" cy="1905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br w:type="textWrapping"/>
        <w:t xml:space="preserve">3º Quando for impressa a ficha de separação que tem essa tabela de vencimento curto, vai imprime o endereço que foi cadastrado no super estoque como vencimento curto.</w:t>
        <w:br w:type="textWrapping"/>
        <w:br w:type="textWrapping"/>
      </w:r>
      <w:r w:rsidDel="00000000" w:rsidR="00000000" w:rsidRPr="00000000">
        <w:rPr>
          <w:color w:val="1d1c1d"/>
          <w:sz w:val="23"/>
          <w:szCs w:val="23"/>
          <w:highlight w:val="white"/>
        </w:rPr>
        <w:drawing>
          <wp:inline distB="114300" distT="114300" distL="114300" distR="114300">
            <wp:extent cx="4529138" cy="305558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3055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4º Ai pode adicionar na impressão da ficha de separação a informação de vencimento curto de a tabela for vencimento curto.</w:t>
        <w:br w:type="textWrapping"/>
      </w:r>
      <w:r w:rsidDel="00000000" w:rsidR="00000000" w:rsidRPr="00000000">
        <w:rPr>
          <w:color w:val="1d1c1d"/>
          <w:sz w:val="23"/>
          <w:szCs w:val="23"/>
          <w:highlight w:val="white"/>
        </w:rPr>
        <w:drawing>
          <wp:inline distB="114300" distT="114300" distL="114300" distR="114300">
            <wp:extent cx="5581650" cy="38290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