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h5a4ttpt4h5c" w:id="0"/>
      <w:bookmarkEnd w:id="0"/>
      <w:r w:rsidDel="00000000" w:rsidR="00000000" w:rsidRPr="00000000">
        <w:rPr>
          <w:rtl w:val="0"/>
        </w:rPr>
        <w:t xml:space="preserve">Tabela de preço "Adição das condições de pagamento com múltipla escolha"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209550</wp:posOffset>
            </wp:positionV>
            <wp:extent cx="5085051" cy="3643313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5051" cy="36433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Ao selecionar a tabela de preço, a opção para inserir condições de pagamento agora tem múltipla seleção, basta selecionar todas ou quais as opções deseja inserir na tabela e clicar em transferir.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310188" cy="2789804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0188" cy="27898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19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281113" cy="474565"/>
          <wp:effectExtent b="0" l="0" r="0" t="0"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81113" cy="47456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