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pageBreakBefore w:val="0"/>
        <w:rPr/>
      </w:pPr>
      <w:bookmarkStart w:colFirst="0" w:colLast="0" w:name="_dcj5mhk8vcjk" w:id="0"/>
      <w:bookmarkEnd w:id="0"/>
      <w:r w:rsidDel="00000000" w:rsidR="00000000" w:rsidRPr="00000000">
        <w:rPr>
          <w:rtl w:val="0"/>
        </w:rPr>
        <w:t xml:space="preserve">Teste alteração layout e uso da tabela de preço no Tablet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Na criação do pedido, vai clicar sobre a opção tabela.</w:t>
        <w:br w:type="textWrapping"/>
        <w:t xml:space="preserve">As tabelas serão listadas na forma de lista, ao selecionar a tabela a aplicação vai direcionar para a opção op.promo onde serão listados os itens da tabela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19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139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7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