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>
          <w:sz w:val="28"/>
          <w:szCs w:val="28"/>
        </w:rPr>
      </w:pPr>
      <w:bookmarkStart w:colFirst="0" w:colLast="0" w:name="_yvyvamersw1y" w:id="0"/>
      <w:bookmarkEnd w:id="0"/>
      <w:r w:rsidDel="00000000" w:rsidR="00000000" w:rsidRPr="00000000">
        <w:rPr>
          <w:sz w:val="28"/>
          <w:szCs w:val="28"/>
          <w:rtl w:val="0"/>
        </w:rPr>
        <w:t xml:space="preserve">Ligação das unidades de medidas</w:t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Unidades de medidas informadas pelo hospital, podem agora ter uma ligação no sistema</w:t>
        <w:br w:type="textWrapping"/>
        <w:t xml:space="preserve">para facilitar a importação das cotações.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810125" cy="23812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464538" cy="421431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4538" cy="4214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OBS* Essa informação é a que o hospital informa na cotação por item</w:t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informação de embalagem que vai para a Bionexo continua da mesma forma que está hoje veja abaixo:</w:t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pageBreakBefore w:val="0"/>
        <w:rPr>
          <w:sz w:val="20"/>
          <w:szCs w:val="20"/>
        </w:rPr>
      </w:pPr>
      <w:bookmarkStart w:colFirst="0" w:colLast="0" w:name="_tq7sn7cv28b2" w:id="1"/>
      <w:bookmarkEnd w:id="1"/>
      <w:r w:rsidDel="00000000" w:rsidR="00000000" w:rsidRPr="00000000">
        <w:rPr>
          <w:rtl w:val="0"/>
        </w:rPr>
        <w:t xml:space="preserve">Informação de Embalagem para a Bionexo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616813" cy="238621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813" cy="2386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245463" cy="310753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463" cy="3107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401329" cy="345281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1329" cy="345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Subtitle"/>
        <w:pageBreakBefore w:val="0"/>
        <w:rPr/>
      </w:pPr>
      <w:bookmarkStart w:colFirst="0" w:colLast="0" w:name="_g57hjxol40bu" w:id="2"/>
      <w:bookmarkEnd w:id="2"/>
      <w:r w:rsidDel="00000000" w:rsidR="00000000" w:rsidRPr="00000000">
        <w:rPr>
          <w:rtl w:val="0"/>
        </w:rPr>
        <w:t xml:space="preserve">*** Considerações Finais: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A ligação das unidades será feita para que quando a cotação for importada, o sistema analisar a embalagem que está no item da cotação e associar ao item no GeWeb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As embalagens que vão para o Bionexo continuam na informação fator Bionexo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566.9291338582677" w:top="0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7">
    <w:pPr>
      <w:pStyle w:val="Subtitle"/>
      <w:pageBreakBefore w:val="0"/>
      <w:rPr/>
    </w:pPr>
    <w:bookmarkStart w:colFirst="0" w:colLast="0" w:name="_ovj6ys64j1xa" w:id="3"/>
    <w:bookmarkEnd w:id="3"/>
    <w:r w:rsidDel="00000000" w:rsidR="00000000" w:rsidRPr="00000000">
      <w:rPr/>
      <w:drawing>
        <wp:inline distB="114300" distT="114300" distL="114300" distR="114300">
          <wp:extent cx="1244963" cy="401601"/>
          <wp:effectExtent b="0" l="0" r="0" t="0"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4963" cy="40160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