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sz w:val="48"/>
          <w:szCs w:val="48"/>
        </w:rPr>
      </w:pPr>
      <w:bookmarkStart w:colFirst="0" w:colLast="0" w:name="_1ymaktyez90f" w:id="0"/>
      <w:bookmarkEnd w:id="0"/>
      <w:r w:rsidDel="00000000" w:rsidR="00000000" w:rsidRPr="00000000">
        <w:rPr>
          <w:sz w:val="48"/>
          <w:szCs w:val="48"/>
          <w:rtl w:val="0"/>
        </w:rPr>
        <w:t xml:space="preserve">Integração GeWeb/Jcom (Venda Casada)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Cadastro-&gt; Produtos -&gt; Tabela de preço</w:t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uma tabela </w:t>
        <w:br w:type="textWrapping"/>
        <w:t xml:space="preserve">Inserir os itens e no item informar se o item é primário ou secundário na tabela de venda casada</w:t>
      </w:r>
    </w:p>
    <w:p w:rsidR="00000000" w:rsidDel="00000000" w:rsidP="00000000" w:rsidRDefault="00000000" w:rsidRPr="00000000" w14:paraId="00000005">
      <w:pPr>
        <w:pageBreakBefore w:val="0"/>
        <w:ind w:left="1275.5905511811022" w:hanging="1440"/>
        <w:rPr/>
      </w:pPr>
      <w:r w:rsidDel="00000000" w:rsidR="00000000" w:rsidRPr="00000000">
        <w:rPr/>
        <w:drawing>
          <wp:inline distB="114300" distT="114300" distL="114300" distR="114300">
            <wp:extent cx="5734050" cy="2400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pageBreakBefore w:val="0"/>
        <w:ind w:left="0" w:hanging="141.73228346456693"/>
        <w:rPr/>
      </w:pPr>
      <w:r w:rsidDel="00000000" w:rsidR="00000000" w:rsidRPr="00000000">
        <w:rPr/>
        <w:drawing>
          <wp:inline distB="114300" distT="114300" distL="114300" distR="114300">
            <wp:extent cx="5734050" cy="341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-1275.5905511811022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-141.73228346456693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-141.73228346456693" w:right="-1174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-141.73228346456693" w:right="-1174.7244094488178" w:firstLine="0"/>
        <w:rPr/>
      </w:pPr>
      <w:r w:rsidDel="00000000" w:rsidR="00000000" w:rsidRPr="00000000">
        <w:rPr>
          <w:rtl w:val="0"/>
        </w:rPr>
        <w:t xml:space="preserve">Configuração das cores itens primário e secundário</w:t>
        <w:br w:type="textWrapping"/>
        <w:t xml:space="preserve">As cores definidas são as que aparecem no JCOM</w:t>
      </w:r>
    </w:p>
    <w:p w:rsidR="00000000" w:rsidDel="00000000" w:rsidP="00000000" w:rsidRDefault="00000000" w:rsidRPr="00000000" w14:paraId="00000011">
      <w:pPr>
        <w:pageBreakBefore w:val="0"/>
        <w:ind w:left="-141.73228346456693" w:right="-1174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5062538" cy="37186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71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-141.73228346456693" w:right="-1174.7244094488178" w:firstLine="0"/>
        <w:rPr/>
      </w:pPr>
      <w:r w:rsidDel="00000000" w:rsidR="00000000" w:rsidRPr="00000000">
        <w:rPr>
          <w:rtl w:val="0"/>
        </w:rPr>
        <w:t xml:space="preserve">E por fim as regras de valores do MIX</w:t>
        <w:br w:type="textWrapping"/>
        <w:t xml:space="preserve">Pode ser inserido N regras de acordo com a necessidade do cliente, o JCOM aceita diversas regras nesse ponto da tabela de venda casada.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195888" cy="314169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14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-141.73228346456693" w:firstLine="0"/>
        <w:rPr/>
      </w:pPr>
      <w:r w:rsidDel="00000000" w:rsidR="00000000" w:rsidRPr="00000000">
        <w:rPr>
          <w:rtl w:val="0"/>
        </w:rPr>
        <w:t xml:space="preserve">Feito isso é só aguardar que a informação é gerada para a JCOM</w:t>
      </w:r>
    </w:p>
    <w:sectPr>
      <w:headerReference r:id="rId10" w:type="default"/>
      <w:pgSz w:h="16834" w:w="11909" w:orient="portrait"/>
      <w:pgMar w:bottom="1440" w:top="1440" w:left="283.46456692913387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404016" cy="566738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4016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</w:t>
      <w:tab/>
      <w:tab/>
      <w:tab/>
      <w:tab/>
      <w:tab/>
      <w:t xml:space="preserve">   </w:t>
    </w:r>
    <w:r w:rsidDel="00000000" w:rsidR="00000000" w:rsidRPr="00000000">
      <w:rPr/>
      <w:drawing>
        <wp:inline distB="114300" distT="114300" distL="114300" distR="114300">
          <wp:extent cx="1733550" cy="352425"/>
          <wp:effectExtent b="0" l="0" r="0" t="0"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352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