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/>
      </w:pPr>
      <w:bookmarkStart w:colFirst="0" w:colLast="0" w:name="_v35ffgr4b0lc" w:id="0"/>
      <w:bookmarkEnd w:id="0"/>
      <w:r w:rsidDel="00000000" w:rsidR="00000000" w:rsidRPr="00000000">
        <w:rPr>
          <w:rtl w:val="0"/>
        </w:rPr>
        <w:t xml:space="preserve">Alertas do agente no movimento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No tipo de movimento vamos ter a seguinte opção (exibir alertas do agente no movimento)</w:t>
        <w:br w:type="textWrapping"/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3517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Com essa opção marcada por tipo de movimento</w:t>
        <w:br w:type="textWrapping"/>
        <w:t xml:space="preserve">Ao criar um movimento, o sistema vai alertar da mesma forma que alerta quando é aberto um agente. (inclusive com as observações caso tenha).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1625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06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1509713" cy="609402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09713" cy="60940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