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31F3" w14:textId="77777777" w:rsidR="009A499D" w:rsidRDefault="009A499D" w:rsidP="009A499D">
      <w:pPr>
        <w:pStyle w:val="SemEspaamento"/>
        <w:jc w:val="both"/>
      </w:pPr>
    </w:p>
    <w:p w14:paraId="1B9EB482" w14:textId="7BADFFA0" w:rsidR="00B45043" w:rsidRDefault="00B45043" w:rsidP="009A499D">
      <w:pPr>
        <w:pStyle w:val="SemEspaamento"/>
        <w:jc w:val="both"/>
      </w:pPr>
      <w:r>
        <w:t>O</w:t>
      </w:r>
      <w:r w:rsidR="007F06B7">
        <w:t xml:space="preserve"> GeWeb conta com recursos de integração com plataformas de Cartão Corporativo. </w:t>
      </w:r>
    </w:p>
    <w:p w14:paraId="5F969538" w14:textId="25513770" w:rsidR="007F06B7" w:rsidRDefault="00B45043" w:rsidP="009A499D">
      <w:pPr>
        <w:pStyle w:val="SemEspaamento"/>
        <w:jc w:val="both"/>
      </w:pPr>
      <w:r>
        <w:t xml:space="preserve">Todo </w:t>
      </w:r>
      <w:r w:rsidR="007F06B7">
        <w:t>processo</w:t>
      </w:r>
      <w:r>
        <w:t xml:space="preserve"> </w:t>
      </w:r>
      <w:r w:rsidR="007F06B7">
        <w:t xml:space="preserve">ocorre em “background” utilizando API de integração entre </w:t>
      </w:r>
      <w:r>
        <w:t xml:space="preserve">a </w:t>
      </w:r>
      <w:r w:rsidR="007F06B7">
        <w:t xml:space="preserve">empresa responsável pela gestão das operações realizadas com cartão corporativo e </w:t>
      </w:r>
      <w:r w:rsidRPr="005B1759">
        <w:rPr>
          <w:u w:val="single"/>
        </w:rPr>
        <w:t>a</w:t>
      </w:r>
      <w:r w:rsidR="007F06B7" w:rsidRPr="005B1759">
        <w:rPr>
          <w:u w:val="single"/>
        </w:rPr>
        <w:t xml:space="preserve"> GeWeb orquestrando requisições, </w:t>
      </w:r>
      <w:r w:rsidRPr="005B1759">
        <w:rPr>
          <w:u w:val="single"/>
        </w:rPr>
        <w:t xml:space="preserve">aplicando </w:t>
      </w:r>
      <w:r w:rsidR="007F06B7" w:rsidRPr="005B1759">
        <w:rPr>
          <w:u w:val="single"/>
        </w:rPr>
        <w:t xml:space="preserve">validações dos dados e </w:t>
      </w:r>
      <w:r w:rsidRPr="005B1759">
        <w:rPr>
          <w:u w:val="single"/>
        </w:rPr>
        <w:t>qualificando</w:t>
      </w:r>
      <w:r w:rsidR="007F06B7" w:rsidRPr="005B1759">
        <w:rPr>
          <w:u w:val="single"/>
        </w:rPr>
        <w:t xml:space="preserve"> as informações</w:t>
      </w:r>
      <w:r w:rsidRPr="005B1759">
        <w:rPr>
          <w:u w:val="single"/>
        </w:rPr>
        <w:t xml:space="preserve"> obtidas e gerando registros diretamente no Financeiro do ERP-GeWeb</w:t>
      </w:r>
      <w:r>
        <w:t>.</w:t>
      </w:r>
    </w:p>
    <w:p w14:paraId="20F66357" w14:textId="77777777" w:rsidR="00B45043" w:rsidRDefault="00B45043" w:rsidP="009A499D">
      <w:pPr>
        <w:pStyle w:val="SemEspaamento"/>
        <w:jc w:val="both"/>
      </w:pPr>
    </w:p>
    <w:p w14:paraId="640DFFA8" w14:textId="4451BFF9" w:rsidR="00B45043" w:rsidRDefault="00B45043" w:rsidP="009A499D">
      <w:pPr>
        <w:pStyle w:val="SemEspaamento"/>
        <w:jc w:val="both"/>
      </w:pPr>
      <w:r>
        <w:t>Como o Processo funciona:</w:t>
      </w:r>
    </w:p>
    <w:p w14:paraId="5D66AD1E" w14:textId="75566FCC" w:rsidR="00C10416" w:rsidRDefault="00C10416" w:rsidP="009A499D">
      <w:pPr>
        <w:pStyle w:val="SemEspaamento"/>
        <w:jc w:val="both"/>
      </w:pPr>
      <w:r>
        <w:rPr>
          <w:noProof/>
        </w:rPr>
        <w:drawing>
          <wp:inline distT="0" distB="0" distL="0" distR="0" wp14:anchorId="100BE0D2" wp14:editId="7DE1938A">
            <wp:extent cx="6660515" cy="2241550"/>
            <wp:effectExtent l="0" t="0" r="6985" b="6350"/>
            <wp:docPr id="787495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5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E9ED" w14:textId="77777777" w:rsidR="00C10416" w:rsidRDefault="00C10416" w:rsidP="009A499D">
      <w:pPr>
        <w:pStyle w:val="SemEspaamento"/>
        <w:jc w:val="both"/>
      </w:pPr>
    </w:p>
    <w:p w14:paraId="18ACE5BB" w14:textId="77777777" w:rsidR="004A1154" w:rsidRDefault="004A1154" w:rsidP="009A499D">
      <w:pPr>
        <w:pStyle w:val="SemEspaamento"/>
        <w:jc w:val="both"/>
        <w:rPr>
          <w:b/>
          <w:bCs/>
        </w:rPr>
      </w:pPr>
    </w:p>
    <w:p w14:paraId="6A180EC1" w14:textId="7F09090B" w:rsidR="00C10416" w:rsidRPr="009868BE" w:rsidRDefault="003E1389" w:rsidP="009A499D">
      <w:pPr>
        <w:pStyle w:val="SemEspaamento"/>
        <w:jc w:val="both"/>
        <w:rPr>
          <w:b/>
          <w:bCs/>
          <w:sz w:val="24"/>
          <w:szCs w:val="24"/>
        </w:rPr>
      </w:pPr>
      <w:r w:rsidRPr="009868BE">
        <w:rPr>
          <w:b/>
          <w:bCs/>
          <w:sz w:val="24"/>
          <w:szCs w:val="24"/>
        </w:rPr>
        <w:t>Regras aplicadas ao cenário de integração:</w:t>
      </w:r>
    </w:p>
    <w:p w14:paraId="3360D2F1" w14:textId="09826C7A" w:rsidR="003E1389" w:rsidRDefault="003E1389" w:rsidP="003E1389">
      <w:pPr>
        <w:pStyle w:val="SemEspaamento"/>
        <w:numPr>
          <w:ilvl w:val="0"/>
          <w:numId w:val="4"/>
        </w:numPr>
        <w:jc w:val="both"/>
      </w:pPr>
      <w:r>
        <w:t>Toda manutenção de aprovação das despesas com Cartão Corporativo ocorre diretamente na plataforma do Cartão Corporativo;</w:t>
      </w:r>
    </w:p>
    <w:p w14:paraId="1DDD65FF" w14:textId="6227F1EB" w:rsidR="003E1389" w:rsidRDefault="003E1389" w:rsidP="003E1389">
      <w:pPr>
        <w:pStyle w:val="SemEspaamento"/>
        <w:numPr>
          <w:ilvl w:val="0"/>
          <w:numId w:val="4"/>
        </w:numPr>
        <w:jc w:val="both"/>
      </w:pPr>
      <w:r>
        <w:t>GeWeb faz requisições regulares com a API do Cartão Corporativo em intervalos regulares de 1 hora;</w:t>
      </w:r>
    </w:p>
    <w:p w14:paraId="00791452" w14:textId="621C88B2" w:rsidR="003E1389" w:rsidRDefault="003E1389" w:rsidP="003E1389">
      <w:pPr>
        <w:pStyle w:val="SemEspaamento"/>
        <w:numPr>
          <w:ilvl w:val="0"/>
          <w:numId w:val="4"/>
        </w:numPr>
        <w:jc w:val="both"/>
      </w:pPr>
      <w:r>
        <w:t>Todos dados retornados na requisição recebem uma analise inicial no GeWeb para identificar apenas os dados recebidos que correspondem a “Despesas Aprovadas”;</w:t>
      </w:r>
    </w:p>
    <w:p w14:paraId="6BE02679" w14:textId="4E7942D4" w:rsidR="003E1389" w:rsidRDefault="003E1389" w:rsidP="003E1389">
      <w:pPr>
        <w:pStyle w:val="SemEspaamento"/>
        <w:numPr>
          <w:ilvl w:val="0"/>
          <w:numId w:val="4"/>
        </w:numPr>
        <w:jc w:val="both"/>
      </w:pPr>
      <w:r>
        <w:t>Todas Despesas Aprovadas, são importadas para o Banco de Dados do GeWeb e são submetidas por uma bateria de crítica e validação de conteúdo;</w:t>
      </w:r>
    </w:p>
    <w:p w14:paraId="32DCB760" w14:textId="7A878AE4" w:rsidR="00C10416" w:rsidRDefault="003E1389" w:rsidP="00FD1A3B">
      <w:pPr>
        <w:pStyle w:val="SemEspaamento"/>
        <w:numPr>
          <w:ilvl w:val="0"/>
          <w:numId w:val="4"/>
        </w:numPr>
        <w:jc w:val="both"/>
      </w:pPr>
      <w:r>
        <w:t>Qualquer irregularidade identificada é evidenciada pelo GeWeb e apresentada na tela de monitoramento</w:t>
      </w:r>
      <w:r w:rsidR="004D23DB">
        <w:t xml:space="preserve"> (</w:t>
      </w:r>
      <w:r w:rsidR="004D23DB" w:rsidRPr="004D23DB">
        <w:rPr>
          <w:i/>
          <w:iCs/>
        </w:rPr>
        <w:t>menu: “Operações</w:t>
      </w:r>
      <w:r w:rsidR="004D23DB" w:rsidRPr="004D23DB">
        <w:sym w:font="Wingdings" w:char="F0E0"/>
      </w:r>
      <w:r w:rsidR="004D23DB" w:rsidRPr="004D23DB">
        <w:rPr>
          <w:i/>
          <w:iCs/>
        </w:rPr>
        <w:t>Cartão Corporativo</w:t>
      </w:r>
      <w:r w:rsidR="004D23DB" w:rsidRPr="004D23DB">
        <w:sym w:font="Wingdings" w:char="F0E0"/>
      </w:r>
      <w:r w:rsidR="004D23DB" w:rsidRPr="004D23DB">
        <w:rPr>
          <w:i/>
          <w:iCs/>
        </w:rPr>
        <w:t>Operações”</w:t>
      </w:r>
      <w:r w:rsidR="004D23DB">
        <w:t>) permitindo ao usuário realizar correções pontuais e compatibilizar os dados para evoluir com a importação para o Financeiro;</w:t>
      </w:r>
    </w:p>
    <w:p w14:paraId="35283184" w14:textId="51064898" w:rsidR="004D23DB" w:rsidRDefault="004D23DB" w:rsidP="00FD1A3B">
      <w:pPr>
        <w:pStyle w:val="SemEspaamento"/>
        <w:numPr>
          <w:ilvl w:val="0"/>
          <w:numId w:val="4"/>
        </w:numPr>
        <w:jc w:val="both"/>
      </w:pPr>
      <w:r>
        <w:t xml:space="preserve">Caso durante o processo seja recebido um </w:t>
      </w:r>
      <w:r w:rsidRPr="004D23DB">
        <w:rPr>
          <w:b/>
          <w:bCs/>
        </w:rPr>
        <w:t>CNPJ de fornecedor ainda não existente</w:t>
      </w:r>
      <w:r>
        <w:t xml:space="preserve"> ao cadastro de Agentes do Geweb </w:t>
      </w:r>
      <w:r w:rsidRPr="004D23DB">
        <w:rPr>
          <w:u w:val="single"/>
        </w:rPr>
        <w:t>a inteligência interna do GeWeb automaticamente consulta os dados básicos do fornecedor junto a SEFAZ e inclui novo cadastro de Agente automaticamente</w:t>
      </w:r>
      <w:r>
        <w:t xml:space="preserve"> </w:t>
      </w:r>
      <w:r w:rsidR="00AA68BC">
        <w:t>e vinculando a informação a despesa;</w:t>
      </w:r>
    </w:p>
    <w:p w14:paraId="39B8193A" w14:textId="297CF5C0" w:rsidR="00AA68BC" w:rsidRDefault="00AA68BC" w:rsidP="00FD1A3B">
      <w:pPr>
        <w:pStyle w:val="SemEspaamento"/>
        <w:numPr>
          <w:ilvl w:val="0"/>
          <w:numId w:val="4"/>
        </w:numPr>
        <w:jc w:val="both"/>
      </w:pPr>
      <w:r>
        <w:t>Se todos os dados associados a Despesa estiverem em conformidade (</w:t>
      </w:r>
      <w:r w:rsidR="004A1154">
        <w:t>U</w:t>
      </w:r>
      <w:r>
        <w:t xml:space="preserve">suário do </w:t>
      </w:r>
      <w:r w:rsidR="004A1154">
        <w:t>C</w:t>
      </w:r>
      <w:r>
        <w:t xml:space="preserve">artão </w:t>
      </w:r>
      <w:r w:rsidR="004A1154">
        <w:t>C</w:t>
      </w:r>
      <w:r>
        <w:t xml:space="preserve">orporativo, Data da Despesa, Valor da Despesa, Centro de Custo, Conta Financeira, Departamento(CCF), Fornecedor, Data de Aprovação, </w:t>
      </w:r>
      <w:r w:rsidR="004A1154">
        <w:t>...) o GeWeb promove a importação da despesa gerando dois lançamentos no Financeiro (Sendo um para alocado para o agente “Fornecedor/Estabelecimento onde a despesa foi realizada” e outro alocado para o agente “Usuário do Cartão Corporativo”;</w:t>
      </w:r>
    </w:p>
    <w:p w14:paraId="45D6C9A9" w14:textId="2D114249" w:rsidR="004A1154" w:rsidRDefault="004A1154" w:rsidP="00FD1A3B">
      <w:pPr>
        <w:pStyle w:val="SemEspaamento"/>
        <w:numPr>
          <w:ilvl w:val="0"/>
          <w:numId w:val="4"/>
        </w:numPr>
        <w:jc w:val="both"/>
      </w:pPr>
      <w:r>
        <w:t>Conforme descrito no item 5 o GeWeb evidencia e disponibiliza ao usuário tela auxiliar para que receba adequações de conteúdo em não conformidade. Uma vez sanado estas irregularidades a despesa segue automaticamente o fluxo de integração descrito no item 7.</w:t>
      </w:r>
    </w:p>
    <w:p w14:paraId="0C298922" w14:textId="77777777" w:rsidR="004A1154" w:rsidRDefault="004A1154" w:rsidP="004A1154">
      <w:pPr>
        <w:pStyle w:val="SemEspaamento"/>
        <w:jc w:val="both"/>
      </w:pPr>
    </w:p>
    <w:p w14:paraId="564FEE22" w14:textId="0394D055" w:rsidR="004A1154" w:rsidRDefault="004A1154" w:rsidP="004A1154">
      <w:pPr>
        <w:pStyle w:val="SemEspaamento"/>
        <w:jc w:val="both"/>
      </w:pPr>
      <w:r>
        <w:t>O processo de integração conta com segurança de ponta a ponta, não permite duplicidade de registros assim como mantem registro dos dados originais recebidos da plataforma do Cartão Corporativo para eventual auditoria.</w:t>
      </w:r>
    </w:p>
    <w:p w14:paraId="72A9C0BB" w14:textId="77777777" w:rsidR="004A1154" w:rsidRDefault="004A1154" w:rsidP="004A1154">
      <w:pPr>
        <w:pStyle w:val="SemEspaamento"/>
        <w:jc w:val="both"/>
      </w:pPr>
    </w:p>
    <w:p w14:paraId="0007F4FA" w14:textId="77777777" w:rsidR="00873A4B" w:rsidRDefault="00873A4B" w:rsidP="004A1154">
      <w:pPr>
        <w:pStyle w:val="SemEspaamento"/>
        <w:jc w:val="both"/>
      </w:pPr>
    </w:p>
    <w:p w14:paraId="0B42158F" w14:textId="77777777" w:rsidR="00873A4B" w:rsidRPr="009868BE" w:rsidRDefault="00873A4B" w:rsidP="004A1154">
      <w:pPr>
        <w:pStyle w:val="SemEspaamento"/>
        <w:jc w:val="both"/>
        <w:rPr>
          <w:b/>
          <w:bCs/>
          <w:sz w:val="24"/>
          <w:szCs w:val="24"/>
        </w:rPr>
      </w:pPr>
      <w:r w:rsidRPr="009868BE">
        <w:rPr>
          <w:b/>
          <w:bCs/>
          <w:sz w:val="24"/>
          <w:szCs w:val="24"/>
        </w:rPr>
        <w:t>Acessando a tela de monitoramento (Operações Cartão Corporativo):</w:t>
      </w:r>
    </w:p>
    <w:p w14:paraId="553F4513" w14:textId="4747209D" w:rsidR="00873A4B" w:rsidRDefault="00873A4B" w:rsidP="004A1154">
      <w:pPr>
        <w:pStyle w:val="SemEspaamen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60CCC1" wp14:editId="00493E98">
            <wp:simplePos x="0" y="0"/>
            <wp:positionH relativeFrom="column">
              <wp:posOffset>635</wp:posOffset>
            </wp:positionH>
            <wp:positionV relativeFrom="paragraph">
              <wp:posOffset>55702</wp:posOffset>
            </wp:positionV>
            <wp:extent cx="3496665" cy="1924480"/>
            <wp:effectExtent l="0" t="0" r="8890" b="0"/>
            <wp:wrapTight wrapText="bothSides">
              <wp:wrapPolygon edited="0">
                <wp:start x="0" y="0"/>
                <wp:lineTo x="0" y="21386"/>
                <wp:lineTo x="21537" y="21386"/>
                <wp:lineTo x="21537" y="0"/>
                <wp:lineTo x="0" y="0"/>
              </wp:wrapPolygon>
            </wp:wrapTight>
            <wp:docPr id="1983588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880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665" cy="19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A259D" w14:textId="50540996" w:rsidR="00873A4B" w:rsidRDefault="00873A4B" w:rsidP="004A1154">
      <w:pPr>
        <w:pStyle w:val="SemEspaamento"/>
        <w:jc w:val="both"/>
      </w:pPr>
    </w:p>
    <w:p w14:paraId="672E8765" w14:textId="3191F3EA" w:rsidR="00873A4B" w:rsidRDefault="00873A4B" w:rsidP="004A1154">
      <w:pPr>
        <w:pStyle w:val="SemEspaamento"/>
        <w:jc w:val="both"/>
      </w:pPr>
      <w:r>
        <w:t>Para acessar a tela acesse:</w:t>
      </w:r>
    </w:p>
    <w:p w14:paraId="344822A9" w14:textId="282F5163" w:rsidR="00873A4B" w:rsidRDefault="00873A4B" w:rsidP="004A1154">
      <w:pPr>
        <w:pStyle w:val="SemEspaamento"/>
        <w:jc w:val="both"/>
      </w:pPr>
      <w:r w:rsidRPr="004D23DB">
        <w:rPr>
          <w:i/>
          <w:iCs/>
        </w:rPr>
        <w:t>menu “Operações</w:t>
      </w:r>
      <w:r w:rsidRPr="004D23DB">
        <w:sym w:font="Wingdings" w:char="F0E0"/>
      </w:r>
      <w:r w:rsidRPr="004D23DB">
        <w:rPr>
          <w:i/>
          <w:iCs/>
        </w:rPr>
        <w:t>Cartão Corporativo</w:t>
      </w:r>
      <w:r w:rsidRPr="004D23DB">
        <w:sym w:font="Wingdings" w:char="F0E0"/>
      </w:r>
      <w:r w:rsidRPr="004D23DB">
        <w:rPr>
          <w:i/>
          <w:iCs/>
        </w:rPr>
        <w:t>Operações”</w:t>
      </w:r>
    </w:p>
    <w:p w14:paraId="4FA0CBFC" w14:textId="77777777" w:rsidR="00873A4B" w:rsidRDefault="00873A4B" w:rsidP="004A1154">
      <w:pPr>
        <w:pStyle w:val="SemEspaamento"/>
        <w:jc w:val="both"/>
      </w:pPr>
    </w:p>
    <w:p w14:paraId="7A6D04E9" w14:textId="193B0BD1" w:rsidR="00873A4B" w:rsidRDefault="00873A4B" w:rsidP="004A1154">
      <w:pPr>
        <w:pStyle w:val="SemEspaamento"/>
        <w:jc w:val="both"/>
      </w:pPr>
      <w:r>
        <w:t>Caso seu usuário não tenha permissão, entre em contato com nossa equipe de suporte e solicite a parametrização do Grupo de Usuários.</w:t>
      </w:r>
    </w:p>
    <w:p w14:paraId="2240C7D4" w14:textId="77777777" w:rsidR="00873A4B" w:rsidRDefault="00873A4B" w:rsidP="004A1154">
      <w:pPr>
        <w:pStyle w:val="SemEspaamento"/>
        <w:jc w:val="both"/>
      </w:pPr>
    </w:p>
    <w:p w14:paraId="372BC267" w14:textId="77777777" w:rsidR="00873A4B" w:rsidRDefault="00873A4B" w:rsidP="004A1154">
      <w:pPr>
        <w:pStyle w:val="SemEspaamento"/>
        <w:jc w:val="both"/>
      </w:pPr>
    </w:p>
    <w:p w14:paraId="471D7094" w14:textId="77777777" w:rsidR="00873A4B" w:rsidRDefault="00873A4B" w:rsidP="004A1154">
      <w:pPr>
        <w:pStyle w:val="SemEspaamento"/>
        <w:jc w:val="both"/>
      </w:pPr>
    </w:p>
    <w:p w14:paraId="0D93FC83" w14:textId="77777777" w:rsidR="00873A4B" w:rsidRDefault="00873A4B" w:rsidP="004A1154">
      <w:pPr>
        <w:pStyle w:val="SemEspaamento"/>
        <w:jc w:val="both"/>
      </w:pPr>
    </w:p>
    <w:p w14:paraId="2FFCA29C" w14:textId="412D8481" w:rsidR="00873A4B" w:rsidRDefault="00873A4B" w:rsidP="004A1154">
      <w:pPr>
        <w:pStyle w:val="SemEspaamento"/>
        <w:jc w:val="both"/>
      </w:pPr>
    </w:p>
    <w:p w14:paraId="63992844" w14:textId="2DEA8C3E" w:rsidR="00873A4B" w:rsidRPr="009868BE" w:rsidRDefault="009A6E72" w:rsidP="004A1154">
      <w:pPr>
        <w:pStyle w:val="SemEspaamen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E3D391" wp14:editId="4ABEE2D5">
            <wp:simplePos x="0" y="0"/>
            <wp:positionH relativeFrom="column">
              <wp:posOffset>407</wp:posOffset>
            </wp:positionH>
            <wp:positionV relativeFrom="paragraph">
              <wp:posOffset>241072</wp:posOffset>
            </wp:positionV>
            <wp:extent cx="6660515" cy="3263900"/>
            <wp:effectExtent l="0" t="0" r="6985" b="0"/>
            <wp:wrapTight wrapText="bothSides">
              <wp:wrapPolygon edited="0">
                <wp:start x="0" y="0"/>
                <wp:lineTo x="0" y="21432"/>
                <wp:lineTo x="21561" y="21432"/>
                <wp:lineTo x="21561" y="0"/>
                <wp:lineTo x="0" y="0"/>
              </wp:wrapPolygon>
            </wp:wrapTight>
            <wp:docPr id="1218868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688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A4B" w:rsidRPr="009868BE">
        <w:rPr>
          <w:b/>
          <w:bCs/>
          <w:sz w:val="24"/>
          <w:szCs w:val="24"/>
        </w:rPr>
        <w:t>Elementos da tela:</w:t>
      </w:r>
    </w:p>
    <w:p w14:paraId="5051DD22" w14:textId="09AC3143" w:rsidR="00873A4B" w:rsidRDefault="00873A4B" w:rsidP="004A1154">
      <w:pPr>
        <w:pStyle w:val="SemEspaamento"/>
        <w:jc w:val="both"/>
      </w:pPr>
    </w:p>
    <w:p w14:paraId="12472DA0" w14:textId="34F6B51E" w:rsidR="00873A4B" w:rsidRDefault="00873A4B" w:rsidP="004A1154">
      <w:pPr>
        <w:pStyle w:val="SemEspaamento"/>
        <w:jc w:val="both"/>
      </w:pPr>
      <w:r>
        <w:t>Ao acessar a tela de monitoramento é apresent</w:t>
      </w:r>
      <w:r w:rsidR="00BE655D">
        <w:t xml:space="preserve">ado todos registros de despesas com cartão corporativo que estejam qualificadas como “Pendentes” este status atesta irregularidade com dados associados a despesa que impediram a integração direta da despesa com o Financeiro. </w:t>
      </w:r>
    </w:p>
    <w:p w14:paraId="4DFC3B17" w14:textId="77777777" w:rsidR="00BE655D" w:rsidRDefault="00BE655D" w:rsidP="004A1154">
      <w:pPr>
        <w:pStyle w:val="SemEspaamento"/>
        <w:jc w:val="both"/>
      </w:pPr>
    </w:p>
    <w:p w14:paraId="428FAF15" w14:textId="4E0FE277" w:rsidR="00BE655D" w:rsidRDefault="00BE655D" w:rsidP="004A1154">
      <w:pPr>
        <w:pStyle w:val="SemEspaamento"/>
        <w:jc w:val="both"/>
      </w:pPr>
      <w:r>
        <w:t>Para facilitar o manuseio dos dados pelo usuário é apresentado um grid com os dados principais da despesa que requer ações de correção do usuário para que a despesa seja importada para o Financeiro. Dados apresentados (Id da despesa no GeWeb, Data, Valor, Id da despesa na Plataforma do Cartão Corporativo, Local onde a despesa foi realizada, Nome do usuário do Cartão Corporativo e Avisos/Validação de Conteúdo).</w:t>
      </w:r>
    </w:p>
    <w:p w14:paraId="2533ECB4" w14:textId="77777777" w:rsidR="00BE655D" w:rsidRDefault="00BE655D" w:rsidP="004A1154">
      <w:pPr>
        <w:pStyle w:val="SemEspaamento"/>
        <w:jc w:val="both"/>
      </w:pPr>
    </w:p>
    <w:p w14:paraId="003BC37B" w14:textId="05894A94" w:rsidR="00BE655D" w:rsidRDefault="00BE655D" w:rsidP="004A1154">
      <w:pPr>
        <w:pStyle w:val="SemEspaamento"/>
        <w:jc w:val="both"/>
      </w:pPr>
      <w:r>
        <w:lastRenderedPageBreak/>
        <w:t>A coluna “</w:t>
      </w:r>
      <w:r w:rsidRPr="00BE655D">
        <w:rPr>
          <w:b/>
          <w:bCs/>
        </w:rPr>
        <w:t>Avisos/Validação de Conteúdo</w:t>
      </w:r>
      <w:r>
        <w:t>” apresenta as correções que devem ser efetuadas pelo usuário para compatibilizar o registro para importação para o Financeiro.</w:t>
      </w:r>
    </w:p>
    <w:p w14:paraId="0FCE451A" w14:textId="79DC40F7" w:rsidR="00BE655D" w:rsidRDefault="00BE655D" w:rsidP="004A1154">
      <w:pPr>
        <w:pStyle w:val="SemEspaamento"/>
        <w:jc w:val="both"/>
      </w:pPr>
    </w:p>
    <w:p w14:paraId="154A81C9" w14:textId="63670D30" w:rsidR="00BE655D" w:rsidRPr="009868BE" w:rsidRDefault="00F42FEF" w:rsidP="004A1154">
      <w:pPr>
        <w:pStyle w:val="SemEspaamento"/>
        <w:jc w:val="both"/>
        <w:rPr>
          <w:b/>
          <w:bCs/>
          <w:sz w:val="24"/>
          <w:szCs w:val="24"/>
        </w:rPr>
      </w:pPr>
      <w:r w:rsidRPr="009868BE">
        <w:rPr>
          <w:b/>
          <w:bCs/>
          <w:sz w:val="24"/>
          <w:szCs w:val="24"/>
        </w:rPr>
        <w:t>Como proceder com a manutenção (Correção de Irregularidades recebidas na Despesa):</w:t>
      </w:r>
    </w:p>
    <w:p w14:paraId="7951B546" w14:textId="538DFCB3" w:rsidR="00F42FEF" w:rsidRDefault="00F42FEF" w:rsidP="004A1154">
      <w:pPr>
        <w:pStyle w:val="SemEspaamento"/>
        <w:jc w:val="both"/>
      </w:pPr>
      <w:r>
        <w:t>Ao clicar sob a despesa escolhida para manutenção na tela de monitoramento é apresenta uma tela auxiliar com todos os dados recebidos no processo de integração. O GeWeb conduz a manutenção habilitando apenas os campos identificados como conteúdo irregular (fora do padrão esperado ou com inconsistência), desta forma a interação do usuário é rápida</w:t>
      </w:r>
      <w:r w:rsidR="00642734">
        <w:t xml:space="preserve"> e</w:t>
      </w:r>
      <w:r>
        <w:t xml:space="preserve"> dinâmica</w:t>
      </w:r>
      <w:r w:rsidR="00642734">
        <w:t xml:space="preserve"> conferindo grande agilidade ao processo.</w:t>
      </w:r>
    </w:p>
    <w:p w14:paraId="53D43775" w14:textId="77777777" w:rsidR="009B2FFA" w:rsidRDefault="009B2FFA" w:rsidP="004A1154">
      <w:pPr>
        <w:pStyle w:val="SemEspaamento"/>
        <w:jc w:val="both"/>
      </w:pPr>
    </w:p>
    <w:p w14:paraId="487C59FD" w14:textId="68EC6CBA" w:rsidR="00642734" w:rsidRDefault="009B2FFA" w:rsidP="004A1154">
      <w:pPr>
        <w:pStyle w:val="SemEspaamento"/>
        <w:jc w:val="both"/>
      </w:pPr>
      <w:r>
        <w:rPr>
          <w:noProof/>
        </w:rPr>
        <w:drawing>
          <wp:inline distT="0" distB="0" distL="0" distR="0" wp14:anchorId="511401B2" wp14:editId="55E48C3C">
            <wp:extent cx="6660515" cy="3239770"/>
            <wp:effectExtent l="0" t="0" r="6985" b="0"/>
            <wp:docPr id="1090806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6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86E0" w14:textId="5FE7C609" w:rsidR="00642734" w:rsidRDefault="00642734" w:rsidP="004A1154">
      <w:pPr>
        <w:pStyle w:val="SemEspaamento"/>
        <w:jc w:val="both"/>
      </w:pPr>
    </w:p>
    <w:p w14:paraId="24F74302" w14:textId="18758F84" w:rsidR="00642734" w:rsidRDefault="00642734" w:rsidP="004A1154">
      <w:pPr>
        <w:pStyle w:val="SemEspaamento"/>
        <w:jc w:val="both"/>
      </w:pPr>
    </w:p>
    <w:p w14:paraId="5D9757C9" w14:textId="4371FA94" w:rsidR="00642734" w:rsidRDefault="00642734" w:rsidP="004A1154">
      <w:pPr>
        <w:pStyle w:val="SemEspaamento"/>
        <w:jc w:val="both"/>
        <w:rPr>
          <w:b/>
          <w:bCs/>
          <w:sz w:val="24"/>
          <w:szCs w:val="24"/>
        </w:rPr>
      </w:pPr>
      <w:r w:rsidRPr="009868BE">
        <w:rPr>
          <w:b/>
          <w:bCs/>
          <w:sz w:val="24"/>
          <w:szCs w:val="24"/>
        </w:rPr>
        <w:t>Interação com filtros na tela de monitoramento:</w:t>
      </w:r>
    </w:p>
    <w:p w14:paraId="3D47CCE7" w14:textId="06A6CB5F" w:rsidR="00157436" w:rsidRPr="009868BE" w:rsidRDefault="00157436" w:rsidP="004A1154">
      <w:pPr>
        <w:pStyle w:val="SemEspaamen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ABF5B0A" wp14:editId="2BEAFBF7">
            <wp:simplePos x="0" y="0"/>
            <wp:positionH relativeFrom="column">
              <wp:posOffset>635</wp:posOffset>
            </wp:positionH>
            <wp:positionV relativeFrom="paragraph">
              <wp:posOffset>59690</wp:posOffset>
            </wp:positionV>
            <wp:extent cx="6223000" cy="2713355"/>
            <wp:effectExtent l="0" t="0" r="6350" b="0"/>
            <wp:wrapTight wrapText="bothSides">
              <wp:wrapPolygon edited="0">
                <wp:start x="0" y="0"/>
                <wp:lineTo x="0" y="21383"/>
                <wp:lineTo x="21556" y="21383"/>
                <wp:lineTo x="21556" y="0"/>
                <wp:lineTo x="0" y="0"/>
              </wp:wrapPolygon>
            </wp:wrapTight>
            <wp:docPr id="2038095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959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14FDE" w14:textId="61FCFD96" w:rsidR="00642734" w:rsidRDefault="00642734" w:rsidP="004A1154">
      <w:pPr>
        <w:pStyle w:val="SemEspaamento"/>
        <w:jc w:val="both"/>
      </w:pPr>
    </w:p>
    <w:p w14:paraId="1D55204D" w14:textId="77777777" w:rsidR="00157436" w:rsidRDefault="00157436" w:rsidP="004A1154">
      <w:pPr>
        <w:pStyle w:val="SemEspaamento"/>
        <w:jc w:val="both"/>
      </w:pPr>
    </w:p>
    <w:p w14:paraId="796FEBA7" w14:textId="77777777" w:rsidR="00157436" w:rsidRDefault="00157436" w:rsidP="004A1154">
      <w:pPr>
        <w:pStyle w:val="SemEspaamento"/>
        <w:jc w:val="both"/>
      </w:pPr>
    </w:p>
    <w:p w14:paraId="68821D6A" w14:textId="77777777" w:rsidR="00157436" w:rsidRDefault="00157436" w:rsidP="004A1154">
      <w:pPr>
        <w:pStyle w:val="SemEspaamento"/>
        <w:jc w:val="both"/>
      </w:pPr>
    </w:p>
    <w:p w14:paraId="7C097636" w14:textId="77777777" w:rsidR="00157436" w:rsidRDefault="00157436" w:rsidP="004A1154">
      <w:pPr>
        <w:pStyle w:val="SemEspaamento"/>
        <w:jc w:val="both"/>
      </w:pPr>
    </w:p>
    <w:p w14:paraId="7D526507" w14:textId="77777777" w:rsidR="00157436" w:rsidRDefault="00157436" w:rsidP="004A1154">
      <w:pPr>
        <w:pStyle w:val="SemEspaamento"/>
        <w:jc w:val="both"/>
      </w:pPr>
    </w:p>
    <w:p w14:paraId="1C0BA62A" w14:textId="77777777" w:rsidR="00157436" w:rsidRDefault="00157436" w:rsidP="004A1154">
      <w:pPr>
        <w:pStyle w:val="SemEspaamento"/>
        <w:jc w:val="both"/>
      </w:pPr>
    </w:p>
    <w:p w14:paraId="3F7E8B8B" w14:textId="77777777" w:rsidR="00157436" w:rsidRDefault="00157436" w:rsidP="004A1154">
      <w:pPr>
        <w:pStyle w:val="SemEspaamento"/>
        <w:jc w:val="both"/>
      </w:pPr>
    </w:p>
    <w:p w14:paraId="6ED41410" w14:textId="77777777" w:rsidR="00157436" w:rsidRDefault="00157436" w:rsidP="004A1154">
      <w:pPr>
        <w:pStyle w:val="SemEspaamento"/>
        <w:jc w:val="both"/>
      </w:pPr>
    </w:p>
    <w:p w14:paraId="3A39C269" w14:textId="77777777" w:rsidR="00157436" w:rsidRDefault="00157436" w:rsidP="004A1154">
      <w:pPr>
        <w:pStyle w:val="SemEspaamento"/>
        <w:jc w:val="both"/>
      </w:pPr>
    </w:p>
    <w:p w14:paraId="4B0CB651" w14:textId="77777777" w:rsidR="00157436" w:rsidRDefault="00157436" w:rsidP="004A1154">
      <w:pPr>
        <w:pStyle w:val="SemEspaamento"/>
        <w:jc w:val="both"/>
      </w:pPr>
    </w:p>
    <w:p w14:paraId="4054456C" w14:textId="77777777" w:rsidR="00157436" w:rsidRDefault="00157436" w:rsidP="004A1154">
      <w:pPr>
        <w:pStyle w:val="SemEspaamento"/>
        <w:jc w:val="both"/>
      </w:pPr>
    </w:p>
    <w:p w14:paraId="75F9547F" w14:textId="77777777" w:rsidR="00157436" w:rsidRDefault="00157436" w:rsidP="004A1154">
      <w:pPr>
        <w:pStyle w:val="SemEspaamento"/>
        <w:jc w:val="both"/>
      </w:pPr>
    </w:p>
    <w:p w14:paraId="15EA8068" w14:textId="77777777" w:rsidR="00157436" w:rsidRDefault="00157436" w:rsidP="004A1154">
      <w:pPr>
        <w:pStyle w:val="SemEspaamento"/>
        <w:jc w:val="both"/>
      </w:pPr>
    </w:p>
    <w:p w14:paraId="00CB4CDF" w14:textId="77777777" w:rsidR="00157436" w:rsidRDefault="00157436" w:rsidP="004A1154">
      <w:pPr>
        <w:pStyle w:val="SemEspaamento"/>
        <w:jc w:val="both"/>
      </w:pPr>
    </w:p>
    <w:p w14:paraId="3DD5A1AC" w14:textId="77777777" w:rsidR="00157436" w:rsidRDefault="00157436" w:rsidP="004A1154">
      <w:pPr>
        <w:pStyle w:val="SemEspaamento"/>
        <w:jc w:val="both"/>
      </w:pPr>
    </w:p>
    <w:p w14:paraId="5768FA9E" w14:textId="77777777" w:rsidR="00624FAD" w:rsidRDefault="00624FAD" w:rsidP="00157436">
      <w:pPr>
        <w:pStyle w:val="SemEspaamento"/>
        <w:jc w:val="both"/>
        <w:rPr>
          <w:b/>
          <w:bCs/>
          <w:sz w:val="24"/>
          <w:szCs w:val="24"/>
        </w:rPr>
      </w:pPr>
    </w:p>
    <w:p w14:paraId="4747AE09" w14:textId="6C3564CD" w:rsidR="00157436" w:rsidRPr="009868BE" w:rsidRDefault="00157436" w:rsidP="00157436">
      <w:pPr>
        <w:pStyle w:val="SemEspaamen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Relatório auxiliar (Acompanhamento das Despesas com Cartão Corporativo)</w:t>
      </w:r>
    </w:p>
    <w:p w14:paraId="5FF8FE54" w14:textId="47E208CF" w:rsidR="00157436" w:rsidRDefault="00157436" w:rsidP="00157436">
      <w:pPr>
        <w:pStyle w:val="SemEspaamento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E2B8F2C" wp14:editId="57CC1356">
            <wp:simplePos x="0" y="0"/>
            <wp:positionH relativeFrom="column">
              <wp:posOffset>2288540</wp:posOffset>
            </wp:positionH>
            <wp:positionV relativeFrom="paragraph">
              <wp:posOffset>141605</wp:posOffset>
            </wp:positionV>
            <wp:extent cx="4344670" cy="1144270"/>
            <wp:effectExtent l="0" t="0" r="0" b="0"/>
            <wp:wrapTight wrapText="bothSides">
              <wp:wrapPolygon edited="0">
                <wp:start x="0" y="0"/>
                <wp:lineTo x="0" y="21216"/>
                <wp:lineTo x="21499" y="21216"/>
                <wp:lineTo x="21499" y="0"/>
                <wp:lineTo x="0" y="0"/>
              </wp:wrapPolygon>
            </wp:wrapTight>
            <wp:docPr id="1797993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39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C802D" w14:textId="190AA17D" w:rsidR="00157436" w:rsidRDefault="00157436" w:rsidP="00157436">
      <w:pPr>
        <w:pStyle w:val="SemEspaamento"/>
        <w:jc w:val="both"/>
      </w:pPr>
      <w:r>
        <w:t>A</w:t>
      </w:r>
      <w:r>
        <w:t>o chamar o relatório é apresenta tela que permite segmentar as despesas por data inicial e final, e optar pela apresentação:  “Apenas documentos pendentes de importação” ou “Todos documentos”.</w:t>
      </w:r>
    </w:p>
    <w:p w14:paraId="2340DFA6" w14:textId="7251E10C" w:rsidR="00157436" w:rsidRDefault="00157436" w:rsidP="00157436">
      <w:pPr>
        <w:pStyle w:val="SemEspaamento"/>
        <w:jc w:val="both"/>
      </w:pPr>
    </w:p>
    <w:p w14:paraId="01AACC03" w14:textId="7DB1A350" w:rsidR="00157436" w:rsidRDefault="00157436" w:rsidP="00157436">
      <w:pPr>
        <w:pStyle w:val="SemEspaamento"/>
        <w:jc w:val="both"/>
      </w:pPr>
    </w:p>
    <w:p w14:paraId="72EF0616" w14:textId="6ABD50DC" w:rsidR="00624FAD" w:rsidRDefault="00624FAD" w:rsidP="00157436">
      <w:pPr>
        <w:pStyle w:val="SemEspaamento"/>
        <w:jc w:val="both"/>
      </w:pPr>
      <w:r>
        <w:rPr>
          <w:b/>
          <w:bCs/>
          <w:sz w:val="24"/>
          <w:szCs w:val="24"/>
        </w:rPr>
        <w:t>Visualização do</w:t>
      </w:r>
      <w:r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Relatório</w:t>
      </w:r>
      <w:r>
        <w:rPr>
          <w:b/>
          <w:bCs/>
          <w:sz w:val="24"/>
          <w:szCs w:val="24"/>
        </w:rPr>
        <w:t>s</w:t>
      </w:r>
    </w:p>
    <w:p w14:paraId="65E2953F" w14:textId="77777777" w:rsidR="00624FAD" w:rsidRDefault="00624FAD" w:rsidP="00157436">
      <w:pPr>
        <w:pStyle w:val="SemEspaamento"/>
        <w:jc w:val="both"/>
        <w:rPr>
          <w:b/>
          <w:bCs/>
          <w:sz w:val="24"/>
          <w:szCs w:val="24"/>
        </w:rPr>
      </w:pPr>
    </w:p>
    <w:p w14:paraId="08CC4A48" w14:textId="2FDDCAE4" w:rsidR="00157436" w:rsidRDefault="00624FAD" w:rsidP="00624FAD">
      <w:pPr>
        <w:pStyle w:val="SemEspaamen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Todos documentos</w:t>
      </w:r>
      <w:r w:rsidR="00157436">
        <w:rPr>
          <w:b/>
          <w:bCs/>
          <w:sz w:val="24"/>
          <w:szCs w:val="24"/>
        </w:rPr>
        <w:t>:</w:t>
      </w:r>
    </w:p>
    <w:p w14:paraId="6CC4BAE4" w14:textId="64E54243" w:rsidR="00157436" w:rsidRDefault="00624FAD" w:rsidP="00157436">
      <w:pPr>
        <w:pStyle w:val="SemEspaamento"/>
        <w:jc w:val="both"/>
      </w:pPr>
      <w:r>
        <w:rPr>
          <w:noProof/>
        </w:rPr>
        <w:drawing>
          <wp:inline distT="0" distB="0" distL="0" distR="0" wp14:anchorId="4A2BFD93" wp14:editId="02A09FA7">
            <wp:extent cx="6660515" cy="2813685"/>
            <wp:effectExtent l="0" t="0" r="6985" b="5715"/>
            <wp:docPr id="1447095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5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09E9" w14:textId="77777777" w:rsidR="00157436" w:rsidRDefault="00157436" w:rsidP="00157436">
      <w:pPr>
        <w:pStyle w:val="SemEspaamento"/>
        <w:jc w:val="both"/>
      </w:pPr>
    </w:p>
    <w:p w14:paraId="0B1C796F" w14:textId="77777777" w:rsidR="00624FAD" w:rsidRDefault="00624FAD" w:rsidP="00624FAD">
      <w:pPr>
        <w:pStyle w:val="SemEspaamento"/>
        <w:jc w:val="both"/>
        <w:rPr>
          <w:b/>
          <w:bCs/>
          <w:sz w:val="24"/>
          <w:szCs w:val="24"/>
        </w:rPr>
      </w:pPr>
    </w:p>
    <w:p w14:paraId="3AD326CE" w14:textId="77777777" w:rsidR="00624FAD" w:rsidRDefault="00624FAD" w:rsidP="00624FAD">
      <w:pPr>
        <w:pStyle w:val="SemEspaamento"/>
        <w:jc w:val="both"/>
        <w:rPr>
          <w:b/>
          <w:bCs/>
          <w:sz w:val="24"/>
          <w:szCs w:val="24"/>
        </w:rPr>
      </w:pPr>
    </w:p>
    <w:p w14:paraId="4279AEB5" w14:textId="175CACDC" w:rsidR="00624FAD" w:rsidRDefault="00624FAD" w:rsidP="00624FAD">
      <w:pPr>
        <w:pStyle w:val="SemEspaamen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Apenas documentos pendentes de importação</w:t>
      </w:r>
      <w:r>
        <w:rPr>
          <w:b/>
          <w:bCs/>
          <w:sz w:val="24"/>
          <w:szCs w:val="24"/>
        </w:rPr>
        <w:t>:</w:t>
      </w:r>
    </w:p>
    <w:p w14:paraId="626A78AB" w14:textId="444B1462" w:rsidR="00157436" w:rsidRDefault="00624FAD" w:rsidP="004A1154">
      <w:pPr>
        <w:pStyle w:val="SemEspaamento"/>
        <w:jc w:val="both"/>
      </w:pPr>
      <w:r>
        <w:rPr>
          <w:noProof/>
        </w:rPr>
        <w:drawing>
          <wp:inline distT="0" distB="0" distL="0" distR="0" wp14:anchorId="0F59DBD5" wp14:editId="3E26CE93">
            <wp:extent cx="6660515" cy="1349375"/>
            <wp:effectExtent l="0" t="0" r="6985" b="3175"/>
            <wp:docPr id="1413952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2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D3C4" w14:textId="77777777" w:rsidR="00157436" w:rsidRDefault="00157436" w:rsidP="004A1154">
      <w:pPr>
        <w:pStyle w:val="SemEspaamento"/>
        <w:jc w:val="both"/>
      </w:pPr>
    </w:p>
    <w:p w14:paraId="6243E2A2" w14:textId="77777777" w:rsidR="00624FAD" w:rsidRDefault="00624FAD" w:rsidP="004A1154">
      <w:pPr>
        <w:pStyle w:val="SemEspaamento"/>
        <w:jc w:val="both"/>
      </w:pPr>
    </w:p>
    <w:p w14:paraId="0BF93531" w14:textId="73AC0E83" w:rsidR="00F42FEF" w:rsidRDefault="00817D99" w:rsidP="00817D99">
      <w:pPr>
        <w:pStyle w:val="SemEspaamento"/>
        <w:jc w:val="center"/>
      </w:pPr>
      <w:r>
        <w:t>______________________________________________________________________________________________</w:t>
      </w:r>
    </w:p>
    <w:p w14:paraId="62F00394" w14:textId="5939F74E" w:rsidR="00817D99" w:rsidRDefault="00817D99" w:rsidP="004A1154">
      <w:pPr>
        <w:pStyle w:val="SemEspaamento"/>
        <w:jc w:val="both"/>
      </w:pPr>
    </w:p>
    <w:p w14:paraId="5F98724E" w14:textId="77777777" w:rsidR="00624FAD" w:rsidRDefault="00624FAD" w:rsidP="004A1154">
      <w:pPr>
        <w:pStyle w:val="SemEspaamento"/>
        <w:jc w:val="both"/>
      </w:pPr>
    </w:p>
    <w:p w14:paraId="4F98CA26" w14:textId="75EE0233" w:rsidR="00BE655D" w:rsidRPr="009868BE" w:rsidRDefault="00817D99" w:rsidP="004A1154">
      <w:pPr>
        <w:pStyle w:val="SemEspaamento"/>
        <w:jc w:val="both"/>
        <w:rPr>
          <w:b/>
          <w:bCs/>
          <w:sz w:val="24"/>
          <w:szCs w:val="24"/>
        </w:rPr>
      </w:pPr>
      <w:r w:rsidRPr="009868BE">
        <w:rPr>
          <w:b/>
          <w:bCs/>
          <w:sz w:val="24"/>
          <w:szCs w:val="24"/>
        </w:rPr>
        <w:t>Mapeamento de informações entre os sistemas (Cartão Corporativo x GeWeb):</w:t>
      </w:r>
    </w:p>
    <w:p w14:paraId="246D7678" w14:textId="30FA4C0D" w:rsidR="00817D99" w:rsidRDefault="00817D99" w:rsidP="004A1154">
      <w:pPr>
        <w:pStyle w:val="SemEspaamento"/>
        <w:jc w:val="both"/>
      </w:pPr>
      <w:r>
        <w:t xml:space="preserve">A integração entre as plataformas requer </w:t>
      </w:r>
      <w:r w:rsidR="009868BE">
        <w:t xml:space="preserve">vínculos diretos entre os campos vitais entre os cadastros em ambos lados (Cartão Corporativo e GeWeb). O conjunto destas informações é o que garante a correta qualificação de Contas Financeiras, identificação de Estabelecimento/Fornecedor, identificação do Usuário do Cartão Corporativo, Grupo de Contas, Centro de Custo, ... </w:t>
      </w:r>
    </w:p>
    <w:p w14:paraId="035E3800" w14:textId="49839979" w:rsidR="009868BE" w:rsidRDefault="009868BE" w:rsidP="004A1154">
      <w:pPr>
        <w:pStyle w:val="SemEspaamento"/>
        <w:jc w:val="both"/>
      </w:pPr>
    </w:p>
    <w:p w14:paraId="4BBD2EB8" w14:textId="66F6072D" w:rsidR="009868BE" w:rsidRDefault="009868BE" w:rsidP="004A1154">
      <w:pPr>
        <w:pStyle w:val="SemEspaamento"/>
        <w:jc w:val="both"/>
      </w:pPr>
      <w:r>
        <w:t>Abaixo segue quadro de referência dos campos de acordo com a plataforma do cartão corporativo.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26"/>
        <w:gridCol w:w="3164"/>
        <w:gridCol w:w="6089"/>
      </w:tblGrid>
      <w:tr w:rsidR="009868BE" w14:paraId="776CCDA4" w14:textId="77777777" w:rsidTr="001D5AF4">
        <w:tc>
          <w:tcPr>
            <w:tcW w:w="1226" w:type="dxa"/>
          </w:tcPr>
          <w:p w14:paraId="5B610E7E" w14:textId="5C21839D" w:rsidR="009868BE" w:rsidRPr="0059188E" w:rsidRDefault="0059188E" w:rsidP="0059188E">
            <w:pPr>
              <w:pStyle w:val="SemEspaamento"/>
              <w:jc w:val="center"/>
              <w:rPr>
                <w:b/>
                <w:bCs/>
              </w:rPr>
            </w:pPr>
            <w:r w:rsidRPr="0059188E">
              <w:rPr>
                <w:b/>
                <w:bCs/>
              </w:rPr>
              <w:t>Plataforma</w:t>
            </w:r>
          </w:p>
        </w:tc>
        <w:tc>
          <w:tcPr>
            <w:tcW w:w="3164" w:type="dxa"/>
          </w:tcPr>
          <w:p w14:paraId="3575CF37" w14:textId="5C6AE93C" w:rsidR="009868BE" w:rsidRPr="0059188E" w:rsidRDefault="0059188E" w:rsidP="0059188E">
            <w:pPr>
              <w:pStyle w:val="SemEspaamento"/>
              <w:jc w:val="center"/>
              <w:rPr>
                <w:b/>
                <w:bCs/>
              </w:rPr>
            </w:pPr>
            <w:r w:rsidRPr="0059188E">
              <w:rPr>
                <w:b/>
                <w:bCs/>
              </w:rPr>
              <w:t>Campo</w:t>
            </w:r>
          </w:p>
        </w:tc>
        <w:tc>
          <w:tcPr>
            <w:tcW w:w="6089" w:type="dxa"/>
          </w:tcPr>
          <w:p w14:paraId="039B49D9" w14:textId="0A5DEAD7" w:rsidR="009868BE" w:rsidRPr="0059188E" w:rsidRDefault="0059188E" w:rsidP="0059188E">
            <w:pPr>
              <w:pStyle w:val="SemEspaamento"/>
              <w:jc w:val="center"/>
              <w:rPr>
                <w:b/>
                <w:bCs/>
              </w:rPr>
            </w:pPr>
            <w:r w:rsidRPr="0059188E">
              <w:rPr>
                <w:b/>
                <w:bCs/>
              </w:rPr>
              <w:t>Cadastro correspondente no GeWeb</w:t>
            </w:r>
          </w:p>
        </w:tc>
      </w:tr>
      <w:tr w:rsidR="0059188E" w14:paraId="040C721B" w14:textId="77777777" w:rsidTr="001D5AF4">
        <w:tc>
          <w:tcPr>
            <w:tcW w:w="1226" w:type="dxa"/>
            <w:vMerge w:val="restart"/>
            <w:textDirection w:val="btLr"/>
          </w:tcPr>
          <w:p w14:paraId="23E90C54" w14:textId="77777777" w:rsidR="0059188E" w:rsidRDefault="0059188E" w:rsidP="0059188E">
            <w:pPr>
              <w:pStyle w:val="SemEspaamento"/>
              <w:ind w:left="113" w:right="113"/>
              <w:jc w:val="center"/>
              <w:rPr>
                <w:b/>
                <w:bCs/>
              </w:rPr>
            </w:pPr>
          </w:p>
          <w:p w14:paraId="4FA8F9CC" w14:textId="26339508" w:rsidR="0059188E" w:rsidRPr="0059188E" w:rsidRDefault="0059188E" w:rsidP="0059188E">
            <w:pPr>
              <w:pStyle w:val="SemEspaamento"/>
              <w:ind w:left="113" w:right="113"/>
              <w:jc w:val="center"/>
              <w:rPr>
                <w:b/>
                <w:bCs/>
              </w:rPr>
            </w:pPr>
            <w:r w:rsidRPr="0059188E">
              <w:rPr>
                <w:b/>
                <w:bCs/>
              </w:rPr>
              <w:t>Espresso</w:t>
            </w:r>
          </w:p>
        </w:tc>
        <w:tc>
          <w:tcPr>
            <w:tcW w:w="3164" w:type="dxa"/>
          </w:tcPr>
          <w:p w14:paraId="2083DBDB" w14:textId="6EF8DD9F" w:rsidR="0059188E" w:rsidRDefault="0059188E" w:rsidP="004A1154">
            <w:pPr>
              <w:pStyle w:val="SemEspaamento"/>
              <w:jc w:val="both"/>
            </w:pPr>
            <w:r>
              <w:t>Usuário do cartão</w:t>
            </w:r>
          </w:p>
        </w:tc>
        <w:tc>
          <w:tcPr>
            <w:tcW w:w="6089" w:type="dxa"/>
          </w:tcPr>
          <w:p w14:paraId="7D9624BD" w14:textId="39611D14" w:rsidR="0059188E" w:rsidRDefault="001D5AF4" w:rsidP="004A1154">
            <w:pPr>
              <w:pStyle w:val="SemEspaamento"/>
              <w:jc w:val="both"/>
            </w:pPr>
            <w:r w:rsidRPr="009F1BE7">
              <w:rPr>
                <w:b/>
                <w:bCs/>
              </w:rPr>
              <w:t>Cadastro de Agente</w:t>
            </w:r>
            <w:r>
              <w:t xml:space="preserve"> – campo: “</w:t>
            </w:r>
            <w:r w:rsidRPr="009F1BE7">
              <w:rPr>
                <w:b/>
                <w:bCs/>
              </w:rPr>
              <w:t>id</w:t>
            </w:r>
            <w:r>
              <w:t>” código do agente</w:t>
            </w:r>
          </w:p>
        </w:tc>
      </w:tr>
      <w:tr w:rsidR="0059188E" w14:paraId="4C76E327" w14:textId="77777777" w:rsidTr="001D5AF4">
        <w:tc>
          <w:tcPr>
            <w:tcW w:w="1226" w:type="dxa"/>
            <w:vMerge/>
          </w:tcPr>
          <w:p w14:paraId="5381B5AD" w14:textId="77777777" w:rsidR="0059188E" w:rsidRDefault="0059188E" w:rsidP="004A1154">
            <w:pPr>
              <w:pStyle w:val="SemEspaamento"/>
              <w:jc w:val="both"/>
            </w:pPr>
          </w:p>
        </w:tc>
        <w:tc>
          <w:tcPr>
            <w:tcW w:w="3164" w:type="dxa"/>
          </w:tcPr>
          <w:p w14:paraId="322386F0" w14:textId="49C6036C" w:rsidR="0059188E" w:rsidRDefault="008E2419" w:rsidP="004A1154">
            <w:pPr>
              <w:pStyle w:val="SemEspaamento"/>
              <w:jc w:val="both"/>
            </w:pPr>
            <w:r>
              <w:t>CNPJ/CPF – Fornecedor</w:t>
            </w:r>
          </w:p>
        </w:tc>
        <w:tc>
          <w:tcPr>
            <w:tcW w:w="6089" w:type="dxa"/>
          </w:tcPr>
          <w:p w14:paraId="17FC7DE8" w14:textId="53A6FC91" w:rsidR="0059188E" w:rsidRDefault="008E2419" w:rsidP="004A1154">
            <w:pPr>
              <w:pStyle w:val="SemEspaamento"/>
              <w:jc w:val="both"/>
            </w:pPr>
            <w:r>
              <w:t>É esperado receber CNPJ ou CPF para identificação do estabelecimento onde foi realizado a despesa. Fica posteriormente vinculado ao Cadastro de Agente.</w:t>
            </w:r>
          </w:p>
        </w:tc>
      </w:tr>
      <w:tr w:rsidR="0059188E" w14:paraId="124882C1" w14:textId="77777777" w:rsidTr="001D5AF4">
        <w:tc>
          <w:tcPr>
            <w:tcW w:w="1226" w:type="dxa"/>
            <w:vMerge/>
          </w:tcPr>
          <w:p w14:paraId="5F2AC6E3" w14:textId="77777777" w:rsidR="0059188E" w:rsidRDefault="0059188E" w:rsidP="004A1154">
            <w:pPr>
              <w:pStyle w:val="SemEspaamento"/>
              <w:jc w:val="both"/>
            </w:pPr>
          </w:p>
        </w:tc>
        <w:tc>
          <w:tcPr>
            <w:tcW w:w="3164" w:type="dxa"/>
          </w:tcPr>
          <w:p w14:paraId="071CDDB1" w14:textId="631CC728" w:rsidR="0059188E" w:rsidRDefault="008E2419" w:rsidP="004A1154">
            <w:pPr>
              <w:pStyle w:val="SemEspaamento"/>
              <w:jc w:val="both"/>
            </w:pPr>
            <w:r>
              <w:t>Centro de Custo</w:t>
            </w:r>
          </w:p>
        </w:tc>
        <w:tc>
          <w:tcPr>
            <w:tcW w:w="6089" w:type="dxa"/>
          </w:tcPr>
          <w:p w14:paraId="79718000" w14:textId="784DE059" w:rsidR="0059188E" w:rsidRDefault="008E2419" w:rsidP="004A1154">
            <w:pPr>
              <w:pStyle w:val="SemEspaamento"/>
              <w:jc w:val="both"/>
            </w:pPr>
            <w:r w:rsidRPr="008E2419">
              <w:rPr>
                <w:b/>
                <w:bCs/>
              </w:rPr>
              <w:t>Cadastro de Centro de Custo Comercial</w:t>
            </w:r>
            <w:r>
              <w:t xml:space="preserve"> – campo: “</w:t>
            </w:r>
            <w:r w:rsidRPr="008E2419">
              <w:rPr>
                <w:b/>
                <w:bCs/>
              </w:rPr>
              <w:t>id</w:t>
            </w:r>
            <w:r>
              <w:t>” código do centro de custo.</w:t>
            </w:r>
          </w:p>
        </w:tc>
      </w:tr>
      <w:tr w:rsidR="0059188E" w14:paraId="155CB1BB" w14:textId="77777777" w:rsidTr="001D5AF4">
        <w:tc>
          <w:tcPr>
            <w:tcW w:w="1226" w:type="dxa"/>
            <w:vMerge/>
          </w:tcPr>
          <w:p w14:paraId="1E42E6E5" w14:textId="77777777" w:rsidR="0059188E" w:rsidRDefault="0059188E" w:rsidP="004A1154">
            <w:pPr>
              <w:pStyle w:val="SemEspaamento"/>
              <w:jc w:val="both"/>
            </w:pPr>
          </w:p>
        </w:tc>
        <w:tc>
          <w:tcPr>
            <w:tcW w:w="3164" w:type="dxa"/>
          </w:tcPr>
          <w:p w14:paraId="07A0AB9F" w14:textId="1898584D" w:rsidR="0059188E" w:rsidRDefault="008E2419" w:rsidP="004A1154">
            <w:pPr>
              <w:pStyle w:val="SemEspaamento"/>
              <w:jc w:val="both"/>
            </w:pPr>
            <w:r>
              <w:t>Grupo de Contas Financeiras</w:t>
            </w:r>
          </w:p>
        </w:tc>
        <w:tc>
          <w:tcPr>
            <w:tcW w:w="6089" w:type="dxa"/>
          </w:tcPr>
          <w:p w14:paraId="39E4B0BA" w14:textId="1A64A1B1" w:rsidR="0059188E" w:rsidRDefault="008E2419" w:rsidP="004A1154">
            <w:pPr>
              <w:pStyle w:val="SemEspaamento"/>
              <w:jc w:val="both"/>
            </w:pPr>
            <w:r w:rsidRPr="009F1BE7">
              <w:rPr>
                <w:b/>
                <w:bCs/>
              </w:rPr>
              <w:t>Cadastro de Patrimônio</w:t>
            </w:r>
            <w:r>
              <w:t xml:space="preserve"> – campo: “</w:t>
            </w:r>
            <w:r w:rsidRPr="009F1BE7">
              <w:rPr>
                <w:b/>
                <w:bCs/>
              </w:rPr>
              <w:t>nr_serie</w:t>
            </w:r>
            <w:r>
              <w:t>” (deve receber o mesmo “id” do grupo de contas na plataforma do cartão corporativo.</w:t>
            </w:r>
          </w:p>
        </w:tc>
      </w:tr>
      <w:tr w:rsidR="0059188E" w14:paraId="4420545B" w14:textId="77777777" w:rsidTr="001D5AF4">
        <w:tc>
          <w:tcPr>
            <w:tcW w:w="1226" w:type="dxa"/>
            <w:vMerge/>
          </w:tcPr>
          <w:p w14:paraId="72813E60" w14:textId="77777777" w:rsidR="0059188E" w:rsidRDefault="0059188E" w:rsidP="004A1154">
            <w:pPr>
              <w:pStyle w:val="SemEspaamento"/>
              <w:jc w:val="both"/>
            </w:pPr>
          </w:p>
        </w:tc>
        <w:tc>
          <w:tcPr>
            <w:tcW w:w="3164" w:type="dxa"/>
          </w:tcPr>
          <w:p w14:paraId="6342E9D3" w14:textId="1E60A414" w:rsidR="0059188E" w:rsidRDefault="008E2419" w:rsidP="004A1154">
            <w:pPr>
              <w:pStyle w:val="SemEspaamento"/>
              <w:jc w:val="both"/>
            </w:pPr>
            <w:r>
              <w:t>Conta Financeira</w:t>
            </w:r>
          </w:p>
        </w:tc>
        <w:tc>
          <w:tcPr>
            <w:tcW w:w="6089" w:type="dxa"/>
          </w:tcPr>
          <w:p w14:paraId="191134B9" w14:textId="21E43937" w:rsidR="0059188E" w:rsidRDefault="008E2419" w:rsidP="004A1154">
            <w:pPr>
              <w:pStyle w:val="SemEspaamento"/>
              <w:jc w:val="both"/>
            </w:pPr>
            <w:r>
              <w:rPr>
                <w:b/>
                <w:bCs/>
              </w:rPr>
              <w:t>Cadastro de Tipos Financeiro</w:t>
            </w:r>
            <w:r w:rsidRPr="009F1BE7">
              <w:t xml:space="preserve"> </w:t>
            </w:r>
            <w:r>
              <w:t>– campo: “</w:t>
            </w:r>
            <w:r w:rsidRPr="009F1BE7">
              <w:rPr>
                <w:b/>
                <w:bCs/>
              </w:rPr>
              <w:t>id</w:t>
            </w:r>
            <w:r>
              <w:t>”</w:t>
            </w:r>
            <w:r w:rsidRPr="009F1BE7">
              <w:t xml:space="preserve"> </w:t>
            </w:r>
            <w:r>
              <w:t>código da conta.</w:t>
            </w:r>
          </w:p>
        </w:tc>
      </w:tr>
    </w:tbl>
    <w:p w14:paraId="2F912234" w14:textId="493D90E4" w:rsidR="008E2419" w:rsidRDefault="008E2419" w:rsidP="004A1154">
      <w:pPr>
        <w:pStyle w:val="SemEspaamento"/>
        <w:jc w:val="both"/>
      </w:pPr>
    </w:p>
    <w:p w14:paraId="2213FF3A" w14:textId="6385E59C" w:rsidR="00B8183E" w:rsidRDefault="00B8183E" w:rsidP="009A499D">
      <w:pPr>
        <w:pStyle w:val="SemEspaamento"/>
        <w:jc w:val="both"/>
      </w:pPr>
    </w:p>
    <w:p w14:paraId="3E6AF012" w14:textId="6C00F59C" w:rsidR="008E2419" w:rsidRDefault="008E2419" w:rsidP="008E2419">
      <w:pPr>
        <w:pStyle w:val="SemEspaamento"/>
        <w:jc w:val="center"/>
      </w:pPr>
      <w:r>
        <w:t>______________________________________________________________________________________________</w:t>
      </w:r>
    </w:p>
    <w:p w14:paraId="6B1F00BD" w14:textId="2D6C5298" w:rsidR="00B8183E" w:rsidRDefault="00B8183E" w:rsidP="009A499D">
      <w:pPr>
        <w:pStyle w:val="SemEspaamento"/>
        <w:jc w:val="both"/>
      </w:pPr>
    </w:p>
    <w:p w14:paraId="191B60F7" w14:textId="33F6D2BB" w:rsidR="00B8183E" w:rsidRPr="008E2419" w:rsidRDefault="008E2419" w:rsidP="009A499D">
      <w:pPr>
        <w:pStyle w:val="SemEspaamento"/>
        <w:jc w:val="both"/>
        <w:rPr>
          <w:b/>
          <w:bCs/>
          <w:sz w:val="24"/>
          <w:szCs w:val="24"/>
        </w:rPr>
      </w:pPr>
      <w:r w:rsidRPr="008E2419">
        <w:rPr>
          <w:b/>
          <w:bCs/>
          <w:sz w:val="24"/>
          <w:szCs w:val="24"/>
        </w:rPr>
        <w:t>Como funciona os ciclos de requisições de integração e períodos:</w:t>
      </w:r>
    </w:p>
    <w:p w14:paraId="5ACF5B20" w14:textId="1AA9214C" w:rsidR="00FD6A49" w:rsidRDefault="00FD6A49" w:rsidP="009A499D">
      <w:pPr>
        <w:pStyle w:val="SemEspaamento"/>
        <w:jc w:val="both"/>
      </w:pPr>
      <w:r>
        <w:t>As requisições de integração entre as plataformas foram projetadas para contemplar os períodos operacionais do departamento financeiro seguindo as regras:</w:t>
      </w:r>
    </w:p>
    <w:p w14:paraId="3FACBD1A" w14:textId="4C6CC2FC" w:rsidR="00FD6A49" w:rsidRDefault="00FD6A49" w:rsidP="00FD6A49">
      <w:pPr>
        <w:pStyle w:val="SemEspaamento"/>
        <w:numPr>
          <w:ilvl w:val="0"/>
          <w:numId w:val="5"/>
        </w:numPr>
        <w:jc w:val="both"/>
      </w:pPr>
      <w:r>
        <w:t xml:space="preserve">Fechamento do período de pagamento/reembolso do mês anterior </w:t>
      </w:r>
      <w:r w:rsidRPr="00233327">
        <w:rPr>
          <w:u w:val="single"/>
        </w:rPr>
        <w:t>encerra no dia 10 do mês corrente</w:t>
      </w:r>
      <w:r>
        <w:t>;</w:t>
      </w:r>
    </w:p>
    <w:p w14:paraId="48B5B16C" w14:textId="49E872DB" w:rsidR="00FD6A49" w:rsidRDefault="00FD6A49" w:rsidP="00FD6A49">
      <w:pPr>
        <w:pStyle w:val="SemEspaamento"/>
        <w:numPr>
          <w:ilvl w:val="0"/>
          <w:numId w:val="5"/>
        </w:numPr>
        <w:jc w:val="both"/>
      </w:pPr>
      <w:r>
        <w:t xml:space="preserve">Se a data corrente (mês atual) estiver entre os dias 01 e 10, as requisições para obter as despesas aprovadas deve </w:t>
      </w:r>
      <w:r w:rsidRPr="00233327">
        <w:rPr>
          <w:u w:val="single"/>
        </w:rPr>
        <w:t>considerar o período de 01 a 31 do mês imediatamente anterior ao correte</w:t>
      </w:r>
      <w:r>
        <w:t>.</w:t>
      </w:r>
    </w:p>
    <w:p w14:paraId="23C4567D" w14:textId="3B91FB24" w:rsidR="00FD6A49" w:rsidRDefault="00FD6A49" w:rsidP="00FD6A49">
      <w:pPr>
        <w:pStyle w:val="SemEspaamento"/>
        <w:numPr>
          <w:ilvl w:val="0"/>
          <w:numId w:val="5"/>
        </w:numPr>
        <w:jc w:val="both"/>
      </w:pPr>
      <w:r>
        <w:t xml:space="preserve">Se a data corrente (mês atual) for superior ao dia 10, as requisições para obter as despesas aprovadas deve </w:t>
      </w:r>
      <w:r w:rsidRPr="00233327">
        <w:rPr>
          <w:u w:val="single"/>
        </w:rPr>
        <w:t>considerar</w:t>
      </w:r>
      <w:r w:rsidR="00233327" w:rsidRPr="00233327">
        <w:rPr>
          <w:u w:val="single"/>
        </w:rPr>
        <w:t xml:space="preserve"> o período </w:t>
      </w:r>
      <w:r w:rsidRPr="00233327">
        <w:rPr>
          <w:u w:val="single"/>
        </w:rPr>
        <w:t>no mês corrente a partir do dia 01 até data corrente (D-1)</w:t>
      </w:r>
      <w:r>
        <w:t>.</w:t>
      </w:r>
    </w:p>
    <w:p w14:paraId="4D5F7128" w14:textId="77777777" w:rsidR="00FD6A49" w:rsidRDefault="00FD6A49" w:rsidP="009A499D">
      <w:pPr>
        <w:pStyle w:val="SemEspaamento"/>
        <w:jc w:val="both"/>
      </w:pPr>
    </w:p>
    <w:p w14:paraId="754848F4" w14:textId="37C3F11E" w:rsidR="00FD6A49" w:rsidRDefault="00FD6A49" w:rsidP="009A499D">
      <w:pPr>
        <w:pStyle w:val="SemEspaamento"/>
        <w:jc w:val="both"/>
      </w:pPr>
      <w:r>
        <w:t>Desta forma o processo operacional do departamento financeiro fica preservado e estável.</w:t>
      </w:r>
    </w:p>
    <w:p w14:paraId="5E426BF0" w14:textId="0304118F" w:rsidR="00FD6A49" w:rsidRDefault="00FD6A49" w:rsidP="00FD6A49">
      <w:pPr>
        <w:pStyle w:val="SemEspaamento"/>
        <w:jc w:val="both"/>
      </w:pPr>
    </w:p>
    <w:p w14:paraId="3533CCF3" w14:textId="77777777" w:rsidR="00FD6A49" w:rsidRDefault="00FD6A49" w:rsidP="00FD6A49">
      <w:pPr>
        <w:pStyle w:val="SemEspaamento"/>
        <w:jc w:val="center"/>
      </w:pPr>
      <w:r>
        <w:t>______________________________________________________________________________________________</w:t>
      </w:r>
    </w:p>
    <w:p w14:paraId="08D58B68" w14:textId="77777777" w:rsidR="00FD6A49" w:rsidRDefault="00FD6A49" w:rsidP="009A499D">
      <w:pPr>
        <w:pStyle w:val="SemEspaamento"/>
        <w:jc w:val="both"/>
      </w:pPr>
    </w:p>
    <w:p w14:paraId="3F1C9235" w14:textId="260C31A5" w:rsidR="00233327" w:rsidRDefault="00233327" w:rsidP="00233327">
      <w:pPr>
        <w:pStyle w:val="SemEspaamento"/>
        <w:jc w:val="both"/>
      </w:pPr>
      <w:r>
        <w:t>Os recursos e rotinas descritos neste manual contribuirão significativamente com os processos de gestão de despesas originadas por uso de Cartão Corporativo presentes em sua empresa. Conferindo praticidade, segurança e desempenho para o time financeiro de sua empresa.</w:t>
      </w:r>
    </w:p>
    <w:p w14:paraId="7E216C78" w14:textId="77777777" w:rsidR="00233327" w:rsidRDefault="00233327" w:rsidP="00233327">
      <w:pPr>
        <w:pStyle w:val="SemEspaamento"/>
        <w:jc w:val="both"/>
      </w:pPr>
    </w:p>
    <w:p w14:paraId="68693126" w14:textId="31D7D8BE" w:rsidR="00233327" w:rsidRDefault="00233327" w:rsidP="00233327">
      <w:pPr>
        <w:pStyle w:val="SemEspaamento"/>
      </w:pPr>
    </w:p>
    <w:p w14:paraId="5505D21D" w14:textId="03A6832D" w:rsidR="00233327" w:rsidRDefault="00233327" w:rsidP="00233327">
      <w:pPr>
        <w:pStyle w:val="SemEspaamento"/>
      </w:pPr>
      <w:r w:rsidRPr="00233327">
        <w:t xml:space="preserve">Qualquer dúvida ou eventualidade, contem sempre conosco, estamos sempre à disposição para auxilia-los. </w:t>
      </w:r>
    </w:p>
    <w:p w14:paraId="6BA3B349" w14:textId="77777777" w:rsidR="00233327" w:rsidRPr="00233327" w:rsidRDefault="00233327" w:rsidP="00233327">
      <w:pPr>
        <w:pStyle w:val="SemEspaamento"/>
      </w:pPr>
    </w:p>
    <w:p w14:paraId="5B5A7B79" w14:textId="767F8F3F" w:rsidR="00233327" w:rsidRPr="00233327" w:rsidRDefault="00233327" w:rsidP="00233327">
      <w:pPr>
        <w:pStyle w:val="SemEspaamento"/>
      </w:pPr>
      <w:r w:rsidRPr="00233327">
        <w:t xml:space="preserve">Para contatar nossa Equipe de Suporte utilize: </w:t>
      </w:r>
    </w:p>
    <w:p w14:paraId="471BEA85" w14:textId="057AF66E" w:rsidR="00233327" w:rsidRPr="00233327" w:rsidRDefault="00233327" w:rsidP="00233327">
      <w:pPr>
        <w:pStyle w:val="SemEspaamento"/>
      </w:pPr>
      <w:r w:rsidRPr="00233327">
        <w:t xml:space="preserve">Abrir novo chamado via Help Desk WhatsApp Empresarial ou ligue (16)3602-8840 </w:t>
      </w:r>
    </w:p>
    <w:p w14:paraId="5935DF44" w14:textId="77777777" w:rsidR="00233327" w:rsidRDefault="00233327" w:rsidP="00087F89">
      <w:pPr>
        <w:jc w:val="right"/>
        <w:rPr>
          <w:b/>
          <w:bCs/>
        </w:rPr>
      </w:pPr>
    </w:p>
    <w:p w14:paraId="75688DDA" w14:textId="1500C297" w:rsidR="00C00CA5" w:rsidRPr="00087F89" w:rsidRDefault="00087F89" w:rsidP="00087F89">
      <w:pPr>
        <w:jc w:val="right"/>
        <w:rPr>
          <w:b/>
          <w:bCs/>
        </w:rPr>
      </w:pPr>
      <w:r w:rsidRPr="00087F89">
        <w:rPr>
          <w:b/>
          <w:bCs/>
        </w:rPr>
        <w:t>...somos GeWeb!!!</w:t>
      </w:r>
    </w:p>
    <w:sectPr w:rsidR="00C00CA5" w:rsidRPr="00087F89" w:rsidSect="00B41719">
      <w:headerReference w:type="default" r:id="rId15"/>
      <w:footerReference w:type="default" r:id="rId16"/>
      <w:pgSz w:w="12240" w:h="15840"/>
      <w:pgMar w:top="1440" w:right="90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099CB" w14:textId="77777777" w:rsidR="00571077" w:rsidRDefault="00571077" w:rsidP="00B41719">
      <w:pPr>
        <w:spacing w:after="0" w:line="240" w:lineRule="auto"/>
      </w:pPr>
      <w:r>
        <w:separator/>
      </w:r>
    </w:p>
  </w:endnote>
  <w:endnote w:type="continuationSeparator" w:id="0">
    <w:p w14:paraId="029D51A0" w14:textId="77777777" w:rsidR="00571077" w:rsidRDefault="00571077" w:rsidP="00B41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5F5C" w14:textId="2A7E1EDC" w:rsidR="00B41719" w:rsidRDefault="00B41719">
    <w:pPr>
      <w:pStyle w:val="Rodap"/>
    </w:pPr>
    <w:r>
      <w:rPr>
        <w:noProof/>
      </w:rPr>
      <w:drawing>
        <wp:inline distT="0" distB="0" distL="0" distR="0" wp14:anchorId="4372B4B0" wp14:editId="6B094BC4">
          <wp:extent cx="6660515" cy="291465"/>
          <wp:effectExtent l="0" t="0" r="6985" b="0"/>
          <wp:docPr id="10002122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1222" name="Imagem 1000212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0515" cy="291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AA6D" w14:textId="77777777" w:rsidR="00571077" w:rsidRDefault="00571077" w:rsidP="00B41719">
      <w:pPr>
        <w:spacing w:after="0" w:line="240" w:lineRule="auto"/>
      </w:pPr>
      <w:r>
        <w:separator/>
      </w:r>
    </w:p>
  </w:footnote>
  <w:footnote w:type="continuationSeparator" w:id="0">
    <w:p w14:paraId="796E0E87" w14:textId="77777777" w:rsidR="00571077" w:rsidRDefault="00571077" w:rsidP="00B41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8DBC" w14:textId="367485A1" w:rsidR="00B41719" w:rsidRPr="00B41719" w:rsidRDefault="00B41719" w:rsidP="00B41719">
    <w:pPr>
      <w:pStyle w:val="Cabealho"/>
      <w:jc w:val="right"/>
      <w:rPr>
        <w:b/>
        <w:bCs/>
        <w:sz w:val="32"/>
        <w:szCs w:val="32"/>
      </w:rPr>
    </w:pPr>
    <w:r w:rsidRPr="007F06B7">
      <w:rPr>
        <w:b/>
        <w:bCs/>
        <w:noProof/>
        <w:color w:val="2F5496" w:themeColor="accent5" w:themeShade="BF"/>
        <w:sz w:val="32"/>
        <w:szCs w:val="32"/>
      </w:rPr>
      <w:drawing>
        <wp:anchor distT="0" distB="0" distL="114300" distR="114300" simplePos="0" relativeHeight="251658240" behindDoc="1" locked="0" layoutInCell="1" allowOverlap="1" wp14:anchorId="6D4C0D0A" wp14:editId="41DAEF02">
          <wp:simplePos x="0" y="0"/>
          <wp:positionH relativeFrom="column">
            <wp:posOffset>-1270</wp:posOffset>
          </wp:positionH>
          <wp:positionV relativeFrom="paragraph">
            <wp:posOffset>-245025</wp:posOffset>
          </wp:positionV>
          <wp:extent cx="6632812" cy="629975"/>
          <wp:effectExtent l="0" t="0" r="0" b="0"/>
          <wp:wrapNone/>
          <wp:docPr id="11369109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255061" name="Imagem 3302550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2812" cy="629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6B7" w:rsidRPr="007F06B7">
      <w:rPr>
        <w:b/>
        <w:bCs/>
        <w:color w:val="2F5496" w:themeColor="accent5" w:themeShade="BF"/>
        <w:sz w:val="32"/>
        <w:szCs w:val="32"/>
      </w:rPr>
      <w:t>Integração Cartão Corporativo (Despesas x Financeiro)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7E700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C3387F"/>
    <w:multiLevelType w:val="hybridMultilevel"/>
    <w:tmpl w:val="E5DCC6A0"/>
    <w:lvl w:ilvl="0" w:tplc="6EB44F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F51442"/>
    <w:multiLevelType w:val="hybridMultilevel"/>
    <w:tmpl w:val="DAD813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80798"/>
    <w:multiLevelType w:val="hybridMultilevel"/>
    <w:tmpl w:val="EC7ABCF0"/>
    <w:lvl w:ilvl="0" w:tplc="6EB44F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41E"/>
    <w:multiLevelType w:val="hybridMultilevel"/>
    <w:tmpl w:val="D5ACBE68"/>
    <w:lvl w:ilvl="0" w:tplc="44DC1A92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8960D1"/>
    <w:multiLevelType w:val="multilevel"/>
    <w:tmpl w:val="088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D6F84"/>
    <w:multiLevelType w:val="hybridMultilevel"/>
    <w:tmpl w:val="BCBAA6D8"/>
    <w:lvl w:ilvl="0" w:tplc="A33E33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25585">
    <w:abstractNumId w:val="5"/>
  </w:num>
  <w:num w:numId="2" w16cid:durableId="87652513">
    <w:abstractNumId w:val="2"/>
  </w:num>
  <w:num w:numId="3" w16cid:durableId="904531582">
    <w:abstractNumId w:val="1"/>
  </w:num>
  <w:num w:numId="4" w16cid:durableId="28578186">
    <w:abstractNumId w:val="3"/>
  </w:num>
  <w:num w:numId="5" w16cid:durableId="642731842">
    <w:abstractNumId w:val="6"/>
  </w:num>
  <w:num w:numId="6" w16cid:durableId="45960597">
    <w:abstractNumId w:val="0"/>
  </w:num>
  <w:num w:numId="7" w16cid:durableId="1199584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19"/>
    <w:rsid w:val="00022009"/>
    <w:rsid w:val="00060B68"/>
    <w:rsid w:val="00087F89"/>
    <w:rsid w:val="000B05F2"/>
    <w:rsid w:val="000D09E2"/>
    <w:rsid w:val="000F60CC"/>
    <w:rsid w:val="001010D4"/>
    <w:rsid w:val="00104786"/>
    <w:rsid w:val="0014771F"/>
    <w:rsid w:val="00157436"/>
    <w:rsid w:val="001D5AF4"/>
    <w:rsid w:val="00233327"/>
    <w:rsid w:val="00260AC9"/>
    <w:rsid w:val="002A233F"/>
    <w:rsid w:val="002B5552"/>
    <w:rsid w:val="00342F26"/>
    <w:rsid w:val="003E1389"/>
    <w:rsid w:val="003F46A1"/>
    <w:rsid w:val="004213EE"/>
    <w:rsid w:val="004A1154"/>
    <w:rsid w:val="004B5A8E"/>
    <w:rsid w:val="004D23DB"/>
    <w:rsid w:val="00571077"/>
    <w:rsid w:val="0059188E"/>
    <w:rsid w:val="00597008"/>
    <w:rsid w:val="005B1759"/>
    <w:rsid w:val="006225FB"/>
    <w:rsid w:val="00624FAD"/>
    <w:rsid w:val="00642734"/>
    <w:rsid w:val="006C4AEB"/>
    <w:rsid w:val="006E1553"/>
    <w:rsid w:val="006E44F7"/>
    <w:rsid w:val="006F3450"/>
    <w:rsid w:val="00751F3A"/>
    <w:rsid w:val="007C5BBB"/>
    <w:rsid w:val="007E45A3"/>
    <w:rsid w:val="007F06B7"/>
    <w:rsid w:val="00817D99"/>
    <w:rsid w:val="008573F0"/>
    <w:rsid w:val="00873A4B"/>
    <w:rsid w:val="008C540C"/>
    <w:rsid w:val="008E2419"/>
    <w:rsid w:val="00923E94"/>
    <w:rsid w:val="009868BE"/>
    <w:rsid w:val="009A499D"/>
    <w:rsid w:val="009A6E72"/>
    <w:rsid w:val="009B2FFA"/>
    <w:rsid w:val="009F1BE7"/>
    <w:rsid w:val="00A11A79"/>
    <w:rsid w:val="00A6367C"/>
    <w:rsid w:val="00AA68BC"/>
    <w:rsid w:val="00AB2F83"/>
    <w:rsid w:val="00B41719"/>
    <w:rsid w:val="00B435FE"/>
    <w:rsid w:val="00B45043"/>
    <w:rsid w:val="00B64D70"/>
    <w:rsid w:val="00B770E1"/>
    <w:rsid w:val="00B8183E"/>
    <w:rsid w:val="00BD28E0"/>
    <w:rsid w:val="00BE655D"/>
    <w:rsid w:val="00C00CA5"/>
    <w:rsid w:val="00C10416"/>
    <w:rsid w:val="00C27881"/>
    <w:rsid w:val="00C42400"/>
    <w:rsid w:val="00C57B75"/>
    <w:rsid w:val="00C707EE"/>
    <w:rsid w:val="00C90A61"/>
    <w:rsid w:val="00D47D68"/>
    <w:rsid w:val="00DB0B9B"/>
    <w:rsid w:val="00DB67B0"/>
    <w:rsid w:val="00DE0F27"/>
    <w:rsid w:val="00E23EBD"/>
    <w:rsid w:val="00EA3C23"/>
    <w:rsid w:val="00F42FEF"/>
    <w:rsid w:val="00F5739C"/>
    <w:rsid w:val="00F84D79"/>
    <w:rsid w:val="00FD4BD8"/>
    <w:rsid w:val="00FD6A49"/>
    <w:rsid w:val="00FF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34EA0"/>
  <w15:chartTrackingRefBased/>
  <w15:docId w15:val="{90C70116-FC53-46FB-A81E-CADF71BB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17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7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71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171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1719"/>
    <w:rPr>
      <w:rFonts w:eastAsiaTheme="majorEastAsia" w:cstheme="majorBidi"/>
      <w:color w:val="2E74B5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719"/>
    <w:rPr>
      <w:rFonts w:eastAsiaTheme="majorEastAsia" w:cstheme="majorBidi"/>
      <w:i/>
      <w:iCs/>
      <w:color w:val="2E74B5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719"/>
    <w:rPr>
      <w:rFonts w:eastAsiaTheme="majorEastAsia" w:cstheme="majorBidi"/>
      <w:color w:val="2E74B5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719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719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719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719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B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719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719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B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719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417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71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7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719"/>
    <w:rPr>
      <w:i/>
      <w:iCs/>
      <w:color w:val="2E74B5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B41719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41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1719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B41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1719"/>
    <w:rPr>
      <w:lang w:val="pt-BR"/>
    </w:rPr>
  </w:style>
  <w:style w:type="paragraph" w:styleId="SemEspaamento">
    <w:name w:val="No Spacing"/>
    <w:uiPriority w:val="1"/>
    <w:qFormat/>
    <w:rsid w:val="009A499D"/>
    <w:pPr>
      <w:spacing w:after="0" w:line="240" w:lineRule="auto"/>
    </w:pPr>
    <w:rPr>
      <w:lang w:val="pt-BR"/>
    </w:rPr>
  </w:style>
  <w:style w:type="table" w:styleId="Tabelacomgrade">
    <w:name w:val="Table Grid"/>
    <w:basedOn w:val="Tabelanormal"/>
    <w:uiPriority w:val="39"/>
    <w:rsid w:val="00986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1150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Santos</dc:creator>
  <cp:keywords/>
  <dc:description/>
  <cp:lastModifiedBy>Fabricio Santos</cp:lastModifiedBy>
  <cp:revision>4</cp:revision>
  <dcterms:created xsi:type="dcterms:W3CDTF">2025-03-28T20:33:00Z</dcterms:created>
  <dcterms:modified xsi:type="dcterms:W3CDTF">2025-04-02T19:13:00Z</dcterms:modified>
</cp:coreProperties>
</file>