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01"/>
        <w:jc w:val="both"/>
        <w:rPr>
          <w:b w:val="0"/>
          <w:sz w:val="20"/>
        </w:rPr>
      </w:pPr>
      <w:r>
        <w:rPr>
          <w:b w:val="0"/>
          <w:sz w:val="20"/>
          <w:highlight w:val="none"/>
        </w:rPr>
      </w:r>
      <w:r>
        <w:rPr>
          <w:b w:val="0"/>
          <w:sz w:val="20"/>
          <w:highlight w:val="none"/>
        </w:rPr>
      </w:r>
    </w:p>
    <w:p>
      <w:pPr>
        <w:pStyle w:val="601"/>
        <w:jc w:val="both"/>
        <w:rPr>
          <w:b w:val="0"/>
          <w:sz w:val="20"/>
          <w:highlight w:val="none"/>
        </w:rPr>
      </w:pPr>
      <w:r>
        <w:rPr>
          <w:rFonts w:ascii="Verdana" w:hAnsi="Verdana" w:cs="Verdana" w:eastAsia="Verdana"/>
          <w:sz w:val="20"/>
        </w:rPr>
        <w:t xml:space="preserve">Conforme divulgado na </w:t>
      </w:r>
      <w:r>
        <w:rPr>
          <w:b/>
          <w:i/>
          <w:sz w:val="20"/>
        </w:rPr>
        <w:t xml:space="preserve">Nota Técnica 2021.003 v1.10</w:t>
      </w:r>
      <w:r>
        <w:rPr>
          <w:sz w:val="20"/>
        </w:rPr>
        <w:t xml:space="preserve">, ocorrerá a validação de GTIN em ambiente de produção à partir de </w:t>
      </w:r>
      <w:r>
        <w:rPr>
          <w:b/>
          <w:sz w:val="20"/>
        </w:rPr>
        <w:t xml:space="preserve">12/09/2022</w:t>
      </w:r>
      <w:r>
        <w:rPr>
          <w:b w:val="0"/>
          <w:sz w:val="20"/>
        </w:rPr>
        <w:t xml:space="preserve">. Inicialmente para os grupos de mercadorias:</w:t>
      </w:r>
      <w:r>
        <w:rPr>
          <w:sz w:val="20"/>
        </w:rPr>
      </w:r>
    </w:p>
    <w:p>
      <w:pPr>
        <w:pStyle w:val="601"/>
        <w:jc w:val="both"/>
        <w:rPr>
          <w:rFonts w:ascii="Verdana" w:hAnsi="Verdana" w:cs="Verdana" w:eastAsia="Verdana"/>
        </w:rPr>
      </w:pPr>
      <w:r>
        <w:rPr>
          <w:b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838200"/>
                <wp:effectExtent l="0" t="0" r="0" b="0"/>
                <wp:docPr id="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4255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667249" cy="83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367.5pt;height:66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b w:val="0"/>
        </w:rPr>
        <w:t xml:space="preserve"> </w:t>
      </w:r>
      <w:r>
        <w:rPr>
          <w:rFonts w:ascii="Verdana" w:hAnsi="Verdana" w:cs="Verdana" w:eastAsia="Verdana"/>
        </w:rPr>
      </w:r>
      <w:r>
        <w:rPr>
          <w:rFonts w:ascii="Verdana" w:hAnsi="Verdana" w:cs="Verdana" w:eastAsia="Verdana"/>
        </w:rPr>
      </w:r>
    </w:p>
    <w:p>
      <w:pPr>
        <w:pStyle w:val="601"/>
        <w:jc w:val="both"/>
        <w:rPr>
          <w:rFonts w:ascii="Verdana" w:hAnsi="Verdana" w:cs="Verdana" w:eastAsia="Verdana"/>
          <w:b/>
          <w:color w:val="FF0000"/>
        </w:rPr>
      </w:pPr>
      <w:r>
        <w:rPr>
          <w:rFonts w:ascii="Verdana" w:hAnsi="Verdana" w:cs="Verdana" w:eastAsia="Verdana"/>
          <w:b/>
          <w:color w:val="FF0000"/>
        </w:rPr>
        <w:t xml:space="preserve">Importante: </w:t>
      </w:r>
      <w:r/>
    </w:p>
    <w:p>
      <w:pPr>
        <w:pStyle w:val="601"/>
        <w:jc w:val="both"/>
        <w:rPr>
          <w:rFonts w:ascii="Verdana" w:hAnsi="Verdana" w:cs="Verdana" w:eastAsia="Verdana"/>
          <w:sz w:val="20"/>
        </w:rPr>
      </w:pPr>
      <w:r>
        <w:rPr>
          <w:rFonts w:ascii="Verdana" w:hAnsi="Verdana" w:cs="Verdana" w:eastAsia="Verdana"/>
          <w:b/>
          <w:color w:val="FF0000"/>
          <w:sz w:val="20"/>
        </w:rPr>
      </w:r>
      <w:r>
        <w:rPr>
          <w:rFonts w:ascii="Verdana" w:hAnsi="Verdana" w:cs="Verdana" w:eastAsia="Verdana"/>
          <w:sz w:val="20"/>
        </w:rPr>
        <w:t xml:space="preserve">Não constando o GTIN do produto na base nacional a emissão da NFe será rejeitada.</w:t>
      </w:r>
      <w:r>
        <w:rPr>
          <w:sz w:val="20"/>
        </w:rPr>
      </w:r>
    </w:p>
    <w:p>
      <w:pPr>
        <w:pStyle w:val="601"/>
        <w:jc w:val="both"/>
        <w:rPr>
          <w:rFonts w:ascii="Verdana" w:hAnsi="Verdana" w:cs="Verdana" w:eastAsia="Verdana"/>
        </w:rPr>
      </w:pPr>
      <w:r>
        <w:rPr>
          <w:rFonts w:ascii="Verdana" w:hAnsi="Verdana" w:cs="Verdana" w:eastAsia="Verdana"/>
        </w:rPr>
      </w:r>
      <w:r>
        <w:rPr>
          <w:rFonts w:ascii="Verdana" w:hAnsi="Verdana" w:cs="Verdana" w:eastAsia="Verdana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highlight w:val="none"/>
          <w:u w:val="single"/>
        </w:rPr>
      </w:pPr>
      <w:r>
        <w:rPr>
          <w:rFonts w:ascii="Verdana" w:hAnsi="Verdana" w:cs="Verdana" w:eastAsia="Verdana"/>
        </w:rPr>
      </w:r>
      <w:r>
        <w:rPr>
          <w:rFonts w:ascii="Verdana" w:hAnsi="Verdana" w:cs="Verdana" w:eastAsia="Verdana"/>
          <w:b w:val="0"/>
          <w:u w:val="single"/>
        </w:rPr>
        <w:t xml:space="preserve">Recurso para auxiliar nossos clientes com a tarefa:</w:t>
      </w:r>
      <w:r>
        <w:rPr>
          <w:rFonts w:ascii="Verdana" w:hAnsi="Verdana" w:cs="Verdana" w:eastAsia="Verdana"/>
        </w:rPr>
      </w:r>
      <w:r>
        <w:rPr>
          <w:rFonts w:ascii="Verdana" w:hAnsi="Verdana" w:cs="Verdana" w:eastAsia="Verdana"/>
        </w:rPr>
      </w:r>
      <w:r>
        <w:rPr>
          <w:rFonts w:ascii="Verdana" w:hAnsi="Verdana" w:cs="Verdana" w:eastAsia="Verdana"/>
          <w:highlight w:val="none"/>
        </w:rPr>
      </w:r>
      <w:r>
        <w:rPr>
          <w:rFonts w:ascii="Verdana" w:hAnsi="Verdana" w:cs="Verdana" w:eastAsia="Verdana"/>
          <w:highlight w:val="none"/>
        </w:rPr>
      </w:r>
      <w:r>
        <w:rPr>
          <w:rFonts w:ascii="Verdana" w:hAnsi="Verdana" w:cs="Verdana" w:eastAsia="Verdana"/>
          <w:b w:val="0"/>
          <w:highlight w:val="none"/>
          <w:u w:val="single"/>
        </w:rPr>
      </w:r>
      <w:r>
        <w:rPr>
          <w:rFonts w:ascii="Verdana" w:hAnsi="Verdana" w:cs="Verdana" w:eastAsia="Verdana"/>
          <w:b w:val="0"/>
          <w:highlight w:val="none"/>
          <w:u w:val="single"/>
        </w:rPr>
      </w:r>
    </w:p>
    <w:p>
      <w:pPr>
        <w:pStyle w:val="601"/>
        <w:jc w:val="both"/>
        <w:rPr>
          <w:rFonts w:ascii="Verdana" w:hAnsi="Verdana" w:cs="Verdana" w:eastAsia="Verdana"/>
          <w:b/>
          <w:sz w:val="20"/>
          <w:highlight w:val="none"/>
        </w:rPr>
      </w:pPr>
      <w:r>
        <w:rPr>
          <w:rFonts w:ascii="Verdana" w:hAnsi="Verdana" w:cs="Verdana" w:eastAsia="Verdana"/>
          <w:sz w:val="20"/>
          <w:highlight w:val="none"/>
        </w:rPr>
        <w:t xml:space="preserve">1- Utilizar a opção: </w:t>
      </w:r>
      <w:r>
        <w:rPr>
          <w:rFonts w:ascii="Verdana" w:hAnsi="Verdana" w:cs="Verdana" w:eastAsia="Verdana"/>
          <w:b/>
          <w:sz w:val="20"/>
          <w:highlight w:val="none"/>
        </w:rPr>
        <w:t xml:space="preserve">Relatórios-&gt;Cadastros-&gt;Produtos</w:t>
      </w:r>
      <w:r>
        <w:rPr>
          <w:rFonts w:ascii="Verdana" w:hAnsi="Verdana" w:cs="Verdana" w:eastAsia="Verdana"/>
          <w:b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  <w:t xml:space="preserve">2- Os campos em destaque são obrigatório para a composição da listagem do cadastro de produtos, sendo que a ativação da pesquisa junto a SEFAZ está relacionada ao campo: </w:t>
      </w:r>
      <w:r/>
    </w:p>
    <w:p>
      <w:pPr>
        <w:pStyle w:val="601"/>
        <w:jc w:val="both"/>
        <w:rPr>
          <w:rFonts w:ascii="Verdana" w:hAnsi="Verdana" w:cs="Verdana" w:eastAsia="Verdana"/>
          <w:b w:val="0"/>
          <w:i w:val="0"/>
          <w:sz w:val="20"/>
          <w:highlight w:val="none"/>
        </w:rPr>
      </w:pPr>
      <w:r>
        <w:rPr>
          <w:rFonts w:ascii="Verdana" w:hAnsi="Verdana" w:cs="Verdana" w:eastAsia="Verdana"/>
          <w:b w:val="0"/>
          <w:i w:val="0"/>
          <w:sz w:val="20"/>
          <w:highlight w:val="none"/>
        </w:rPr>
        <w:t xml:space="preserve">“</w:t>
      </w:r>
      <w:r>
        <w:rPr>
          <w:rFonts w:ascii="Verdana" w:hAnsi="Verdana" w:cs="Verdana" w:eastAsia="Verdana"/>
          <w:b/>
          <w:i w:val="0"/>
          <w:sz w:val="20"/>
          <w:highlight w:val="none"/>
        </w:rPr>
        <w:t xml:space="preserve">Checar EANs na base nacional SEFAZ?</w:t>
      </w:r>
      <w:r>
        <w:rPr>
          <w:rFonts w:ascii="Verdana" w:hAnsi="Verdana" w:cs="Verdana" w:eastAsia="Verdana"/>
          <w:b w:val="0"/>
          <w:i w:val="0"/>
          <w:sz w:val="20"/>
          <w:highlight w:val="none"/>
        </w:rPr>
        <w:t xml:space="preserve">” </w:t>
      </w:r>
      <w:r>
        <w:rPr>
          <w:rFonts w:ascii="Verdana" w:hAnsi="Verdana" w:cs="Verdana" w:eastAsia="Verdana"/>
          <w:b/>
          <w:i w:val="0"/>
          <w:sz w:val="20"/>
          <w:highlight w:val="none"/>
        </w:rPr>
      </w:r>
      <w:r>
        <w:rPr>
          <w:rFonts w:ascii="Verdana" w:hAnsi="Verdana" w:cs="Verdana" w:eastAsia="Verdana"/>
          <w:b/>
          <w:highlight w:val="none"/>
        </w:rPr>
      </w:r>
      <w:r>
        <w:rPr>
          <w:rFonts w:ascii="Verdana" w:hAnsi="Verdana" w:cs="Verdana" w:eastAsia="Verdana"/>
          <w:b/>
          <w:highlight w:val="none"/>
        </w:rPr>
      </w:r>
    </w:p>
    <w:p>
      <w:pPr>
        <w:pStyle w:val="601"/>
        <w:rPr>
          <w:rFonts w:ascii="Verdana" w:hAnsi="Verdana" w:cs="Verdana" w:eastAsia="Verdana"/>
          <w:b/>
          <w:highlight w:val="none"/>
        </w:rPr>
      </w:pPr>
      <w:r>
        <w:rPr>
          <w:rFonts w:ascii="Verdana" w:hAnsi="Verdana" w:cs="Verdana" w:eastAsia="Verdana"/>
          <w:b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0288" cy="5426032"/>
                <wp:effectExtent l="0" t="0" r="0" b="0"/>
                <wp:docPr id="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99469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30287" cy="5426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467.0pt;height:427.2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Verdana" w:hAnsi="Verdana" w:cs="Verdana" w:eastAsia="Verdana"/>
          <w:b/>
          <w:highlight w:val="none"/>
        </w:rPr>
      </w:r>
      <w:r>
        <w:rPr>
          <w:rFonts w:ascii="Verdana" w:hAnsi="Verdana" w:cs="Verdana" w:eastAsia="Verdana"/>
          <w:b/>
          <w:highlight w:val="none"/>
        </w:rPr>
      </w:r>
    </w:p>
    <w:p>
      <w:pPr>
        <w:pStyle w:val="601"/>
        <w:rPr>
          <w:rFonts w:ascii="Verdana" w:hAnsi="Verdana" w:cs="Verdana" w:eastAsia="Verdana"/>
          <w:b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  <w:t xml:space="preserve">Será emitido relatório do cadastro de produtos “ativos”, durante a geração do relatório o GeWeb se conecta com o webservice da SEFAZ Nacional e valida se o GTIN do produto consta no cadastro nacional.</w:t>
      </w:r>
      <w:r>
        <w:rPr>
          <w:rFonts w:ascii="Verdana" w:hAnsi="Verdana" w:cs="Verdana" w:eastAsia="Verdana"/>
          <w:b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  <w:t xml:space="preserve">Sugerimos que ao gerar a listagem, opte pelo padrão de saída = “Excel”, facilitará na segmentação dos dados a serem analisados pelo cliente, possibilita inserir filtro por campos, e apresentar apenas os produtos que retornaram “Não” no campo: “Base_Nacional”.</w:t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  <w:t xml:space="preserve">(O GTIN destes produtos não consta na CCG-Cadastro Centralizado de GTIN – Base Nacional da SEFAZ – mesma base que a SEFAZ utiliza para validar o GTIN do produto informado na emissão da NFe).</w:t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  <w:t xml:space="preserve">Exemplo do relatório gerado com padrão de saída = Excel</w:t>
      </w: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50500" cy="4032854"/>
                <wp:effectExtent l="0" t="0" r="0" b="0"/>
                <wp:docPr id="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4074918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6450499" cy="4032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507.9pt;height:317.5pt;" stroked="false">
                <v:path textboxrect="0,0,0,0"/>
                <v:imagedata r:id="rId12" o:title=""/>
              </v:shape>
            </w:pict>
          </mc:Fallback>
        </mc:AlternateContent>
      </w:r>
      <w:r/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  <w:t xml:space="preserve">Inserindo um filtro pelo título das colunas, será possível filtrar apenas os produtos que retornaram com a resposta = “Não” (não constam na base nacional da SEFAZ).</w:t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  <w:t xml:space="preserve">Segmentando apenas os produtos com retorno = Não no campo “Base Bacional”</w:t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rFonts w:ascii="Verdana" w:hAnsi="Verdana" w:cs="Verdana" w:eastAsia="Verdana"/>
          <w:b w:val="0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97639" cy="2452110"/>
                <wp:effectExtent l="0" t="0" r="0" b="0"/>
                <wp:docPr id="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057495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497638" cy="2452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511.6pt;height:193.1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Verdana" w:hAnsi="Verdana" w:cs="Verdana" w:eastAsia="Verdana"/>
          <w:b w:val="0"/>
          <w:sz w:val="20"/>
          <w:highlight w:val="none"/>
        </w:rPr>
      </w:r>
      <w:r>
        <w:rPr>
          <w:rFonts w:ascii="Verdana" w:hAnsi="Verdana" w:cs="Verdana" w:eastAsia="Verdana"/>
          <w:b w:val="0"/>
          <w:sz w:val="20"/>
          <w:highlight w:val="none"/>
        </w:rPr>
      </w:r>
    </w:p>
    <w:p>
      <w:pPr>
        <w:pStyle w:val="601"/>
        <w:jc w:val="both"/>
        <w:rPr>
          <w:rFonts w:ascii="Verdana" w:hAnsi="Verdana" w:cs="Verdana" w:eastAsia="Verdana"/>
          <w:b w:val="0"/>
          <w:sz w:val="20"/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601"/>
        <w:jc w:val="both"/>
        <w:rPr>
          <w:sz w:val="20"/>
          <w:highlight w:val="none"/>
        </w:rPr>
      </w:pPr>
      <w:r>
        <w:rPr>
          <w:b/>
          <w:sz w:val="20"/>
          <w:highlight w:val="none"/>
        </w:rPr>
        <w:t xml:space="preserve">Observação:</w:t>
      </w:r>
      <w:r>
        <w:rPr>
          <w:sz w:val="20"/>
          <w:highlight w:val="none"/>
        </w:rPr>
      </w:r>
    </w:p>
    <w:p>
      <w:pPr>
        <w:pStyle w:val="601"/>
        <w:jc w:val="both"/>
        <w:rPr>
          <w:sz w:val="20"/>
          <w:highlight w:val="none"/>
        </w:rPr>
      </w:pPr>
      <w:r>
        <w:rPr>
          <w:sz w:val="20"/>
          <w:highlight w:val="none"/>
        </w:rPr>
        <w:t xml:space="preserve">A pesquisa por GTIN é realizada código por código (um por vez) desta maneira a geração do relatório fica impactada em demorar alguns minutos para sua conclusão.</w:t>
      </w:r>
      <w:r>
        <w:rPr>
          <w:rFonts w:ascii="Verdana" w:hAnsi="Verdana" w:cs="Verdana" w:eastAsia="Verdana"/>
          <w:b w:val="0"/>
          <w:sz w:val="18"/>
          <w:highlight w:val="none"/>
        </w:rPr>
      </w:r>
    </w:p>
    <w:sectPr>
      <w:headerReference w:type="default" r:id="rId8"/>
      <w:footerReference w:type="default" r:id="rId9"/>
      <w:footnotePr/>
      <w:endnotePr/>
      <w:type w:val="nextPage"/>
      <w:pgSz w:w="11906" w:h="16838" w:orient="portrait"/>
      <w:pgMar w:top="708" w:right="851" w:bottom="681" w:left="85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6480000" cy="283620"/>
              <wp:effectExtent l="0" t="0" r="0" b="0"/>
              <wp:docPr id="2" name="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10586540" name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80000" cy="283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mso-wrap-distance-left:0.0pt;mso-wrap-distance-top:0.0pt;mso-wrap-distance-right:0.0pt;mso-wrap-distance-bottom:0.0pt;width:510.2pt;height:22.3pt;" stroked="false">
              <v:path textboxrect="0,0,0,0"/>
              <v:imagedata r:id="rId1" o:title="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"/>
      <w:ind w:left="0"/>
      <w:jc w:val="right"/>
      <w:rPr>
        <w:rFonts w:ascii="Verdana" w:hAnsi="Verdana" w:cs="Verdana" w:eastAsia="Verdana"/>
        <w:b/>
        <w:color w:val="auto"/>
        <w:sz w:val="24"/>
        <w:highlight w:val="none"/>
      </w:rPr>
    </w:pPr>
    <w:r>
      <w:rPr>
        <w:rFonts w:ascii="Verdana" w:hAnsi="Verdana" w:cs="Verdana" w:eastAsia="Verdana"/>
        <w:b/>
        <w:color w:val="auto"/>
        <w:sz w:val="24"/>
        <w:highlight w:val="none"/>
      </w:rPr>
      <w:t xml:space="preserve">Padronização de GTIN – Cadastro de Produtos </w:t>
    </w:r>
    <w:r>
      <mc:AlternateContent>
        <mc:Choice Requires="wpg">
          <w:drawing>
            <wp:anchor xmlns:wp="http://schemas.openxmlformats.org/drawingml/2006/wordprocessingDrawing" distT="0" distB="0" distL="115200" distR="115200" simplePos="0" relativeHeight="1843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-225791</wp:posOffset>
              </wp:positionV>
              <wp:extent cx="6843432" cy="649821"/>
              <wp:effectExtent l="0" t="0" r="0" b="0"/>
              <wp:wrapNone/>
              <wp:docPr id="1" name="" hidden="0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05457745" name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6843431" cy="64982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1pt;mso-wrap-distance-top:0.0pt;mso-wrap-distance-right:9.1pt;mso-wrap-distance-bottom:0.0pt;z-index:-18432;o:allowoverlap:true;o:allowincell:true;mso-position-horizontal-relative:text;margin-left:0.0pt;mso-position-horizontal:absolute;mso-position-vertical-relative:text;margin-top:-17.8pt;mso-position-vertical:absolute;width:538.9pt;height:51.2pt;rotation:0;" stroked="false">
              <v:path textboxrect="0,0,0,0"/>
              <v:imagedata r:id="rId1" o:title=""/>
            </v:shape>
          </w:pict>
        </mc:Fallback>
      </mc:AlternateContent>
    </w:r>
    <w:r>
      <w:rPr>
        <w:rFonts w:ascii="Verdana" w:hAnsi="Verdana" w:cs="Verdana" w:eastAsia="Verdana"/>
        <w:b/>
        <w:color w:val="auto"/>
        <w:sz w:val="24"/>
        <w:highlight w:val="none"/>
      </w:rPr>
    </w:r>
    <w:r>
      <w:rPr>
        <w:rFonts w:ascii="Verdana" w:hAnsi="Verdana" w:cs="Verdana" w:eastAsia="Verdana"/>
        <w:b/>
        <w:color w:val="auto"/>
        <w:sz w:val="24"/>
        <w:highlight w:val="none"/>
      </w:rPr>
    </w:r>
  </w:p>
  <w:p>
    <w:pPr>
      <w:pStyle w:val="44"/>
      <w:rPr>
        <w:highlight w:val="none"/>
      </w:rPr>
    </w:pPr>
    <w:r>
      <w:rPr>
        <w:rFonts w:ascii="Verdana" w:hAnsi="Verdana" w:cs="Verdana" w:eastAsia="Verdana"/>
        <w:b/>
        <w:sz w:val="24"/>
        <w:highlight w:val="none"/>
      </w:rPr>
    </w:r>
    <w:r/>
    <w:r>
      <w:rPr>
        <w:rFonts w:ascii="Verdana" w:hAnsi="Verdana" w:cs="Verdana" w:eastAsia="Verdana"/>
        <w:b/>
        <w:sz w:val="24"/>
        <w:highlight w:val="none"/>
      </w:rPr>
    </w:r>
    <w:r>
      <w:rPr>
        <w:rFonts w:ascii="Verdana" w:hAnsi="Verdana" w:cs="Verdana" w:eastAsia="Verdana"/>
        <w:b/>
        <w:sz w:val="24"/>
        <w:highlight w:val="no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pt-BR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59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">
    <w:name w:val="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7">
    <w:name w:val="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0">
    <w:name w:val="Bordered &amp; Lined - Accent 2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4">
    <w:name w:val="Bordered &amp; Lined - Accent 6"/>
    <w:basedOn w:val="59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59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uiPriority w:val="1"/>
    <w:qFormat/>
    <w:pPr>
      <w:spacing w:after="0" w:line="240" w:lineRule="auto"/>
    </w:pPr>
  </w:style>
  <w:style w:type="paragraph" w:styleId="602">
    <w:name w:val="List Paragraph"/>
    <w:basedOn w:val="598"/>
    <w:uiPriority w:val="34"/>
    <w:qFormat/>
    <w:pPr>
      <w:contextualSpacing/>
      <w:ind w:left="720"/>
    </w:pPr>
  </w:style>
  <w:style w:type="character" w:styleId="611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ONLYOFFICE/7.0.1.37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created xsi:type="dcterms:W3CDTF">2017-12-12T08:30:00Z</dcterms:created>
  <dcterms:modified xsi:type="dcterms:W3CDTF">2022-09-06T20:58:25Z</dcterms:modified>
</cp:coreProperties>
</file>