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Sterling &amp; Vale LLP — Client Intake &amp; Conflicts</w:t>
      </w:r>
    </w:p>
    <w:p>
      <w:r>
        <w:rPr>
          <w:i/>
        </w:rPr>
        <w:t>Workspace tag INTAKE. Focus: new business intake, conflicts, and ethics walls.</w:t>
      </w:r>
    </w:p>
    <w:p>
      <w:pPr>
        <w:pStyle w:val="Heading2"/>
      </w:pPr>
      <w:r>
        <w:t>Section 1: Operational detail</w:t>
      </w:r>
    </w:p>
    <w:p>
      <w:r>
        <w:t>Sterling &amp; Vale LLP internal reference — segment 0 regarding new business intake, conflicts, and ethics walls. Partners and associates must align work product with the engagement letter, matter code, and workspace retention labels before circulation outside the firm.</w:t>
      </w:r>
    </w:p>
    <w:p>
      <w:r>
        <w:t>Matter teams should calendar internal checkpoints at days 3, 7, and 11 from file opening for quality review, unless the client protocol specifies otherwise.</w:t>
      </w:r>
    </w:p>
    <w:p>
      <w:r>
        <w:t>Document naming: use SVL-[matter]-[doctype]-[version]; avoid client names in filenames on shared drives.</w:t>
      </w:r>
    </w:p>
    <w:p>
      <w:pPr>
        <w:pStyle w:val="ListBullet"/>
      </w:pPr>
      <w:r>
        <w:t>Checklist SVL-INTAKE-0001: confirm intake form, matter code, and retention label.</w:t>
      </w:r>
    </w:p>
    <w:p>
      <w:pPr>
        <w:pStyle w:val="Heading2"/>
      </w:pPr>
      <w:r>
        <w:t>Section 2: Operational detail</w:t>
      </w:r>
    </w:p>
    <w:p>
      <w:r>
        <w:t>Escalation: contact the practice group leader when exposure estimates exceed the matter budget band or when regulatory correspondence arrives from a new agency not listed in the intake form.</w:t>
      </w:r>
    </w:p>
    <w:p>
      <w:r>
        <w:t>Sterling &amp; Vale LLP internal reference — segment 4 regarding new business intake, conflicts, and ethics walls. Partners and associates must align work product with the engagement letter, matter code, and workspace retention labels before circulation outside the firm.</w:t>
      </w:r>
    </w:p>
    <w:p>
      <w:r>
        <w:t>Matter teams should calendar internal checkpoints at days 15, 35, and 55 from file opening for quality review, unless the client protocol specifies otherwise.</w:t>
      </w:r>
    </w:p>
    <w:p>
      <w:pPr>
        <w:pStyle w:val="ListBullet"/>
      </w:pPr>
      <w:r>
        <w:t>Checklist SVL-INTAKE-0002: confirm intake form, matter code, and retention label.</w:t>
      </w:r>
    </w:p>
    <w:p>
      <w:pPr>
        <w:pStyle w:val="Heading2"/>
      </w:pPr>
      <w:r>
        <w:t>Section 3: Operational detail</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r>
        <w:t>Sterling &amp; Vale LLP internal reference — segment 8 regarding new business intake, conflicts, and ethics walls. Partners and associates must align work product with the engagement letter, matter code, and workspace retention labels before circulation outside the firm.</w:t>
      </w:r>
    </w:p>
    <w:p>
      <w:pPr>
        <w:pStyle w:val="ListBullet"/>
      </w:pPr>
      <w:r>
        <w:t>Checklist SVL-INTAKE-0003: confirm intake form, matter code, and retention label.</w:t>
      </w:r>
    </w:p>
    <w:p>
      <w:pPr>
        <w:pStyle w:val="Heading2"/>
      </w:pPr>
      <w:r>
        <w:t>Section 4: Operational detail</w:t>
      </w:r>
    </w:p>
    <w:p>
      <w:r>
        <w:t>Matter teams should calendar internal checkpoints at days 27, 63, and 99 from file opening for quality review, unless the client protocol specifies otherwise.</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pPr>
        <w:pStyle w:val="ListBullet"/>
      </w:pPr>
      <w:r>
        <w:t>Checklist SVL-INTAKE-0004: confirm intake form, matter code, and retention label.</w:t>
      </w:r>
    </w:p>
    <w:p>
      <w:pPr>
        <w:pStyle w:val="Heading2"/>
      </w:pPr>
      <w:r>
        <w:t>Section 5: Operational detail</w:t>
      </w:r>
    </w:p>
    <w:p>
      <w:r>
        <w:t>Sterling &amp; Vale LLP internal reference — segment 12 regarding new business intake, conflicts, and ethics walls. Partners and associates must align work product with the engagement letter, matter code, and workspace retention labels before circulation outside the firm.</w:t>
      </w:r>
    </w:p>
    <w:p>
      <w:r>
        <w:t>Matter teams should calendar internal checkpoints at days 39, 91, and 143 from file opening for quality review, unless the client protocol specifies otherwise.</w:t>
      </w:r>
    </w:p>
    <w:p>
      <w:r>
        <w:t>Document naming: use SVL-[matter]-[doctype]-[version]; avoid client names in filenames on shared drives.</w:t>
      </w:r>
    </w:p>
    <w:p>
      <w:pPr>
        <w:pStyle w:val="ListBullet"/>
      </w:pPr>
      <w:r>
        <w:t>Checklist SVL-INTAKE-0005: confirm intake form, matter code, and retention label.</w:t>
      </w:r>
    </w:p>
    <w:p>
      <w:pPr>
        <w:pStyle w:val="Heading2"/>
      </w:pPr>
      <w:r>
        <w:t>Section 6: Operational detail</w:t>
      </w:r>
    </w:p>
    <w:p>
      <w:r>
        <w:t>Escalation: contact the practice group leader when exposure estimates exceed the matter budget band or when regulatory correspondence arrives from a new agency not listed in the intake form.</w:t>
      </w:r>
    </w:p>
    <w:p>
      <w:r>
        <w:t>Sterling &amp; Vale LLP internal reference — segment 16 regarding new business intake, conflicts, and ethics walls. Partners and associates must align work product with the engagement letter, matter code, and workspace retention labels before circulation outside the firm.</w:t>
      </w:r>
    </w:p>
    <w:p>
      <w:r>
        <w:t>Matter teams should calendar internal checkpoints at days 51, 119, and 187 from file opening for quality review, unless the client protocol specifies otherwise.</w:t>
      </w:r>
    </w:p>
    <w:p>
      <w:pPr>
        <w:pStyle w:val="ListBullet"/>
      </w:pPr>
      <w:r>
        <w:t>Checklist SVL-INTAKE-0006: confirm intake form, matter code, and retention label.</w:t>
      </w:r>
    </w:p>
    <w:p>
      <w:pPr>
        <w:pStyle w:val="Heading2"/>
      </w:pPr>
      <w:r>
        <w:t>Section 7: Operational detail</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r>
        <w:t>Sterling &amp; Vale LLP internal reference — segment 20 regarding new business intake, conflicts, and ethics walls. Partners and associates must align work product with the engagement letter, matter code, and workspace retention labels before circulation outside the firm.</w:t>
      </w:r>
    </w:p>
    <w:p>
      <w:pPr>
        <w:pStyle w:val="ListBullet"/>
      </w:pPr>
      <w:r>
        <w:t>Checklist SVL-INTAKE-0007: confirm intake form, matter code, and retention label.</w:t>
      </w:r>
    </w:p>
    <w:p>
      <w:pPr>
        <w:pStyle w:val="Heading2"/>
      </w:pPr>
      <w:r>
        <w:t>Section 8: Operational detail</w:t>
      </w:r>
    </w:p>
    <w:p>
      <w:r>
        <w:t>Matter teams should calendar internal checkpoints at days 63, 147, and 231 from file opening for quality review, unless the client protocol specifies otherwise.</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pPr>
        <w:pStyle w:val="ListBullet"/>
      </w:pPr>
      <w:r>
        <w:t>Checklist SVL-INTAKE-0008: confirm intake form, matter code, and retention label.</w:t>
      </w:r>
    </w:p>
    <w:p>
      <w:pPr>
        <w:pStyle w:val="Heading2"/>
      </w:pPr>
      <w:r>
        <w:t>Section 9: Operational detail</w:t>
      </w:r>
    </w:p>
    <w:p>
      <w:r>
        <w:t>Sterling &amp; Vale LLP internal reference — segment 24 regarding new business intake, conflicts, and ethics walls. Partners and associates must align work product with the engagement letter, matter code, and workspace retention labels before circulation outside the firm.</w:t>
      </w:r>
    </w:p>
    <w:p>
      <w:r>
        <w:t>Matter teams should calendar internal checkpoints at days 75, 175, and 275 from file opening for quality review, unless the client protocol specifies otherwise.</w:t>
      </w:r>
    </w:p>
    <w:p>
      <w:r>
        <w:t>Document naming: use SVL-[matter]-[doctype]-[version]; avoid client names in filenames on shared drives.</w:t>
      </w:r>
    </w:p>
    <w:p>
      <w:pPr>
        <w:pStyle w:val="ListBullet"/>
      </w:pPr>
      <w:r>
        <w:t>Checklist SVL-INTAKE-0009: confirm intake form, matter code, and retention label.</w:t>
      </w:r>
    </w:p>
    <w:p>
      <w:pPr>
        <w:pStyle w:val="Heading2"/>
      </w:pPr>
      <w:r>
        <w:t>Section 10: Operational detail</w:t>
      </w:r>
    </w:p>
    <w:p>
      <w:r>
        <w:t>Escalation: contact the practice group leader when exposure estimates exceed the matter budget band or when regulatory correspondence arrives from a new agency not listed in the intake form.</w:t>
      </w:r>
    </w:p>
    <w:p>
      <w:r>
        <w:t>Sterling &amp; Vale LLP internal reference — segment 28 regarding new business intake, conflicts, and ethics walls. Partners and associates must align work product with the engagement letter, matter code, and workspace retention labels before circulation outside the firm.</w:t>
      </w:r>
    </w:p>
    <w:p>
      <w:r>
        <w:t>Matter teams should calendar internal checkpoints at days 87, 203, and 319 from file opening for quality review, unless the client protocol specifies otherwise.</w:t>
      </w:r>
    </w:p>
    <w:p>
      <w:pPr>
        <w:pStyle w:val="ListBullet"/>
      </w:pPr>
      <w:r>
        <w:t>Checklist SVL-INTAKE-0010: confirm intake form, matter code, and retention label.</w:t>
      </w:r>
    </w:p>
    <w:p>
      <w:pPr>
        <w:pStyle w:val="Heading2"/>
      </w:pPr>
      <w:r>
        <w:t>Section 11: Operational detail</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r>
        <w:t>Sterling &amp; Vale LLP internal reference — segment 32 regarding new business intake, conflicts, and ethics walls. Partners and associates must align work product with the engagement letter, matter code, and workspace retention labels before circulation outside the firm.</w:t>
      </w:r>
    </w:p>
    <w:p>
      <w:pPr>
        <w:pStyle w:val="ListBullet"/>
      </w:pPr>
      <w:r>
        <w:t>Checklist SVL-INTAKE-0011: confirm intake form, matter code, and retention label.</w:t>
      </w:r>
    </w:p>
    <w:p>
      <w:pPr>
        <w:pStyle w:val="Heading2"/>
      </w:pPr>
      <w:r>
        <w:t>Section 12: Operational detail</w:t>
      </w:r>
    </w:p>
    <w:p>
      <w:r>
        <w:t>Matter teams should calendar internal checkpoints at days 99, 231, and 363 from file opening for quality review, unless the client protocol specifies otherwise.</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pPr>
        <w:pStyle w:val="ListBullet"/>
      </w:pPr>
      <w:r>
        <w:t>Checklist SVL-INTAKE-0012: confirm intake form, matter code, and retention label.</w:t>
      </w:r>
    </w:p>
    <w:p>
      <w:pPr>
        <w:pStyle w:val="Heading2"/>
      </w:pPr>
      <w:r>
        <w:t>Section 13: Operational detail</w:t>
      </w:r>
    </w:p>
    <w:p>
      <w:r>
        <w:t>Sterling &amp; Vale LLP internal reference — segment 36 regarding new business intake, conflicts, and ethics walls. Partners and associates must align work product with the engagement letter, matter code, and workspace retention labels before circulation outside the firm.</w:t>
      </w:r>
    </w:p>
    <w:p>
      <w:r>
        <w:t>Matter teams should calendar internal checkpoints at days 111, 259, and 407 from file opening for quality review, unless the client protocol specifies otherwise.</w:t>
      </w:r>
    </w:p>
    <w:p>
      <w:r>
        <w:t>Document naming: use SVL-[matter]-[doctype]-[version]; avoid client names in filenames on shared drives.</w:t>
      </w:r>
    </w:p>
    <w:p>
      <w:pPr>
        <w:pStyle w:val="ListBullet"/>
      </w:pPr>
      <w:r>
        <w:t>Checklist SVL-INTAKE-0013: confirm intake form, matter code, and retention label.</w:t>
      </w:r>
    </w:p>
    <w:p>
      <w:pPr>
        <w:pStyle w:val="Heading2"/>
      </w:pPr>
      <w:r>
        <w:t>Section 14: Operational detail</w:t>
      </w:r>
    </w:p>
    <w:p>
      <w:r>
        <w:t>Escalation: contact the practice group leader when exposure estimates exceed the matter budget band or when regulatory correspondence arrives from a new agency not listed in the intake form.</w:t>
      </w:r>
    </w:p>
    <w:p>
      <w:r>
        <w:t>Sterling &amp; Vale LLP internal reference — segment 40 regarding new business intake, conflicts, and ethics walls. Partners and associates must align work product with the engagement letter, matter code, and workspace retention labels before circulation outside the firm.</w:t>
      </w:r>
    </w:p>
    <w:p>
      <w:r>
        <w:t>Matter teams should calendar internal checkpoints at days 123, 287, and 451 from file opening for quality review, unless the client protocol specifies otherwise.</w:t>
      </w:r>
    </w:p>
    <w:p>
      <w:pPr>
        <w:pStyle w:val="ListBullet"/>
      </w:pPr>
      <w:r>
        <w:t>Checklist SVL-INTAKE-0014: confirm intake form, matter code, and retention label.</w:t>
      </w:r>
    </w:p>
    <w:p>
      <w:pPr>
        <w:pStyle w:val="Heading2"/>
      </w:pPr>
      <w:r>
        <w:t>Section 15: Operational detail</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r>
        <w:t>Sterling &amp; Vale LLP internal reference — segment 44 regarding new business intake, conflicts, and ethics walls. Partners and associates must align work product with the engagement letter, matter code, and workspace retention labels before circulation outside the firm.</w:t>
      </w:r>
    </w:p>
    <w:p>
      <w:pPr>
        <w:pStyle w:val="ListBullet"/>
      </w:pPr>
      <w:r>
        <w:t>Checklist SVL-INTAKE-0015: confirm intake form, matter code, and retention label.</w:t>
      </w:r>
    </w:p>
    <w:p>
      <w:pPr>
        <w:pStyle w:val="Heading2"/>
      </w:pPr>
      <w:r>
        <w:t>Section 16: Operational detail</w:t>
      </w:r>
    </w:p>
    <w:p>
      <w:r>
        <w:t>Matter teams should calendar internal checkpoints at days 135, 315, and 495 from file opening for quality review, unless the client protocol specifies otherwise.</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pPr>
        <w:pStyle w:val="ListBullet"/>
      </w:pPr>
      <w:r>
        <w:t>Checklist SVL-INTAKE-0016: confirm intake form, matter code, and retention label.</w:t>
      </w:r>
    </w:p>
    <w:p>
      <w:pPr>
        <w:pStyle w:val="Heading2"/>
      </w:pPr>
      <w:r>
        <w:t>Section 17: Operational detail</w:t>
      </w:r>
    </w:p>
    <w:p>
      <w:r>
        <w:t>Sterling &amp; Vale LLP internal reference — segment 48 regarding new business intake, conflicts, and ethics walls. Partners and associates must align work product with the engagement letter, matter code, and workspace retention labels before circulation outside the firm.</w:t>
      </w:r>
    </w:p>
    <w:p>
      <w:r>
        <w:t>Matter teams should calendar internal checkpoints at days 147, 343, and 539 from file opening for quality review, unless the client protocol specifies otherwise.</w:t>
      </w:r>
    </w:p>
    <w:p>
      <w:r>
        <w:t>Document naming: use SVL-[matter]-[doctype]-[version]; avoid client names in filenames on shared drives.</w:t>
      </w:r>
    </w:p>
    <w:p>
      <w:pPr>
        <w:pStyle w:val="ListBullet"/>
      </w:pPr>
      <w:r>
        <w:t>Checklist SVL-INTAKE-0017: confirm intake form, matter code, and retention label.</w:t>
      </w:r>
    </w:p>
    <w:p>
      <w:pPr>
        <w:pStyle w:val="Heading2"/>
      </w:pPr>
      <w:r>
        <w:t>Section 18: Operational detail</w:t>
      </w:r>
    </w:p>
    <w:p>
      <w:r>
        <w:t>Escalation: contact the practice group leader when exposure estimates exceed the matter budget band or when regulatory correspondence arrives from a new agency not listed in the intake form.</w:t>
      </w:r>
    </w:p>
    <w:p>
      <w:r>
        <w:t>Sterling &amp; Vale LLP internal reference — segment 52 regarding new business intake, conflicts, and ethics walls. Partners and associates must align work product with the engagement letter, matter code, and workspace retention labels before circulation outside the firm.</w:t>
      </w:r>
    </w:p>
    <w:p>
      <w:r>
        <w:t>Matter teams should calendar internal checkpoints at days 159, 371, and 583 from file opening for quality review, unless the client protocol specifies otherwise.</w:t>
      </w:r>
    </w:p>
    <w:p>
      <w:pPr>
        <w:pStyle w:val="ListBullet"/>
      </w:pPr>
      <w:r>
        <w:t>Checklist SVL-INTAKE-0018: confirm intake form, matter code, and retention label.</w:t>
      </w:r>
    </w:p>
    <w:p>
      <w:pPr>
        <w:pStyle w:val="Heading2"/>
      </w:pPr>
      <w:r>
        <w:t>Section 19: Operational detail</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r>
        <w:t>Sterling &amp; Vale LLP internal reference — segment 56 regarding new business intake, conflicts, and ethics walls. Partners and associates must align work product with the engagement letter, matter code, and workspace retention labels before circulation outside the firm.</w:t>
      </w:r>
    </w:p>
    <w:p>
      <w:pPr>
        <w:pStyle w:val="ListBullet"/>
      </w:pPr>
      <w:r>
        <w:t>Checklist SVL-INTAKE-0019: confirm intake form, matter code, and retention label.</w:t>
      </w:r>
    </w:p>
    <w:p>
      <w:pPr>
        <w:pStyle w:val="Heading2"/>
      </w:pPr>
      <w:r>
        <w:t>Section 20: Operational detail</w:t>
      </w:r>
    </w:p>
    <w:p>
      <w:r>
        <w:t>Matter teams should calendar internal checkpoints at days 171, 399, and 627 from file opening for quality review, unless the client protocol specifies otherwise.</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pPr>
        <w:pStyle w:val="ListBullet"/>
      </w:pPr>
      <w:r>
        <w:t>Checklist SVL-INTAKE-0020: confirm intake form, matter code, and retention label.</w:t>
      </w:r>
    </w:p>
    <w:p>
      <w:pPr>
        <w:pStyle w:val="Heading2"/>
      </w:pPr>
      <w:r>
        <w:t>Section 21: Operational detail</w:t>
      </w:r>
    </w:p>
    <w:p>
      <w:r>
        <w:t>Sterling &amp; Vale LLP internal reference — segment 60 regarding new business intake, conflicts, and ethics walls. Partners and associates must align work product with the engagement letter, matter code, and workspace retention labels before circulation outside the firm.</w:t>
      </w:r>
    </w:p>
    <w:p>
      <w:r>
        <w:t>Matter teams should calendar internal checkpoints at days 183, 427, and 671 from file opening for quality review, unless the client protocol specifies otherwise.</w:t>
      </w:r>
    </w:p>
    <w:p>
      <w:r>
        <w:t>Document naming: use SVL-[matter]-[doctype]-[version]; avoid client names in filenames on shared drives.</w:t>
      </w:r>
    </w:p>
    <w:p>
      <w:pPr>
        <w:pStyle w:val="ListBullet"/>
      </w:pPr>
      <w:r>
        <w:t>Checklist SVL-INTAKE-0021: confirm intake form, matter code, and retention label.</w:t>
      </w:r>
    </w:p>
    <w:p>
      <w:pPr>
        <w:pStyle w:val="Heading2"/>
      </w:pPr>
      <w:r>
        <w:t>Section 22: Operational detail</w:t>
      </w:r>
    </w:p>
    <w:p>
      <w:r>
        <w:t>Escalation: contact the practice group leader when exposure estimates exceed the matter budget band or when regulatory correspondence arrives from a new agency not listed in the intake form.</w:t>
      </w:r>
    </w:p>
    <w:p>
      <w:r>
        <w:t>Sterling &amp; Vale LLP internal reference — segment 64 regarding new business intake, conflicts, and ethics walls. Partners and associates must align work product with the engagement letter, matter code, and workspace retention labels before circulation outside the firm.</w:t>
      </w:r>
    </w:p>
    <w:p>
      <w:r>
        <w:t>Matter teams should calendar internal checkpoints at days 195, 455, and 715 from file opening for quality review, unless the client protocol specifies otherwise.</w:t>
      </w:r>
    </w:p>
    <w:p>
      <w:pPr>
        <w:pStyle w:val="ListBullet"/>
      </w:pPr>
      <w:r>
        <w:t>Checklist SVL-INTAKE-0022: confirm intake form, matter code, and retention label.</w:t>
      </w:r>
    </w:p>
    <w:p>
      <w:pPr>
        <w:pStyle w:val="Heading2"/>
      </w:pPr>
      <w:r>
        <w:t>Section 23: Operational detail</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r>
        <w:t>Sterling &amp; Vale LLP internal reference — segment 68 regarding new business intake, conflicts, and ethics walls. Partners and associates must align work product with the engagement letter, matter code, and workspace retention labels before circulation outside the firm.</w:t>
      </w:r>
    </w:p>
    <w:p>
      <w:pPr>
        <w:pStyle w:val="ListBullet"/>
      </w:pPr>
      <w:r>
        <w:t>Checklist SVL-INTAKE-0023: confirm intake form, matter code, and retention label.</w:t>
      </w:r>
    </w:p>
    <w:p>
      <w:pPr>
        <w:pStyle w:val="Heading2"/>
      </w:pPr>
      <w:r>
        <w:t>Section 24: Operational detail</w:t>
      </w:r>
    </w:p>
    <w:p>
      <w:r>
        <w:t>Matter teams should calendar internal checkpoints at days 207, 483, and 759 from file opening for quality review, unless the client protocol specifies otherwise.</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pPr>
        <w:pStyle w:val="ListBullet"/>
      </w:pPr>
      <w:r>
        <w:t>Checklist SVL-INTAKE-0024: confirm intake form, matter code, and retention label.</w:t>
      </w:r>
    </w:p>
    <w:p>
      <w:pPr>
        <w:pStyle w:val="Heading2"/>
      </w:pPr>
      <w:r>
        <w:t>Section 25: Operational detail</w:t>
      </w:r>
    </w:p>
    <w:p>
      <w:r>
        <w:t>Sterling &amp; Vale LLP internal reference — segment 72 regarding new business intake, conflicts, and ethics walls. Partners and associates must align work product with the engagement letter, matter code, and workspace retention labels before circulation outside the firm.</w:t>
      </w:r>
    </w:p>
    <w:p>
      <w:r>
        <w:t>Matter teams should calendar internal checkpoints at days 219, 511, and 803 from file opening for quality review, unless the client protocol specifies otherwise.</w:t>
      </w:r>
    </w:p>
    <w:p>
      <w:r>
        <w:t>Document naming: use SVL-[matter]-[doctype]-[version]; avoid client names in filenames on shared drives.</w:t>
      </w:r>
    </w:p>
    <w:p>
      <w:pPr>
        <w:pStyle w:val="ListBullet"/>
      </w:pPr>
      <w:r>
        <w:t>Checklist SVL-INTAKE-0025: confirm intake form, matter code, and retention label.</w:t>
      </w:r>
    </w:p>
    <w:p>
      <w:pPr>
        <w:pStyle w:val="Heading2"/>
      </w:pPr>
      <w:r>
        <w:t>Section 26: Operational detail</w:t>
      </w:r>
    </w:p>
    <w:p>
      <w:r>
        <w:t>Escalation: contact the practice group leader when exposure estimates exceed the matter budget band or when regulatory correspondence arrives from a new agency not listed in the intake form.</w:t>
      </w:r>
    </w:p>
    <w:p>
      <w:r>
        <w:t>Sterling &amp; Vale LLP internal reference — segment 76 regarding new business intake, conflicts, and ethics walls. Partners and associates must align work product with the engagement letter, matter code, and workspace retention labels before circulation outside the firm.</w:t>
      </w:r>
    </w:p>
    <w:p>
      <w:r>
        <w:t>Matter teams should calendar internal checkpoints at days 231, 539, and 847 from file opening for quality review, unless the client protocol specifies otherwise.</w:t>
      </w:r>
    </w:p>
    <w:p>
      <w:pPr>
        <w:pStyle w:val="ListBullet"/>
      </w:pPr>
      <w:r>
        <w:t>Checklist SVL-INTAKE-0026: confirm intake form, matter code, and retention label.</w:t>
      </w:r>
    </w:p>
    <w:p>
      <w:pPr>
        <w:pStyle w:val="Heading2"/>
      </w:pPr>
      <w:r>
        <w:t>Section 27: Operational detail</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r>
        <w:t>Sterling &amp; Vale LLP internal reference — segment 80 regarding new business intake, conflicts, and ethics walls. Partners and associates must align work product with the engagement letter, matter code, and workspace retention labels before circulation outside the firm.</w:t>
      </w:r>
    </w:p>
    <w:p>
      <w:pPr>
        <w:pStyle w:val="ListBullet"/>
      </w:pPr>
      <w:r>
        <w:t>Checklist SVL-INTAKE-0027: confirm intake form, matter code, and retention label.</w:t>
      </w:r>
    </w:p>
    <w:p>
      <w:pPr>
        <w:pStyle w:val="Heading2"/>
      </w:pPr>
      <w:r>
        <w:t>Section 28: Operational detail</w:t>
      </w:r>
    </w:p>
    <w:p>
      <w:r>
        <w:t>Matter teams should calendar internal checkpoints at days 243, 567, and 891 from file opening for quality review, unless the client protocol specifies otherwise.</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pPr>
        <w:pStyle w:val="ListBullet"/>
      </w:pPr>
      <w:r>
        <w:t>Checklist SVL-INTAKE-0028: confirm intake form, matter code, and retention label.</w:t>
      </w:r>
    </w:p>
    <w:p>
      <w:pPr>
        <w:pStyle w:val="Heading2"/>
      </w:pPr>
      <w:r>
        <w:t>Section 29: Operational detail</w:t>
      </w:r>
    </w:p>
    <w:p>
      <w:r>
        <w:t>Sterling &amp; Vale LLP internal reference — segment 84 regarding new business intake, conflicts, and ethics walls. Partners and associates must align work product with the engagement letter, matter code, and workspace retention labels before circulation outside the firm.</w:t>
      </w:r>
    </w:p>
    <w:p>
      <w:r>
        <w:t>Matter teams should calendar internal checkpoints at days 255, 595, and 935 from file opening for quality review, unless the client protocol specifies otherwise.</w:t>
      </w:r>
    </w:p>
    <w:p>
      <w:r>
        <w:t>Document naming: use SVL-[matter]-[doctype]-[version]; avoid client names in filenames on shared drives.</w:t>
      </w:r>
    </w:p>
    <w:p>
      <w:pPr>
        <w:pStyle w:val="ListBullet"/>
      </w:pPr>
      <w:r>
        <w:t>Checklist SVL-INTAKE-0029: confirm intake form, matter code, and retention label.</w:t>
      </w:r>
    </w:p>
    <w:p>
      <w:pPr>
        <w:pStyle w:val="Heading2"/>
      </w:pPr>
      <w:r>
        <w:t>Section 30: Operational detail</w:t>
      </w:r>
    </w:p>
    <w:p>
      <w:r>
        <w:t>Escalation: contact the practice group leader when exposure estimates exceed the matter budget band or when regulatory correspondence arrives from a new agency not listed in the intake form.</w:t>
      </w:r>
    </w:p>
    <w:p>
      <w:r>
        <w:t>Sterling &amp; Vale LLP internal reference — segment 88 regarding new business intake, conflicts, and ethics walls. Partners and associates must align work product with the engagement letter, matter code, and workspace retention labels before circulation outside the firm.</w:t>
      </w:r>
    </w:p>
    <w:p>
      <w:r>
        <w:t>Matter teams should calendar internal checkpoints at days 267, 623, and 979 from file opening for quality review, unless the client protocol specifies otherwise.</w:t>
      </w:r>
    </w:p>
    <w:p>
      <w:pPr>
        <w:pStyle w:val="ListBullet"/>
      </w:pPr>
      <w:r>
        <w:t>Checklist SVL-INTAKE-0030: confirm intake form, matter code, and retention label.</w:t>
      </w:r>
    </w:p>
    <w:p>
      <w:pPr>
        <w:pStyle w:val="Heading2"/>
      </w:pPr>
      <w:r>
        <w:t>Section 31: Operational detail</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r>
        <w:t>Sterling &amp; Vale LLP internal reference — segment 92 regarding new business intake, conflicts, and ethics walls. Partners and associates must align work product with the engagement letter, matter code, and workspace retention labels before circulation outside the firm.</w:t>
      </w:r>
    </w:p>
    <w:p>
      <w:pPr>
        <w:pStyle w:val="ListBullet"/>
      </w:pPr>
      <w:r>
        <w:t>Checklist SVL-INTAKE-0031: confirm intake form, matter code, and retention label.</w:t>
      </w:r>
    </w:p>
    <w:p>
      <w:pPr>
        <w:pStyle w:val="Heading2"/>
      </w:pPr>
      <w:r>
        <w:t>Section 32: Operational detail</w:t>
      </w:r>
    </w:p>
    <w:p>
      <w:r>
        <w:t>Matter teams should calendar internal checkpoints at days 279, 651, and 1023 from file opening for quality review, unless the client protocol specifies otherwise.</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pPr>
        <w:pStyle w:val="ListBullet"/>
      </w:pPr>
      <w:r>
        <w:t>Checklist SVL-INTAKE-0032: confirm intake form, matter code, and retention label.</w:t>
      </w:r>
    </w:p>
    <w:p>
      <w:pPr>
        <w:pStyle w:val="Heading2"/>
      </w:pPr>
      <w:r>
        <w:t>Section 33: Operational detail</w:t>
      </w:r>
    </w:p>
    <w:p>
      <w:r>
        <w:t>Sterling &amp; Vale LLP internal reference — segment 96 regarding new business intake, conflicts, and ethics walls. Partners and associates must align work product with the engagement letter, matter code, and workspace retention labels before circulation outside the firm.</w:t>
      </w:r>
    </w:p>
    <w:p>
      <w:r>
        <w:t>Matter teams should calendar internal checkpoints at days 291, 679, and 1067 from file opening for quality review, unless the client protocol specifies otherwise.</w:t>
      </w:r>
    </w:p>
    <w:p>
      <w:r>
        <w:t>Document naming: use SVL-[matter]-[doctype]-[version]; avoid client names in filenames on shared drives.</w:t>
      </w:r>
    </w:p>
    <w:p>
      <w:pPr>
        <w:pStyle w:val="ListBullet"/>
      </w:pPr>
      <w:r>
        <w:t>Checklist SVL-INTAKE-0033: confirm intake form, matter code, and retention label.</w:t>
      </w:r>
    </w:p>
    <w:p>
      <w:pPr>
        <w:pStyle w:val="Heading2"/>
      </w:pPr>
      <w:r>
        <w:t>Section 34: Operational detail</w:t>
      </w:r>
    </w:p>
    <w:p>
      <w:r>
        <w:t>Escalation: contact the practice group leader when exposure estimates exceed the matter budget band or when regulatory correspondence arrives from a new agency not listed in the intake form.</w:t>
      </w:r>
    </w:p>
    <w:p>
      <w:r>
        <w:t>Sterling &amp; Vale LLP internal reference — segment 100 regarding new business intake, conflicts, and ethics walls. Partners and associates must align work product with the engagement letter, matter code, and workspace retention labels before circulation outside the firm.</w:t>
      </w:r>
    </w:p>
    <w:p>
      <w:r>
        <w:t>Matter teams should calendar internal checkpoints at days 303, 707, and 1111 from file opening for quality review, unless the client protocol specifies otherwise.</w:t>
      </w:r>
    </w:p>
    <w:p>
      <w:pPr>
        <w:pStyle w:val="ListBullet"/>
      </w:pPr>
      <w:r>
        <w:t>Checklist SVL-INTAKE-0034: confirm intake form, matter code, and retention label.</w:t>
      </w:r>
    </w:p>
    <w:p>
      <w:pPr>
        <w:pStyle w:val="Heading2"/>
      </w:pPr>
      <w:r>
        <w:t>Section 35: Operational detail</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r>
        <w:t>Sterling &amp; Vale LLP internal reference — segment 104 regarding new business intake, conflicts, and ethics walls. Partners and associates must align work product with the engagement letter, matter code, and workspace retention labels before circulation outside the firm.</w:t>
      </w:r>
    </w:p>
    <w:p>
      <w:pPr>
        <w:pStyle w:val="ListBullet"/>
      </w:pPr>
      <w:r>
        <w:t>Checklist SVL-INTAKE-0035: confirm intake form, matter code, and retention label.</w:t>
      </w:r>
    </w:p>
    <w:p>
      <w:pPr>
        <w:pStyle w:val="Heading2"/>
      </w:pPr>
      <w:r>
        <w:t>Section 36: Operational detail</w:t>
      </w:r>
    </w:p>
    <w:p>
      <w:r>
        <w:t>Matter teams should calendar internal checkpoints at days 315, 735, and 1155 from file opening for quality review, unless the client protocol specifies otherwise.</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pPr>
        <w:pStyle w:val="ListBullet"/>
      </w:pPr>
      <w:r>
        <w:t>Checklist SVL-INTAKE-0036: confirm intake form, matter code, and retention label.</w:t>
      </w:r>
    </w:p>
    <w:p>
      <w:pPr>
        <w:pStyle w:val="Heading2"/>
      </w:pPr>
      <w:r>
        <w:t>Section 37: Operational detail</w:t>
      </w:r>
    </w:p>
    <w:p>
      <w:r>
        <w:t>Sterling &amp; Vale LLP internal reference — segment 108 regarding new business intake, conflicts, and ethics walls. Partners and associates must align work product with the engagement letter, matter code, and workspace retention labels before circulation outside the firm.</w:t>
      </w:r>
    </w:p>
    <w:p>
      <w:r>
        <w:t>Matter teams should calendar internal checkpoints at days 327, 763, and 1199 from file opening for quality review, unless the client protocol specifies otherwise.</w:t>
      </w:r>
    </w:p>
    <w:p>
      <w:r>
        <w:t>Document naming: use SVL-[matter]-[doctype]-[version]; avoid client names in filenames on shared drives.</w:t>
      </w:r>
    </w:p>
    <w:p>
      <w:pPr>
        <w:pStyle w:val="ListBullet"/>
      </w:pPr>
      <w:r>
        <w:t>Checklist SVL-INTAKE-0037: confirm intake form, matter code, and retention label.</w:t>
      </w:r>
    </w:p>
    <w:p>
      <w:pPr>
        <w:pStyle w:val="Heading2"/>
      </w:pPr>
      <w:r>
        <w:t>Section 38: Operational detail</w:t>
      </w:r>
    </w:p>
    <w:p>
      <w:r>
        <w:t>Escalation: contact the practice group leader when exposure estimates exceed the matter budget band or when regulatory correspondence arrives from a new agency not listed in the intake form.</w:t>
      </w:r>
    </w:p>
    <w:p>
      <w:r>
        <w:t>Sterling &amp; Vale LLP internal reference — segment 112 regarding new business intake, conflicts, and ethics walls. Partners and associates must align work product with the engagement letter, matter code, and workspace retention labels before circulation outside the firm.</w:t>
      </w:r>
    </w:p>
    <w:p>
      <w:r>
        <w:t>Matter teams should calendar internal checkpoints at days 339, 791, and 1243 from file opening for quality review, unless the client protocol specifies otherwise.</w:t>
      </w:r>
    </w:p>
    <w:p>
      <w:pPr>
        <w:pStyle w:val="ListBullet"/>
      </w:pPr>
      <w:r>
        <w:t>Checklist SVL-INTAKE-0038: confirm intake form, matter code, and retention label.</w:t>
      </w:r>
    </w:p>
    <w:p>
      <w:pPr>
        <w:pStyle w:val="Heading2"/>
      </w:pPr>
      <w:r>
        <w:t>Section 39: Operational detail</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r>
        <w:t>Sterling &amp; Vale LLP internal reference — segment 116 regarding new business intake, conflicts, and ethics walls. Partners and associates must align work product with the engagement letter, matter code, and workspace retention labels before circulation outside the firm.</w:t>
      </w:r>
    </w:p>
    <w:p>
      <w:pPr>
        <w:pStyle w:val="ListBullet"/>
      </w:pPr>
      <w:r>
        <w:t>Checklist SVL-INTAKE-0039: confirm intake form, matter code, and retention label.</w:t>
      </w:r>
    </w:p>
    <w:p>
      <w:pPr>
        <w:pStyle w:val="Heading2"/>
      </w:pPr>
      <w:r>
        <w:t>Section 40: Operational detail</w:t>
      </w:r>
    </w:p>
    <w:p>
      <w:r>
        <w:t>Matter teams should calendar internal checkpoints at days 351, 819, and 1287 from file opening for quality review, unless the client protocol specifies otherwise.</w:t>
      </w:r>
    </w:p>
    <w:p>
      <w:r>
        <w:t>Document naming: use SVL-[matter]-[doctype]-[version]; avoid client names in filenames on shared drives.</w:t>
      </w:r>
    </w:p>
    <w:p>
      <w:r>
        <w:t>Escalation: contact the practice group leader when exposure estimates exceed the matter budget band or when regulatory correspondence arrives from a new agency not listed in the intake form.</w:t>
      </w:r>
    </w:p>
    <w:p>
      <w:pPr>
        <w:pStyle w:val="ListBullet"/>
      </w:pPr>
      <w:r>
        <w:t>Checklist SVL-INTAKE-0040: confirm intake form, matter code, and retention label.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