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Sterling &amp; Vale LLP — General</w:t>
      </w:r>
    </w:p>
    <w:p>
      <w:r>
        <w:rPr>
          <w:i/>
        </w:rPr>
        <w:t>Workspace tag GENERAL. Focus: firm-wide operations, retainers, and administrative coordination.</w:t>
      </w:r>
    </w:p>
    <w:p>
      <w:pPr>
        <w:pStyle w:val="Heading2"/>
      </w:pPr>
      <w:r>
        <w:t>Section 1: Operational detail</w:t>
      </w:r>
    </w:p>
    <w:p>
      <w:r>
        <w:t>Sterling &amp; Vale LLP internal reference — segment 0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3, 7, and 11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SVL-GENERAL-0001: confirm intake form, matter code, and retention label.</w:t>
      </w:r>
    </w:p>
    <w:p>
      <w:pPr>
        <w:pStyle w:val="Heading2"/>
      </w:pPr>
      <w:r>
        <w:t>Section 2: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4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15, 35, and 55 from file opening for quality review, unless the client protocol specifies otherwise.</w:t>
      </w:r>
    </w:p>
    <w:p>
      <w:pPr>
        <w:pStyle w:val="ListBullet"/>
      </w:pPr>
      <w:r>
        <w:t>Checklist SVL-GENERAL-0002: confirm intake form, matter code, and retention label.</w:t>
      </w:r>
    </w:p>
    <w:p>
      <w:pPr>
        <w:pStyle w:val="Heading2"/>
      </w:pPr>
      <w:r>
        <w:t>Section 3: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8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SVL-GENERAL-0003: confirm intake form, matter code, and retention label.</w:t>
      </w:r>
    </w:p>
    <w:p>
      <w:pPr>
        <w:pStyle w:val="Heading2"/>
      </w:pPr>
      <w:r>
        <w:t>Section 4: Operational detail</w:t>
      </w:r>
    </w:p>
    <w:p>
      <w:r>
        <w:t>Matter teams should calendar internal checkpoints at days 27, 63, and 99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SVL-GENERAL-0004: confirm intake form, matter code, and retention label.</w:t>
      </w:r>
    </w:p>
    <w:p>
      <w:pPr>
        <w:pStyle w:val="Heading2"/>
      </w:pPr>
      <w:r>
        <w:t>Section 5: Operational detail</w:t>
      </w:r>
    </w:p>
    <w:p>
      <w:r>
        <w:t>Sterling &amp; Vale LLP internal reference — segment 12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39, 91, and 143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SVL-GENERAL-0005: confirm intake form, matter code, and retention label.</w:t>
      </w:r>
    </w:p>
    <w:p>
      <w:pPr>
        <w:pStyle w:val="Heading2"/>
      </w:pPr>
      <w:r>
        <w:t>Section 6: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16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51, 119, and 187 from file opening for quality review, unless the client protocol specifies otherwise.</w:t>
      </w:r>
    </w:p>
    <w:p>
      <w:pPr>
        <w:pStyle w:val="ListBullet"/>
      </w:pPr>
      <w:r>
        <w:t>Checklist SVL-GENERAL-0006: confirm intake form, matter code, and retention label.</w:t>
      </w:r>
    </w:p>
    <w:p>
      <w:pPr>
        <w:pStyle w:val="Heading2"/>
      </w:pPr>
      <w:r>
        <w:t>Section 7: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20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SVL-GENERAL-0007: confirm intake form, matter code, and retention label.</w:t>
      </w:r>
    </w:p>
    <w:p>
      <w:pPr>
        <w:pStyle w:val="Heading2"/>
      </w:pPr>
      <w:r>
        <w:t>Section 8: Operational detail</w:t>
      </w:r>
    </w:p>
    <w:p>
      <w:r>
        <w:t>Matter teams should calendar internal checkpoints at days 63, 147, and 231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SVL-GENERAL-0008: confirm intake form, matter code, and retention label.</w:t>
      </w:r>
    </w:p>
    <w:p>
      <w:pPr>
        <w:pStyle w:val="Heading2"/>
      </w:pPr>
      <w:r>
        <w:t>Section 9: Operational detail</w:t>
      </w:r>
    </w:p>
    <w:p>
      <w:r>
        <w:t>Sterling &amp; Vale LLP internal reference — segment 24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75, 175, and 275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SVL-GENERAL-0009: confirm intake form, matter code, and retention label.</w:t>
      </w:r>
    </w:p>
    <w:p>
      <w:pPr>
        <w:pStyle w:val="Heading2"/>
      </w:pPr>
      <w:r>
        <w:t>Section 10: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28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87, 203, and 319 from file opening for quality review, unless the client protocol specifies otherwise.</w:t>
      </w:r>
    </w:p>
    <w:p>
      <w:pPr>
        <w:pStyle w:val="ListBullet"/>
      </w:pPr>
      <w:r>
        <w:t>Checklist SVL-GENERAL-0010: confirm intake form, matter code, and retention label.</w:t>
      </w:r>
    </w:p>
    <w:p>
      <w:pPr>
        <w:pStyle w:val="Heading2"/>
      </w:pPr>
      <w:r>
        <w:t>Section 11: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32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SVL-GENERAL-0011: confirm intake form, matter code, and retention label.</w:t>
      </w:r>
    </w:p>
    <w:p>
      <w:pPr>
        <w:pStyle w:val="Heading2"/>
      </w:pPr>
      <w:r>
        <w:t>Section 12: Operational detail</w:t>
      </w:r>
    </w:p>
    <w:p>
      <w:r>
        <w:t>Matter teams should calendar internal checkpoints at days 99, 231, and 363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SVL-GENERAL-0012: confirm intake form, matter code, and retention label.</w:t>
      </w:r>
    </w:p>
    <w:p>
      <w:pPr>
        <w:pStyle w:val="Heading2"/>
      </w:pPr>
      <w:r>
        <w:t>Section 13: Operational detail</w:t>
      </w:r>
    </w:p>
    <w:p>
      <w:r>
        <w:t>Sterling &amp; Vale LLP internal reference — segment 36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111, 259, and 407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SVL-GENERAL-0013: confirm intake form, matter code, and retention label.</w:t>
      </w:r>
    </w:p>
    <w:p>
      <w:pPr>
        <w:pStyle w:val="Heading2"/>
      </w:pPr>
      <w:r>
        <w:t>Section 14: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40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123, 287, and 451 from file opening for quality review, unless the client protocol specifies otherwise.</w:t>
      </w:r>
    </w:p>
    <w:p>
      <w:pPr>
        <w:pStyle w:val="ListBullet"/>
      </w:pPr>
      <w:r>
        <w:t>Checklist SVL-GENERAL-0014: confirm intake form, matter code, and retention label.</w:t>
      </w:r>
    </w:p>
    <w:p>
      <w:pPr>
        <w:pStyle w:val="Heading2"/>
      </w:pPr>
      <w:r>
        <w:t>Section 15: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44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SVL-GENERAL-0015: confirm intake form, matter code, and retention label.</w:t>
      </w:r>
    </w:p>
    <w:p>
      <w:pPr>
        <w:pStyle w:val="Heading2"/>
      </w:pPr>
      <w:r>
        <w:t>Section 16: Operational detail</w:t>
      </w:r>
    </w:p>
    <w:p>
      <w:r>
        <w:t>Matter teams should calendar internal checkpoints at days 135, 315, and 495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SVL-GENERAL-0016: confirm intake form, matter code, and retention label.</w:t>
      </w:r>
    </w:p>
    <w:p>
      <w:pPr>
        <w:pStyle w:val="Heading2"/>
      </w:pPr>
      <w:r>
        <w:t>Section 17: Operational detail</w:t>
      </w:r>
    </w:p>
    <w:p>
      <w:r>
        <w:t>Sterling &amp; Vale LLP internal reference — segment 48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147, 343, and 539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SVL-GENERAL-0017: confirm intake form, matter code, and retention label.</w:t>
      </w:r>
    </w:p>
    <w:p>
      <w:pPr>
        <w:pStyle w:val="Heading2"/>
      </w:pPr>
      <w:r>
        <w:t>Section 18: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52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159, 371, and 583 from file opening for quality review, unless the client protocol specifies otherwise.</w:t>
      </w:r>
    </w:p>
    <w:p>
      <w:pPr>
        <w:pStyle w:val="ListBullet"/>
      </w:pPr>
      <w:r>
        <w:t>Checklist SVL-GENERAL-0018: confirm intake form, matter code, and retention label.</w:t>
      </w:r>
    </w:p>
    <w:p>
      <w:pPr>
        <w:pStyle w:val="Heading2"/>
      </w:pPr>
      <w:r>
        <w:t>Section 19: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56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SVL-GENERAL-0019: confirm intake form, matter code, and retention label.</w:t>
      </w:r>
    </w:p>
    <w:p>
      <w:pPr>
        <w:pStyle w:val="Heading2"/>
      </w:pPr>
      <w:r>
        <w:t>Section 20: Operational detail</w:t>
      </w:r>
    </w:p>
    <w:p>
      <w:r>
        <w:t>Matter teams should calendar internal checkpoints at days 171, 399, and 627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SVL-GENERAL-0020: confirm intake form, matter code, and retention label.</w:t>
      </w:r>
    </w:p>
    <w:p>
      <w:pPr>
        <w:pStyle w:val="Heading2"/>
      </w:pPr>
      <w:r>
        <w:t>Section 21: Operational detail</w:t>
      </w:r>
    </w:p>
    <w:p>
      <w:r>
        <w:t>Sterling &amp; Vale LLP internal reference — segment 60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183, 427, and 671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SVL-GENERAL-0021: confirm intake form, matter code, and retention label.</w:t>
      </w:r>
    </w:p>
    <w:p>
      <w:pPr>
        <w:pStyle w:val="Heading2"/>
      </w:pPr>
      <w:r>
        <w:t>Section 22: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64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195, 455, and 715 from file opening for quality review, unless the client protocol specifies otherwise.</w:t>
      </w:r>
    </w:p>
    <w:p>
      <w:pPr>
        <w:pStyle w:val="ListBullet"/>
      </w:pPr>
      <w:r>
        <w:t>Checklist SVL-GENERAL-0022: confirm intake form, matter code, and retention label.</w:t>
      </w:r>
    </w:p>
    <w:p>
      <w:pPr>
        <w:pStyle w:val="Heading2"/>
      </w:pPr>
      <w:r>
        <w:t>Section 23: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68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SVL-GENERAL-0023: confirm intake form, matter code, and retention label.</w:t>
      </w:r>
    </w:p>
    <w:p>
      <w:pPr>
        <w:pStyle w:val="Heading2"/>
      </w:pPr>
      <w:r>
        <w:t>Section 24: Operational detail</w:t>
      </w:r>
    </w:p>
    <w:p>
      <w:r>
        <w:t>Matter teams should calendar internal checkpoints at days 207, 483, and 759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SVL-GENERAL-0024: confirm intake form, matter code, and retention label.</w:t>
      </w:r>
    </w:p>
    <w:p>
      <w:pPr>
        <w:pStyle w:val="Heading2"/>
      </w:pPr>
      <w:r>
        <w:t>Section 25: Operational detail</w:t>
      </w:r>
    </w:p>
    <w:p>
      <w:r>
        <w:t>Sterling &amp; Vale LLP internal reference — segment 72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219, 511, and 803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SVL-GENERAL-0025: confirm intake form, matter code, and retention label.</w:t>
      </w:r>
    </w:p>
    <w:p>
      <w:pPr>
        <w:pStyle w:val="Heading2"/>
      </w:pPr>
      <w:r>
        <w:t>Section 26: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76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231, 539, and 847 from file opening for quality review, unless the client protocol specifies otherwise.</w:t>
      </w:r>
    </w:p>
    <w:p>
      <w:pPr>
        <w:pStyle w:val="ListBullet"/>
      </w:pPr>
      <w:r>
        <w:t>Checklist SVL-GENERAL-0026: confirm intake form, matter code, and retention label.</w:t>
      </w:r>
    </w:p>
    <w:p>
      <w:pPr>
        <w:pStyle w:val="Heading2"/>
      </w:pPr>
      <w:r>
        <w:t>Section 27: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80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SVL-GENERAL-0027: confirm intake form, matter code, and retention label.</w:t>
      </w:r>
    </w:p>
    <w:p>
      <w:pPr>
        <w:pStyle w:val="Heading2"/>
      </w:pPr>
      <w:r>
        <w:t>Section 28: Operational detail</w:t>
      </w:r>
    </w:p>
    <w:p>
      <w:r>
        <w:t>Matter teams should calendar internal checkpoints at days 243, 567, and 891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SVL-GENERAL-0028: confirm intake form, matter code, and retention label.</w:t>
      </w:r>
    </w:p>
    <w:p>
      <w:pPr>
        <w:pStyle w:val="Heading2"/>
      </w:pPr>
      <w:r>
        <w:t>Section 29: Operational detail</w:t>
      </w:r>
    </w:p>
    <w:p>
      <w:r>
        <w:t>Sterling &amp; Vale LLP internal reference — segment 84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255, 595, and 935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SVL-GENERAL-0029: confirm intake form, matter code, and retention label.</w:t>
      </w:r>
    </w:p>
    <w:p>
      <w:pPr>
        <w:pStyle w:val="Heading2"/>
      </w:pPr>
      <w:r>
        <w:t>Section 30: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88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267, 623, and 979 from file opening for quality review, unless the client protocol specifies otherwise.</w:t>
      </w:r>
    </w:p>
    <w:p>
      <w:pPr>
        <w:pStyle w:val="ListBullet"/>
      </w:pPr>
      <w:r>
        <w:t>Checklist SVL-GENERAL-0030: confirm intake form, matter code, and retention label.</w:t>
      </w:r>
    </w:p>
    <w:p>
      <w:pPr>
        <w:pStyle w:val="Heading2"/>
      </w:pPr>
      <w:r>
        <w:t>Section 31: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92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SVL-GENERAL-0031: confirm intake form, matter code, and retention label.</w:t>
      </w:r>
    </w:p>
    <w:p>
      <w:pPr>
        <w:pStyle w:val="Heading2"/>
      </w:pPr>
      <w:r>
        <w:t>Section 32: Operational detail</w:t>
      </w:r>
    </w:p>
    <w:p>
      <w:r>
        <w:t>Matter teams should calendar internal checkpoints at days 279, 651, and 1023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SVL-GENERAL-0032: confirm intake form, matter code, and retention label.</w:t>
      </w:r>
    </w:p>
    <w:p>
      <w:pPr>
        <w:pStyle w:val="Heading2"/>
      </w:pPr>
      <w:r>
        <w:t>Section 33: Operational detail</w:t>
      </w:r>
    </w:p>
    <w:p>
      <w:r>
        <w:t>Sterling &amp; Vale LLP internal reference — segment 96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291, 679, and 1067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SVL-GENERAL-0033: confirm intake form, matter code, and retention label.</w:t>
      </w:r>
    </w:p>
    <w:p>
      <w:pPr>
        <w:pStyle w:val="Heading2"/>
      </w:pPr>
      <w:r>
        <w:t>Section 34: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100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303, 707, and 1111 from file opening for quality review, unless the client protocol specifies otherwise.</w:t>
      </w:r>
    </w:p>
    <w:p>
      <w:pPr>
        <w:pStyle w:val="ListBullet"/>
      </w:pPr>
      <w:r>
        <w:t>Checklist SVL-GENERAL-0034: confirm intake form, matter code, and retention label.</w:t>
      </w:r>
    </w:p>
    <w:p>
      <w:pPr>
        <w:pStyle w:val="Heading2"/>
      </w:pPr>
      <w:r>
        <w:t>Section 35: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104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SVL-GENERAL-0035: confirm intake form, matter code, and retention label.</w:t>
      </w:r>
    </w:p>
    <w:p>
      <w:pPr>
        <w:pStyle w:val="Heading2"/>
      </w:pPr>
      <w:r>
        <w:t>Section 36: Operational detail</w:t>
      </w:r>
    </w:p>
    <w:p>
      <w:r>
        <w:t>Matter teams should calendar internal checkpoints at days 315, 735, and 1155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SVL-GENERAL-0036: confirm intake form, matter code, and retention label.</w:t>
      </w:r>
    </w:p>
    <w:p>
      <w:pPr>
        <w:pStyle w:val="Heading2"/>
      </w:pPr>
      <w:r>
        <w:t>Section 37: Operational detail</w:t>
      </w:r>
    </w:p>
    <w:p>
      <w:r>
        <w:t>Sterling &amp; Vale LLP internal reference — segment 108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327, 763, and 1199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pPr>
        <w:pStyle w:val="ListBullet"/>
      </w:pPr>
      <w:r>
        <w:t>Checklist SVL-GENERAL-0037: confirm intake form, matter code, and retention label.</w:t>
      </w:r>
    </w:p>
    <w:p>
      <w:pPr>
        <w:pStyle w:val="Heading2"/>
      </w:pPr>
      <w:r>
        <w:t>Section 38: Operational detail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112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r>
        <w:t>Matter teams should calendar internal checkpoints at days 339, 791, and 1243 from file opening for quality review, unless the client protocol specifies otherwise.</w:t>
      </w:r>
    </w:p>
    <w:p>
      <w:pPr>
        <w:pStyle w:val="ListBullet"/>
      </w:pPr>
      <w:r>
        <w:t>Checklist SVL-GENERAL-0038: confirm intake form, matter code, and retention label.</w:t>
      </w:r>
    </w:p>
    <w:p>
      <w:pPr>
        <w:pStyle w:val="Heading2"/>
      </w:pPr>
      <w:r>
        <w:t>Section 39: Operational detail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r>
        <w:t>Sterling &amp; Vale LLP internal reference — segment 116 regarding firm-wide operations, retainers, and administrative coordination. Partners and associates must align work product with the engagement letter, matter code, and workspace retention labels before circulation outside the firm.</w:t>
      </w:r>
    </w:p>
    <w:p>
      <w:pPr>
        <w:pStyle w:val="ListBullet"/>
      </w:pPr>
      <w:r>
        <w:t>Checklist SVL-GENERAL-0039: confirm intake form, matter code, and retention label.</w:t>
      </w:r>
    </w:p>
    <w:p>
      <w:pPr>
        <w:pStyle w:val="Heading2"/>
      </w:pPr>
      <w:r>
        <w:t>Section 40: Operational detail</w:t>
      </w:r>
    </w:p>
    <w:p>
      <w:r>
        <w:t>Matter teams should calendar internal checkpoints at days 351, 819, and 1287 from file opening for quality review, unless the client protocol specifies otherwise.</w:t>
      </w:r>
    </w:p>
    <w:p>
      <w:r>
        <w:t>Document naming: use SVL-[matter]-[doctype]-[version]; avoid client names in filenames on shared drives.</w:t>
      </w:r>
    </w:p>
    <w:p>
      <w:r>
        <w:t>Escalation: contact the practice group leader when exposure estimates exceed the matter budget band or when regulatory correspondence arrives from a new agency not listed in the intake form.</w:t>
      </w:r>
    </w:p>
    <w:p>
      <w:pPr>
        <w:pStyle w:val="ListBullet"/>
      </w:pPr>
      <w:r>
        <w:t>Checklist SVL-GENERAL-0040: confirm intake form, matter code, and retention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