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Sterling &amp; Vale LLP — Knowledge &amp; Precedents</w:t>
      </w:r>
    </w:p>
    <w:p>
      <w:r>
        <w:rPr>
          <w:i/>
        </w:rPr>
        <w:t>Workspace tag KNOWLEDGE. Focus: clause banks, template maintenance, and research memos.</w:t>
      </w:r>
    </w:p>
    <w:p>
      <w:pPr>
        <w:pStyle w:val="Heading2"/>
      </w:pPr>
      <w:r>
        <w:t>Section 1: Operational detail</w:t>
      </w:r>
    </w:p>
    <w:p>
      <w:r>
        <w:t>Sterling &amp; Vale LLP internal reference — segment 0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3, 7, and 11 from file opening for quality review, unless the client protocol specifies otherwise.</w:t>
      </w:r>
    </w:p>
    <w:p>
      <w:r>
        <w:t>Document naming: use SVL-[matter]-[doctype]-[version]; avoid client names in filenames on shared drives.</w:t>
      </w:r>
    </w:p>
    <w:p>
      <w:pPr>
        <w:pStyle w:val="ListBullet"/>
      </w:pPr>
      <w:r>
        <w:t>Checklist SVL-KNOWLEDGE-0001: confirm intake form, matter code, and retention label.</w:t>
      </w:r>
    </w:p>
    <w:p>
      <w:pPr>
        <w:pStyle w:val="Heading2"/>
      </w:pPr>
      <w:r>
        <w:t>Section 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15, 35, and 55 from file opening for quality review, unless the client protocol specifies otherwise.</w:t>
      </w:r>
    </w:p>
    <w:p>
      <w:pPr>
        <w:pStyle w:val="ListBullet"/>
      </w:pPr>
      <w:r>
        <w:t>Checklist SVL-KNOWLEDGE-0002: confirm intake form, matter code, and retention label.</w:t>
      </w:r>
    </w:p>
    <w:p>
      <w:pPr>
        <w:pStyle w:val="Heading2"/>
      </w:pPr>
      <w:r>
        <w:t>Section 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SVL-KNOWLEDGE-0003: confirm intake form, matter code, and retention label.</w:t>
      </w:r>
    </w:p>
    <w:p>
      <w:pPr>
        <w:pStyle w:val="Heading2"/>
      </w:pPr>
      <w:r>
        <w:t>Section 4: Operational detail</w:t>
      </w:r>
    </w:p>
    <w:p>
      <w:r>
        <w:t>Matter teams should calendar internal checkpoints at days 27, 63, and 99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SVL-KNOWLEDGE-0004: confirm intake form, matter code, and retention label.</w:t>
      </w:r>
    </w:p>
    <w:p>
      <w:pPr>
        <w:pStyle w:val="Heading2"/>
      </w:pPr>
      <w:r>
        <w:t>Section 5: Operational detail</w:t>
      </w:r>
    </w:p>
    <w:p>
      <w:r>
        <w:t>Sterling &amp; Vale LLP internal reference — segment 12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39, 91, and 143 from file opening for quality review, unless the client protocol specifies otherwise.</w:t>
      </w:r>
    </w:p>
    <w:p>
      <w:r>
        <w:t>Document naming: use SVL-[matter]-[doctype]-[version]; avoid client names in filenames on shared drives.</w:t>
      </w:r>
    </w:p>
    <w:p>
      <w:pPr>
        <w:pStyle w:val="ListBullet"/>
      </w:pPr>
      <w:r>
        <w:t>Checklist SVL-KNOWLEDGE-0005: confirm intake form, matter code, and retention label.</w:t>
      </w:r>
    </w:p>
    <w:p>
      <w:pPr>
        <w:pStyle w:val="Heading2"/>
      </w:pPr>
      <w:r>
        <w:t>Section 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16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51, 119, and 187 from file opening for quality review, unless the client protocol specifies otherwise.</w:t>
      </w:r>
    </w:p>
    <w:p>
      <w:pPr>
        <w:pStyle w:val="ListBullet"/>
      </w:pPr>
      <w:r>
        <w:t>Checklist SVL-KNOWLEDGE-0006: confirm intake form, matter code, and retention label.</w:t>
      </w:r>
    </w:p>
    <w:p>
      <w:pPr>
        <w:pStyle w:val="Heading2"/>
      </w:pPr>
      <w:r>
        <w:t>Section 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20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SVL-KNOWLEDGE-0007: confirm intake form, matter code, and retention label.</w:t>
      </w:r>
    </w:p>
    <w:p>
      <w:pPr>
        <w:pStyle w:val="Heading2"/>
      </w:pPr>
      <w:r>
        <w:t>Section 8: Operational detail</w:t>
      </w:r>
    </w:p>
    <w:p>
      <w:r>
        <w:t>Matter teams should calendar internal checkpoints at days 63, 147, and 231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SVL-KNOWLEDGE-0008: confirm intake form, matter code, and retention label.</w:t>
      </w:r>
    </w:p>
    <w:p>
      <w:pPr>
        <w:pStyle w:val="Heading2"/>
      </w:pPr>
      <w:r>
        <w:t>Section 9: Operational detail</w:t>
      </w:r>
    </w:p>
    <w:p>
      <w:r>
        <w:t>Sterling &amp; Vale LLP internal reference — segment 24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75, 175, and 275 from file opening for quality review, unless the client protocol specifies otherwise.</w:t>
      </w:r>
    </w:p>
    <w:p>
      <w:r>
        <w:t>Document naming: use SVL-[matter]-[doctype]-[version]; avoid client names in filenames on shared drives.</w:t>
      </w:r>
    </w:p>
    <w:p>
      <w:pPr>
        <w:pStyle w:val="ListBullet"/>
      </w:pPr>
      <w:r>
        <w:t>Checklist SVL-KNOWLEDGE-0009: confirm intake form, matter code, and retention label.</w:t>
      </w:r>
    </w:p>
    <w:p>
      <w:pPr>
        <w:pStyle w:val="Heading2"/>
      </w:pPr>
      <w:r>
        <w:t>Section 10: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28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87, 203, and 319 from file opening for quality review, unless the client protocol specifies otherwise.</w:t>
      </w:r>
    </w:p>
    <w:p>
      <w:pPr>
        <w:pStyle w:val="ListBullet"/>
      </w:pPr>
      <w:r>
        <w:t>Checklist SVL-KNOWLEDGE-0010: confirm intake form, matter code, and retention label.</w:t>
      </w:r>
    </w:p>
    <w:p>
      <w:pPr>
        <w:pStyle w:val="Heading2"/>
      </w:pPr>
      <w:r>
        <w:t>Section 11: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32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SVL-KNOWLEDGE-0011: confirm intake form, matter code, and retention label.</w:t>
      </w:r>
    </w:p>
    <w:p>
      <w:pPr>
        <w:pStyle w:val="Heading2"/>
      </w:pPr>
      <w:r>
        <w:t>Section 12: Operational detail</w:t>
      </w:r>
    </w:p>
    <w:p>
      <w:r>
        <w:t>Matter teams should calendar internal checkpoints at days 99, 231, and 363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SVL-KNOWLEDGE-0012: confirm intake form, matter code, and retention label.</w:t>
      </w:r>
    </w:p>
    <w:p>
      <w:pPr>
        <w:pStyle w:val="Heading2"/>
      </w:pPr>
      <w:r>
        <w:t>Section 13: Operational detail</w:t>
      </w:r>
    </w:p>
    <w:p>
      <w:r>
        <w:t>Sterling &amp; Vale LLP internal reference — segment 36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111, 259, and 407 from file opening for quality review, unless the client protocol specifies otherwise.</w:t>
      </w:r>
    </w:p>
    <w:p>
      <w:r>
        <w:t>Document naming: use SVL-[matter]-[doctype]-[version]; avoid client names in filenames on shared drives.</w:t>
      </w:r>
    </w:p>
    <w:p>
      <w:pPr>
        <w:pStyle w:val="ListBullet"/>
      </w:pPr>
      <w:r>
        <w:t>Checklist SVL-KNOWLEDGE-0013: confirm intake form, matter code, and retention label.</w:t>
      </w:r>
    </w:p>
    <w:p>
      <w:pPr>
        <w:pStyle w:val="Heading2"/>
      </w:pPr>
      <w:r>
        <w:t>Section 14: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40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123, 287, and 451 from file opening for quality review, unless the client protocol specifies otherwise.</w:t>
      </w:r>
    </w:p>
    <w:p>
      <w:pPr>
        <w:pStyle w:val="ListBullet"/>
      </w:pPr>
      <w:r>
        <w:t>Checklist SVL-KNOWLEDGE-0014: confirm intake form, matter code, and retention label.</w:t>
      </w:r>
    </w:p>
    <w:p>
      <w:pPr>
        <w:pStyle w:val="Heading2"/>
      </w:pPr>
      <w:r>
        <w:t>Section 15: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44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SVL-KNOWLEDGE-0015: confirm intake form, matter code, and retention label.</w:t>
      </w:r>
    </w:p>
    <w:p>
      <w:pPr>
        <w:pStyle w:val="Heading2"/>
      </w:pPr>
      <w:r>
        <w:t>Section 16: Operational detail</w:t>
      </w:r>
    </w:p>
    <w:p>
      <w:r>
        <w:t>Matter teams should calendar internal checkpoints at days 135, 315, and 495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SVL-KNOWLEDGE-0016: confirm intake form, matter code, and retention label.</w:t>
      </w:r>
    </w:p>
    <w:p>
      <w:pPr>
        <w:pStyle w:val="Heading2"/>
      </w:pPr>
      <w:r>
        <w:t>Section 17: Operational detail</w:t>
      </w:r>
    </w:p>
    <w:p>
      <w:r>
        <w:t>Sterling &amp; Vale LLP internal reference — segment 48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147, 343, and 539 from file opening for quality review, unless the client protocol specifies otherwise.</w:t>
      </w:r>
    </w:p>
    <w:p>
      <w:r>
        <w:t>Document naming: use SVL-[matter]-[doctype]-[version]; avoid client names in filenames on shared drives.</w:t>
      </w:r>
    </w:p>
    <w:p>
      <w:pPr>
        <w:pStyle w:val="ListBullet"/>
      </w:pPr>
      <w:r>
        <w:t>Checklist SVL-KNOWLEDGE-0017: confirm intake form, matter code, and retention label.</w:t>
      </w:r>
    </w:p>
    <w:p>
      <w:pPr>
        <w:pStyle w:val="Heading2"/>
      </w:pPr>
      <w:r>
        <w:t>Section 18: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52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159, 371, and 583 from file opening for quality review, unless the client protocol specifies otherwise.</w:t>
      </w:r>
    </w:p>
    <w:p>
      <w:pPr>
        <w:pStyle w:val="ListBullet"/>
      </w:pPr>
      <w:r>
        <w:t>Checklist SVL-KNOWLEDGE-0018: confirm intake form, matter code, and retention label.</w:t>
      </w:r>
    </w:p>
    <w:p>
      <w:pPr>
        <w:pStyle w:val="Heading2"/>
      </w:pPr>
      <w:r>
        <w:t>Section 19: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56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SVL-KNOWLEDGE-0019: confirm intake form, matter code, and retention label.</w:t>
      </w:r>
    </w:p>
    <w:p>
      <w:pPr>
        <w:pStyle w:val="Heading2"/>
      </w:pPr>
      <w:r>
        <w:t>Section 20: Operational detail</w:t>
      </w:r>
    </w:p>
    <w:p>
      <w:r>
        <w:t>Matter teams should calendar internal checkpoints at days 171, 399, and 627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SVL-KNOWLEDGE-0020: confirm intake form, matter code, and retention label.</w:t>
      </w:r>
    </w:p>
    <w:p>
      <w:pPr>
        <w:pStyle w:val="Heading2"/>
      </w:pPr>
      <w:r>
        <w:t>Section 21: Operational detail</w:t>
      </w:r>
    </w:p>
    <w:p>
      <w:r>
        <w:t>Sterling &amp; Vale LLP internal reference — segment 60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183, 427, and 671 from file opening for quality review, unless the client protocol specifies otherwise.</w:t>
      </w:r>
    </w:p>
    <w:p>
      <w:r>
        <w:t>Document naming: use SVL-[matter]-[doctype]-[version]; avoid client names in filenames on shared drives.</w:t>
      </w:r>
    </w:p>
    <w:p>
      <w:pPr>
        <w:pStyle w:val="ListBullet"/>
      </w:pPr>
      <w:r>
        <w:t>Checklist SVL-KNOWLEDGE-0021: confirm intake form, matter code, and retention label.</w:t>
      </w:r>
    </w:p>
    <w:p>
      <w:pPr>
        <w:pStyle w:val="Heading2"/>
      </w:pPr>
      <w:r>
        <w:t>Section 22: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64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195, 455, and 715 from file opening for quality review, unless the client protocol specifies otherwise.</w:t>
      </w:r>
    </w:p>
    <w:p>
      <w:pPr>
        <w:pStyle w:val="ListBullet"/>
      </w:pPr>
      <w:r>
        <w:t>Checklist SVL-KNOWLEDGE-0022: confirm intake form, matter code, and retention label.</w:t>
      </w:r>
    </w:p>
    <w:p>
      <w:pPr>
        <w:pStyle w:val="Heading2"/>
      </w:pPr>
      <w:r>
        <w:t>Section 23: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68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SVL-KNOWLEDGE-0023: confirm intake form, matter code, and retention label.</w:t>
      </w:r>
    </w:p>
    <w:p>
      <w:pPr>
        <w:pStyle w:val="Heading2"/>
      </w:pPr>
      <w:r>
        <w:t>Section 24: Operational detail</w:t>
      </w:r>
    </w:p>
    <w:p>
      <w:r>
        <w:t>Matter teams should calendar internal checkpoints at days 207, 483, and 759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SVL-KNOWLEDGE-0024: confirm intake form, matter code, and retention label.</w:t>
      </w:r>
    </w:p>
    <w:p>
      <w:pPr>
        <w:pStyle w:val="Heading2"/>
      </w:pPr>
      <w:r>
        <w:t>Section 25: Operational detail</w:t>
      </w:r>
    </w:p>
    <w:p>
      <w:r>
        <w:t>Sterling &amp; Vale LLP internal reference — segment 72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219, 511, and 803 from file opening for quality review, unless the client protocol specifies otherwise.</w:t>
      </w:r>
    </w:p>
    <w:p>
      <w:r>
        <w:t>Document naming: use SVL-[matter]-[doctype]-[version]; avoid client names in filenames on shared drives.</w:t>
      </w:r>
    </w:p>
    <w:p>
      <w:pPr>
        <w:pStyle w:val="ListBullet"/>
      </w:pPr>
      <w:r>
        <w:t>Checklist SVL-KNOWLEDGE-0025: confirm intake form, matter code, and retention label.</w:t>
      </w:r>
    </w:p>
    <w:p>
      <w:pPr>
        <w:pStyle w:val="Heading2"/>
      </w:pPr>
      <w:r>
        <w:t>Section 26: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76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231, 539, and 847 from file opening for quality review, unless the client protocol specifies otherwise.</w:t>
      </w:r>
    </w:p>
    <w:p>
      <w:pPr>
        <w:pStyle w:val="ListBullet"/>
      </w:pPr>
      <w:r>
        <w:t>Checklist SVL-KNOWLEDGE-0026: confirm intake form, matter code, and retention label.</w:t>
      </w:r>
    </w:p>
    <w:p>
      <w:pPr>
        <w:pStyle w:val="Heading2"/>
      </w:pPr>
      <w:r>
        <w:t>Section 27: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80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SVL-KNOWLEDGE-0027: confirm intake form, matter code, and retention label.</w:t>
      </w:r>
    </w:p>
    <w:p>
      <w:pPr>
        <w:pStyle w:val="Heading2"/>
      </w:pPr>
      <w:r>
        <w:t>Section 28: Operational detail</w:t>
      </w:r>
    </w:p>
    <w:p>
      <w:r>
        <w:t>Matter teams should calendar internal checkpoints at days 243, 567, and 891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SVL-KNOWLEDGE-0028: confirm intake form, matter code, and retention label.</w:t>
      </w:r>
    </w:p>
    <w:p>
      <w:pPr>
        <w:pStyle w:val="Heading2"/>
      </w:pPr>
      <w:r>
        <w:t>Section 29: Operational detail</w:t>
      </w:r>
    </w:p>
    <w:p>
      <w:r>
        <w:t>Sterling &amp; Vale LLP internal reference — segment 84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255, 595, and 935 from file opening for quality review, unless the client protocol specifies otherwise.</w:t>
      </w:r>
    </w:p>
    <w:p>
      <w:r>
        <w:t>Document naming: use SVL-[matter]-[doctype]-[version]; avoid client names in filenames on shared drives.</w:t>
      </w:r>
    </w:p>
    <w:p>
      <w:pPr>
        <w:pStyle w:val="ListBullet"/>
      </w:pPr>
      <w:r>
        <w:t>Checklist SVL-KNOWLEDGE-0029: confirm intake form, matter code, and retention label.</w:t>
      </w:r>
    </w:p>
    <w:p>
      <w:pPr>
        <w:pStyle w:val="Heading2"/>
      </w:pPr>
      <w:r>
        <w:t>Section 30: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88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267, 623, and 979 from file opening for quality review, unless the client protocol specifies otherwise.</w:t>
      </w:r>
    </w:p>
    <w:p>
      <w:pPr>
        <w:pStyle w:val="ListBullet"/>
      </w:pPr>
      <w:r>
        <w:t>Checklist SVL-KNOWLEDGE-0030: confirm intake form, matter code, and retention label.</w:t>
      </w:r>
    </w:p>
    <w:p>
      <w:pPr>
        <w:pStyle w:val="Heading2"/>
      </w:pPr>
      <w:r>
        <w:t>Section 31: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92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SVL-KNOWLEDGE-0031: confirm intake form, matter code, and retention label.</w:t>
      </w:r>
    </w:p>
    <w:p>
      <w:pPr>
        <w:pStyle w:val="Heading2"/>
      </w:pPr>
      <w:r>
        <w:t>Section 32: Operational detail</w:t>
      </w:r>
    </w:p>
    <w:p>
      <w:r>
        <w:t>Matter teams should calendar internal checkpoints at days 279, 651, and 1023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SVL-KNOWLEDGE-0032: confirm intake form, matter code, and retention label.</w:t>
      </w:r>
    </w:p>
    <w:p>
      <w:pPr>
        <w:pStyle w:val="Heading2"/>
      </w:pPr>
      <w:r>
        <w:t>Section 33: Operational detail</w:t>
      </w:r>
    </w:p>
    <w:p>
      <w:r>
        <w:t>Sterling &amp; Vale LLP internal reference — segment 96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291, 679, and 1067 from file opening for quality review, unless the client protocol specifies otherwise.</w:t>
      </w:r>
    </w:p>
    <w:p>
      <w:r>
        <w:t>Document naming: use SVL-[matter]-[doctype]-[version]; avoid client names in filenames on shared drives.</w:t>
      </w:r>
    </w:p>
    <w:p>
      <w:pPr>
        <w:pStyle w:val="ListBullet"/>
      </w:pPr>
      <w:r>
        <w:t>Checklist SVL-KNOWLEDGE-0033: confirm intake form, matter code, and retention label.</w:t>
      </w:r>
    </w:p>
    <w:p>
      <w:pPr>
        <w:pStyle w:val="Heading2"/>
      </w:pPr>
      <w:r>
        <w:t>Section 34: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100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303, 707, and 1111 from file opening for quality review, unless the client protocol specifies otherwise.</w:t>
      </w:r>
    </w:p>
    <w:p>
      <w:pPr>
        <w:pStyle w:val="ListBullet"/>
      </w:pPr>
      <w:r>
        <w:t>Checklist SVL-KNOWLEDGE-0034: confirm intake form, matter code, and retention label.</w:t>
      </w:r>
    </w:p>
    <w:p>
      <w:pPr>
        <w:pStyle w:val="Heading2"/>
      </w:pPr>
      <w:r>
        <w:t>Section 35: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104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SVL-KNOWLEDGE-0035: confirm intake form, matter code, and retention label.</w:t>
      </w:r>
    </w:p>
    <w:p>
      <w:pPr>
        <w:pStyle w:val="Heading2"/>
      </w:pPr>
      <w:r>
        <w:t>Section 36: Operational detail</w:t>
      </w:r>
    </w:p>
    <w:p>
      <w:r>
        <w:t>Matter teams should calendar internal checkpoints at days 315, 735, and 1155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SVL-KNOWLEDGE-0036: confirm intake form, matter code, and retention label.</w:t>
      </w:r>
    </w:p>
    <w:p>
      <w:pPr>
        <w:pStyle w:val="Heading2"/>
      </w:pPr>
      <w:r>
        <w:t>Section 37: Operational detail</w:t>
      </w:r>
    </w:p>
    <w:p>
      <w:r>
        <w:t>Sterling &amp; Vale LLP internal reference — segment 108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327, 763, and 1199 from file opening for quality review, unless the client protocol specifies otherwise.</w:t>
      </w:r>
    </w:p>
    <w:p>
      <w:r>
        <w:t>Document naming: use SVL-[matter]-[doctype]-[version]; avoid client names in filenames on shared drives.</w:t>
      </w:r>
    </w:p>
    <w:p>
      <w:pPr>
        <w:pStyle w:val="ListBullet"/>
      </w:pPr>
      <w:r>
        <w:t>Checklist SVL-KNOWLEDGE-0037: confirm intake form, matter code, and retention label.</w:t>
      </w:r>
    </w:p>
    <w:p>
      <w:pPr>
        <w:pStyle w:val="Heading2"/>
      </w:pPr>
      <w:r>
        <w:t>Section 38: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112 regarding clause banks, template maintenance, and research memos. Partners and associates must align work product with the engagement letter, matter code, and workspace retention labels before circulation outside the firm.</w:t>
      </w:r>
    </w:p>
    <w:p>
      <w:r>
        <w:t>Matter teams should calendar internal checkpoints at days 339, 791, and 1243 from file opening for quality review, unless the client protocol specifies otherwise.</w:t>
      </w:r>
    </w:p>
    <w:p>
      <w:pPr>
        <w:pStyle w:val="ListBullet"/>
      </w:pPr>
      <w:r>
        <w:t>Checklist SVL-KNOWLEDGE-0038: confirm intake form, matter code, and retention label.</w:t>
      </w:r>
    </w:p>
    <w:p>
      <w:pPr>
        <w:pStyle w:val="Heading2"/>
      </w:pPr>
      <w:r>
        <w:t>Section 39: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116 regarding clause banks, template maintenance, and research memos. Partners and associates must align work product with the engagement letter, matter code, and workspace retention labels before circulation outside the firm.</w:t>
      </w:r>
    </w:p>
    <w:p>
      <w:pPr>
        <w:pStyle w:val="ListBullet"/>
      </w:pPr>
      <w:r>
        <w:t>Checklist SVL-KNOWLEDGE-0039: confirm intake form, matter code, and retention label.</w:t>
      </w:r>
    </w:p>
    <w:p>
      <w:pPr>
        <w:pStyle w:val="Heading2"/>
      </w:pPr>
      <w:r>
        <w:t>Section 40: Operational detail</w:t>
      </w:r>
    </w:p>
    <w:p>
      <w:r>
        <w:t>Matter teams should calendar internal checkpoints at days 351, 819, and 1287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SVL-KNOWLEDGE-0040: confirm intake form, matter code, and retention label.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