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TFI – Bases de Datos I</w:t>
      </w:r>
    </w:p>
    <w:p>
      <w:pPr>
        <w:pStyle w:val="Normal"/>
        <w:jc w:val="center"/>
        <w:rPr/>
      </w:pPr>
      <w:r>
        <w:rPr/>
        <w:t xml:space="preserve">Proyecto: Gestión de Empresas y Domicilios Fiscales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Este documento resume, en formato pregunta–respuesta, las consultas guía de la consigna y su aplicación concreta al TFI. El objetivo es justificar decisiones de diseño, carga, consultas, seguridad y concurrencia de forma breve y clara.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Etapa 1 — Modelado y definición de constraints</w:t>
      </w:r>
    </w:p>
    <w:p>
      <w:pPr>
        <w:pStyle w:val="Normal"/>
        <w:rPr/>
      </w:pPr>
      <w:r>
        <w:rPr>
          <w:b/>
        </w:rPr>
        <w:t xml:space="preserve">Pregunta: </w:t>
      </w:r>
      <w:r>
        <w:rPr/>
        <w:t>¿Mi elección de PK es correcta o convendría otra?</w:t>
      </w:r>
    </w:p>
    <w:p>
      <w:pPr>
        <w:pStyle w:val="Normal"/>
        <w:rPr/>
      </w:pPr>
      <w:r>
        <w:rPr>
          <w:b/>
        </w:rPr>
        <w:t>Respuesta:</w:t>
      </w:r>
    </w:p>
    <w:p>
      <w:pPr>
        <w:pStyle w:val="ListBullet"/>
        <w:numPr>
          <w:ilvl w:val="0"/>
          <w:numId w:val="1"/>
        </w:numPr>
        <w:rPr/>
      </w:pPr>
      <w:r>
        <w:rPr/>
        <w:t>En tablas maestras (pais/provincia/localidad/tipo_domicilio) se usa PK surrogate (INT AUTO_INCREMENT) por simplicidad y estabilidad.</w:t>
      </w:r>
    </w:p>
    <w:p>
      <w:pPr>
        <w:pStyle w:val="ListBullet"/>
        <w:numPr>
          <w:ilvl w:val="0"/>
          <w:numId w:val="1"/>
        </w:numPr>
        <w:rPr/>
      </w:pPr>
      <w:r>
        <w:rPr/>
        <w:t>En empresa se usa PK surrogate (id_empresa) y además CUIT como clave candidata con UNIQUE; CUIT se guarda como CHAR(11) para no perder ceros a la izquierda y porque es un “identificador”, no un valor numérico para cálculos.</w:t>
      </w:r>
    </w:p>
    <w:p>
      <w:pPr>
        <w:pStyle w:val="ListBullet"/>
        <w:numPr>
          <w:ilvl w:val="0"/>
          <w:numId w:val="1"/>
        </w:numPr>
        <w:rPr/>
      </w:pPr>
      <w:r>
        <w:rPr/>
        <w:t>En domicilio_fiscal la PK es id_domicilio; la relación con empresa/localidad/tipo_domicilio se modela con FKs (N:1 en cada caso). Esto permite múltiples domicilios por empresa (histórico/vigencias).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Pregunta: </w:t>
      </w:r>
      <w:r>
        <w:rPr/>
        <w:t>¿Qué restricciones (UNIQUE/CHECK/FK) son claves para robustecer el modelo?</w:t>
      </w:r>
    </w:p>
    <w:p>
      <w:pPr>
        <w:pStyle w:val="Normal"/>
        <w:rPr/>
      </w:pPr>
      <w:r>
        <w:rPr>
          <w:b/>
        </w:rPr>
        <w:t>Respuesta:</w:t>
      </w:r>
    </w:p>
    <w:p>
      <w:pPr>
        <w:pStyle w:val="ListBullet"/>
        <w:numPr>
          <w:ilvl w:val="0"/>
          <w:numId w:val="1"/>
        </w:numPr>
        <w:rPr/>
      </w:pPr>
      <w:r>
        <w:rPr/>
        <w:t>UNIQUE en CUIT (empresa) para evitar duplicados; UNIQUE en códigos de catálogos (por ejemplo codigo_iso en pais y codigo en provincia) para asegurar consistencia de referencia.</w:t>
      </w:r>
    </w:p>
    <w:p>
      <w:pPr>
        <w:pStyle w:val="ListBullet"/>
        <w:numPr>
          <w:ilvl w:val="0"/>
          <w:numId w:val="1"/>
        </w:numPr>
        <w:rPr/>
      </w:pPr>
      <w:r>
        <w:rPr/>
        <w:t>CHECK de formato: codigo_iso con REGEXP de 2 letras mayúsculas y CUIT con REGEXP de 11 dígitos.</w:t>
      </w:r>
    </w:p>
    <w:p>
      <w:pPr>
        <w:pStyle w:val="ListBullet"/>
        <w:numPr>
          <w:ilvl w:val="0"/>
          <w:numId w:val="1"/>
        </w:numPr>
        <w:rPr/>
      </w:pPr>
      <w:r>
        <w:rPr/>
        <w:t>CHECK de dominio: numero &gt; 0, longitud de codigo_postal entre 4 y 10, y consistencia temporal (fecha_hasta NULL o &gt;= fecha_desde).</w:t>
      </w:r>
    </w:p>
    <w:p>
      <w:pPr>
        <w:pStyle w:val="ListBullet"/>
        <w:numPr>
          <w:ilvl w:val="0"/>
          <w:numId w:val="1"/>
        </w:numPr>
        <w:rPr/>
      </w:pPr>
      <w:r>
        <w:rPr/>
        <w:t>FKs para integridad referencial: provincia→pais, localidad→provincia, domicilio_fiscal→(empresa, localidad, tipo_domicilio).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Pregunta: </w:t>
      </w:r>
      <w:r>
        <w:rPr/>
        <w:t>¿Hay redundancias o inconsistencias conceptuales en el modelo?</w:t>
      </w:r>
    </w:p>
    <w:p>
      <w:pPr>
        <w:pStyle w:val="Normal"/>
        <w:rPr/>
      </w:pPr>
      <w:r>
        <w:rPr>
          <w:b/>
        </w:rPr>
        <w:t>Respuesta :</w:t>
      </w:r>
    </w:p>
    <w:p>
      <w:pPr>
        <w:pStyle w:val="ListBullet"/>
        <w:numPr>
          <w:ilvl w:val="0"/>
          <w:numId w:val="1"/>
        </w:numPr>
        <w:rPr/>
      </w:pPr>
      <w:r>
        <w:rPr/>
        <w:t>La normalización geográfica (pais→provincia→localidad) reduce redundancia y evita variaciones de escritura (ej. “Bs As”, “Buenos Aires”).</w:t>
      </w:r>
    </w:p>
    <w:p>
      <w:pPr>
        <w:pStyle w:val="ListBullet"/>
        <w:numPr>
          <w:ilvl w:val="0"/>
          <w:numId w:val="1"/>
        </w:numPr>
        <w:rPr/>
      </w:pPr>
      <w:r>
        <w:rPr/>
        <w:t>tipo_domicilio separa un catálogo estable del dato transaccional, lo que facilita agregar nuevos tipos sin tocar la tabla principal.</w:t>
      </w:r>
    </w:p>
    <w:p>
      <w:pPr>
        <w:pStyle w:val="ListBullet"/>
        <w:numPr>
          <w:ilvl w:val="0"/>
          <w:numId w:val="1"/>
        </w:numPr>
        <w:rPr/>
      </w:pPr>
      <w:r>
        <w:rPr/>
        <w:t>Regla de negocio “un único domicilio principal vigente por empresa” se gestiona a nivel lógica (procedimiento) y se puede reforzar con un índice único/trigger si se necesitara.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Etapa 2 — Generación y carga masiva con SQL puro</w:t>
      </w:r>
    </w:p>
    <w:p>
      <w:pPr>
        <w:pStyle w:val="Normal"/>
        <w:rPr/>
      </w:pPr>
      <w:r>
        <w:rPr>
          <w:b/>
        </w:rPr>
        <w:t xml:space="preserve">Pregunta: </w:t>
      </w:r>
      <w:r>
        <w:rPr/>
        <w:t>¿Qué estrategia conviene para generar volumen grande con SQL puro y mantener coherencia?</w:t>
      </w:r>
    </w:p>
    <w:p>
      <w:pPr>
        <w:pStyle w:val="Normal"/>
        <w:rPr/>
      </w:pPr>
      <w:r>
        <w:rPr>
          <w:b/>
        </w:rPr>
        <w:t>Respuesta:</w:t>
      </w:r>
    </w:p>
    <w:p>
      <w:pPr>
        <w:pStyle w:val="ListBullet"/>
        <w:numPr>
          <w:ilvl w:val="0"/>
          <w:numId w:val="1"/>
        </w:numPr>
        <w:rPr/>
      </w:pPr>
      <w:r>
        <w:rPr/>
        <w:t>Usar CTE recursivo (WITH RECURSIVE) para generar una secuencia (1..N) y luego INSERT…SELECT para poblar empresa en forma set-based.</w:t>
      </w:r>
    </w:p>
    <w:p>
      <w:pPr>
        <w:pStyle w:val="ListBullet"/>
        <w:numPr>
          <w:ilvl w:val="0"/>
          <w:numId w:val="1"/>
        </w:numPr>
        <w:rPr/>
      </w:pPr>
      <w:r>
        <w:rPr/>
        <w:t>Asignar localidades y tipos de domicilio con distribución determinística (MOD) en vez de RAND(), para lograr reproducibilidad (mismo script → mismos resultados).</w:t>
      </w:r>
    </w:p>
    <w:p>
      <w:pPr>
        <w:pStyle w:val="ListBullet"/>
        <w:numPr>
          <w:ilvl w:val="0"/>
          <w:numId w:val="1"/>
        </w:numPr>
        <w:rPr/>
      </w:pPr>
      <w:r>
        <w:rPr/>
        <w:t>Generar domicilios en 1..2 por empresa para respetar cardinalidades del dominio (empresa 1:N domicilio_fiscal).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Pregunta: </w:t>
      </w:r>
      <w:r>
        <w:rPr/>
        <w:t>¿Cómo se garantiza integridad referencial y se detectan errores de carga?</w:t>
      </w:r>
    </w:p>
    <w:p>
      <w:pPr>
        <w:pStyle w:val="Normal"/>
        <w:rPr/>
      </w:pPr>
      <w:r>
        <w:rPr>
          <w:b/>
        </w:rPr>
        <w:t>Respuesta (aplicada al TFI):</w:t>
      </w:r>
    </w:p>
    <w:p>
      <w:pPr>
        <w:pStyle w:val="ListBullet"/>
        <w:numPr>
          <w:ilvl w:val="0"/>
          <w:numId w:val="1"/>
        </w:numPr>
        <w:rPr/>
      </w:pPr>
      <w:r>
        <w:rPr/>
        <w:t>Las FKs obligan a que cada id_localidad/id_tipo_domicilio/id_empresa exista; la generación usa JOINs contra catálogos existentes.</w:t>
      </w:r>
    </w:p>
    <w:p>
      <w:pPr>
        <w:pStyle w:val="ListBullet"/>
        <w:numPr>
          <w:ilvl w:val="0"/>
          <w:numId w:val="1"/>
        </w:numPr>
        <w:rPr/>
      </w:pPr>
      <w:r>
        <w:rPr/>
        <w:t>Verificaciones mínimas: conteos esperados (50k empresas, 75k domicilios), detección de huérfanos con LEFT JOIN + IS NULL (debe dar 0), y distribución por provincia/localidad con GROUP BY.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Etapa 3 — Consultas complejas, vistas y performance</w:t>
      </w:r>
    </w:p>
    <w:p>
      <w:pPr>
        <w:pStyle w:val="Normal"/>
        <w:rPr/>
      </w:pPr>
      <w:r>
        <w:rPr>
          <w:b/>
        </w:rPr>
        <w:t xml:space="preserve">Pregunta: </w:t>
      </w:r>
      <w:r>
        <w:rPr/>
        <w:t>¿Qué consultas aportan valor real y cómo justifico su utilidad?</w:t>
      </w:r>
    </w:p>
    <w:p>
      <w:pPr>
        <w:pStyle w:val="Normal"/>
        <w:rPr/>
      </w:pPr>
      <w:r>
        <w:rPr>
          <w:b/>
        </w:rPr>
        <w:t>Respuesta:</w:t>
      </w:r>
    </w:p>
    <w:p>
      <w:pPr>
        <w:pStyle w:val="ListBullet"/>
        <w:numPr>
          <w:ilvl w:val="0"/>
          <w:numId w:val="1"/>
        </w:numPr>
        <w:rPr/>
      </w:pPr>
      <w:r>
        <w:rPr/>
        <w:t>JOINs para “empresa + domicilio principal + ubicación completa” (soporta listados/etiquetado/reportes).</w:t>
      </w:r>
    </w:p>
    <w:p>
      <w:pPr>
        <w:pStyle w:val="ListBullet"/>
        <w:numPr>
          <w:ilvl w:val="0"/>
          <w:numId w:val="1"/>
        </w:numPr>
        <w:rPr/>
      </w:pPr>
      <w:r>
        <w:rPr/>
        <w:t>GROUP BY + HAVING para ranking/umbrales (ej. provincias con más de X empresas).</w:t>
      </w:r>
    </w:p>
    <w:p>
      <w:pPr>
        <w:pStyle w:val="ListBullet"/>
        <w:numPr>
          <w:ilvl w:val="0"/>
          <w:numId w:val="1"/>
        </w:numPr>
        <w:rPr/>
      </w:pPr>
      <w:r>
        <w:rPr/>
        <w:t>Subconsulta (IN) para filtrar por “provincias populares” (&gt;2000 empresas), útil para segmentación.</w:t>
      </w:r>
    </w:p>
    <w:p>
      <w:pPr>
        <w:pStyle w:val="ListBullet"/>
        <w:numPr>
          <w:ilvl w:val="0"/>
          <w:numId w:val="1"/>
        </w:numPr>
        <w:rPr/>
      </w:pPr>
      <w:r>
        <w:rPr/>
        <w:t>Vista vw_empresas_con_domicilio_principal para reutilizar el JOIN complejo de forma consistente.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Pregunta: </w:t>
      </w:r>
      <w:r>
        <w:rPr/>
        <w:t>¿Cómo decido qué índices crear y cómo los valido?</w:t>
      </w:r>
    </w:p>
    <w:p>
      <w:pPr>
        <w:pStyle w:val="Normal"/>
        <w:rPr/>
      </w:pPr>
      <w:r>
        <w:rPr>
          <w:b/>
        </w:rPr>
        <w:t>Respuesta:</w:t>
      </w:r>
    </w:p>
    <w:p>
      <w:pPr>
        <w:pStyle w:val="ListBullet"/>
        <w:numPr>
          <w:ilvl w:val="0"/>
          <w:numId w:val="1"/>
        </w:numPr>
        <w:rPr/>
      </w:pPr>
      <w:r>
        <w:rPr/>
        <w:t>Indexar columnas usadas en WHERE/JOIN: cuit (búsqueda por igualdad), id_empresa e id_localidad en domicilio_fiscal (acelera JOINs), y codigo_postal (búsquedas/segmentación).</w:t>
      </w:r>
    </w:p>
    <w:p>
      <w:pPr>
        <w:pStyle w:val="ListBullet"/>
        <w:numPr>
          <w:ilvl w:val="0"/>
          <w:numId w:val="1"/>
        </w:numPr>
        <w:rPr/>
      </w:pPr>
      <w:r>
        <w:rPr/>
        <w:t>Validar con EXPLAIN: esperar acceso por índice (type const/ref/range) en lugar de ALL (table scan).</w:t>
      </w:r>
    </w:p>
    <w:p>
      <w:pPr>
        <w:pStyle w:val="ListBullet"/>
        <w:numPr>
          <w:ilvl w:val="0"/>
          <w:numId w:val="1"/>
        </w:numPr>
        <w:rPr/>
      </w:pPr>
      <w:r>
        <w:rPr/>
        <w:t>La mejora se justifica mostrando que el plan usa la key esperada y reduce “rows” estimadas.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Etapa 4 — Seguridad e integridad</w:t>
      </w:r>
    </w:p>
    <w:p>
      <w:pPr>
        <w:pStyle w:val="Normal"/>
        <w:rPr/>
      </w:pPr>
      <w:r>
        <w:rPr>
          <w:b/>
        </w:rPr>
        <w:t xml:space="preserve">Pregunta: </w:t>
      </w:r>
      <w:r>
        <w:rPr/>
        <w:t>¿Cómo aplico el principio de mínimo privilegio en este sistema?</w:t>
      </w:r>
    </w:p>
    <w:p>
      <w:pPr>
        <w:pStyle w:val="Normal"/>
        <w:rPr/>
      </w:pPr>
      <w:r>
        <w:rPr>
          <w:b/>
        </w:rPr>
        <w:t>Respuesta:</w:t>
      </w:r>
    </w:p>
    <w:p>
      <w:pPr>
        <w:pStyle w:val="ListBullet"/>
        <w:numPr>
          <w:ilvl w:val="0"/>
          <w:numId w:val="1"/>
        </w:numPr>
        <w:rPr/>
      </w:pPr>
      <w:r>
        <w:rPr/>
        <w:t>Crear un usuario de aplicación (app_user) y otorgar solo SELECT sobre vistas de reporting.</w:t>
      </w:r>
    </w:p>
    <w:p>
      <w:pPr>
        <w:pStyle w:val="ListBullet"/>
        <w:numPr>
          <w:ilvl w:val="0"/>
          <w:numId w:val="1"/>
        </w:numPr>
        <w:rPr/>
      </w:pPr>
      <w:r>
        <w:rPr/>
        <w:t>Permitir SELECT/INSERT/UPDATE sobre domicilio_fiscal (caso de uso: gestionar domicilios) y evitar permisos sobre empresa directamente.</w:t>
      </w:r>
    </w:p>
    <w:p>
      <w:pPr>
        <w:pStyle w:val="ListBullet"/>
        <w:numPr>
          <w:ilvl w:val="0"/>
          <w:numId w:val="1"/>
        </w:numPr>
        <w:rPr/>
      </w:pPr>
      <w:r>
        <w:rPr/>
        <w:t>No otorgar DELETE/DROP/ALTER para reducir superficie de daño ante errores o credenciales comprometidas.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Pregunta: </w:t>
      </w:r>
      <w:r>
        <w:rPr/>
        <w:t>¿Qué vistas ayudan a ocultar información sensible y por qué?</w:t>
      </w:r>
    </w:p>
    <w:p>
      <w:pPr>
        <w:pStyle w:val="Normal"/>
        <w:rPr/>
      </w:pPr>
      <w:r>
        <w:rPr>
          <w:b/>
        </w:rPr>
        <w:t>Respuesta:</w:t>
      </w:r>
    </w:p>
    <w:p>
      <w:pPr>
        <w:pStyle w:val="ListBullet"/>
        <w:numPr>
          <w:ilvl w:val="0"/>
          <w:numId w:val="1"/>
        </w:numPr>
        <w:rPr/>
      </w:pPr>
      <w:r>
        <w:rPr/>
        <w:t>vw_empresas_cuit_enmascarado expone CUIT en forma parcial (**** + últimos 4), evitando exponer el identificador completo.</w:t>
      </w:r>
    </w:p>
    <w:p>
      <w:pPr>
        <w:pStyle w:val="ListBullet"/>
        <w:numPr>
          <w:ilvl w:val="0"/>
          <w:numId w:val="1"/>
        </w:numPr>
        <w:rPr/>
      </w:pPr>
      <w:r>
        <w:rPr/>
        <w:t>Vistas de reporting (por provincia / activas recientes) reducen necesidad de acceso directo a tablas y centralizan lógica.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Pregunta: </w:t>
      </w:r>
      <w:r>
        <w:rPr/>
        <w:t>¿Cómo demuestro consulta segura/anti-inyección en este contexto?</w:t>
      </w:r>
    </w:p>
    <w:p>
      <w:pPr>
        <w:pStyle w:val="Normal"/>
        <w:rPr/>
      </w:pPr>
      <w:r>
        <w:rPr>
          <w:b/>
        </w:rPr>
        <w:t>Respuesta:</w:t>
      </w:r>
    </w:p>
    <w:p>
      <w:pPr>
        <w:pStyle w:val="ListBullet"/>
        <w:numPr>
          <w:ilvl w:val="0"/>
          <w:numId w:val="1"/>
        </w:numPr>
        <w:rPr/>
      </w:pPr>
      <w:r>
        <w:rPr/>
        <w:t>Evitar SQL dinámico concatenando strings; usar consultas parametrizadas (PreparedStatement en Java) o procedimientos almacenados con parámetros IN.</w:t>
      </w:r>
    </w:p>
    <w:p>
      <w:pPr>
        <w:pStyle w:val="ListBullet"/>
        <w:numPr>
          <w:ilvl w:val="0"/>
          <w:numId w:val="1"/>
        </w:numPr>
        <w:rPr/>
      </w:pPr>
      <w:r>
        <w:rPr/>
        <w:t>Ejemplo de intento malicioso: "' OR 1=1 --". Con parámetros, el motor lo trata como dato literal y no altera la lógica del WHERE.</w:t>
      </w:r>
    </w:p>
    <w:p>
      <w:pPr>
        <w:pStyle w:val="ListBullet"/>
        <w:numPr>
          <w:ilvl w:val="0"/>
          <w:numId w:val="1"/>
        </w:numPr>
        <w:rPr/>
      </w:pPr>
      <w:r>
        <w:rPr/>
        <w:t>Complementar con privilegios: aunque hubiera inyección, app_user no puede leer tabla empresa ni ejecutar operaciones destructivas.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Etapa 5 — Concurrencia y transacciones</w:t>
      </w:r>
    </w:p>
    <w:p>
      <w:pPr>
        <w:pStyle w:val="Normal"/>
        <w:rPr/>
      </w:pPr>
      <w:r>
        <w:rPr>
          <w:b/>
        </w:rPr>
        <w:t xml:space="preserve">Pregunta: </w:t>
      </w:r>
      <w:r>
        <w:rPr/>
        <w:t>¿Qué observaciones clave debo explicar al simular un deadlock?</w:t>
      </w:r>
    </w:p>
    <w:p>
      <w:pPr>
        <w:pStyle w:val="Normal"/>
        <w:rPr/>
      </w:pPr>
      <w:r>
        <w:rPr>
          <w:b/>
        </w:rPr>
        <w:t>Respuesta:</w:t>
      </w:r>
    </w:p>
    <w:p>
      <w:pPr>
        <w:pStyle w:val="ListBullet"/>
        <w:numPr>
          <w:ilvl w:val="0"/>
          <w:numId w:val="1"/>
        </w:numPr>
        <w:rPr/>
      </w:pPr>
      <w:r>
        <w:rPr/>
        <w:t>Un deadlock ocurre cuando dos transacciones bloquean recursos en orden inverso y cada una espera a la otra.</w:t>
      </w:r>
    </w:p>
    <w:p>
      <w:pPr>
        <w:pStyle w:val="ListBullet"/>
        <w:numPr>
          <w:ilvl w:val="0"/>
          <w:numId w:val="1"/>
        </w:numPr>
        <w:rPr/>
      </w:pPr>
      <w:r>
        <w:rPr/>
        <w:t>En InnoDB, MySQL detecta el deadlock y aborta una transacción (error 1213 / SQLSTATE 40001) para liberar el sistema.</w:t>
      </w:r>
    </w:p>
    <w:p>
      <w:pPr>
        <w:pStyle w:val="ListBullet"/>
        <w:numPr>
          <w:ilvl w:val="0"/>
          <w:numId w:val="1"/>
        </w:numPr>
        <w:rPr/>
      </w:pPr>
      <w:r>
        <w:rPr/>
        <w:t>Buenas prácticas: ordenar accesos a recursos (siempre en el mismo orden) y aplicar retry con backoff en el cliente.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Pregunta: </w:t>
      </w:r>
      <w:r>
        <w:rPr/>
        <w:t>¿Cómo muestro una diferencia observable entre READ COMMITTED y REPEATABLE READ?</w:t>
      </w:r>
    </w:p>
    <w:p>
      <w:pPr>
        <w:pStyle w:val="Normal"/>
        <w:rPr/>
      </w:pPr>
      <w:r>
        <w:rPr>
          <w:b/>
        </w:rPr>
        <w:t>Respuesta:</w:t>
      </w:r>
    </w:p>
    <w:p>
      <w:pPr>
        <w:pStyle w:val="ListBullet"/>
        <w:numPr>
          <w:ilvl w:val="0"/>
          <w:numId w:val="1"/>
        </w:numPr>
        <w:rPr/>
      </w:pPr>
      <w:r>
        <w:rPr/>
        <w:t>En READ COMMITTED, dentro de una misma transacción, un segundo SELECT puede ver cambios confirmados por otra sesión (lectura no repetible / posibles phantoms).</w:t>
      </w:r>
    </w:p>
    <w:p>
      <w:pPr>
        <w:pStyle w:val="ListBullet"/>
        <w:numPr>
          <w:ilvl w:val="0"/>
          <w:numId w:val="1"/>
        </w:numPr>
        <w:rPr/>
      </w:pPr>
      <w:r>
        <w:rPr/>
        <w:t>En REPEATABLE READ (default), la sesión mantiene un snapshot consistente: el segundo SELECT devuelve el mismo resultado aunque otra sesión haya hecho COMMIT.</w:t>
      </w:r>
    </w:p>
    <w:p>
      <w:pPr>
        <w:pStyle w:val="ListBullet"/>
        <w:numPr>
          <w:ilvl w:val="0"/>
          <w:numId w:val="1"/>
        </w:numPr>
        <w:rPr/>
      </w:pPr>
      <w:r>
        <w:rPr/>
        <w:t>La demostración práctica se realiza con dos sesiones: A hace COUNT() en un CP; B inserta y confirma; A repite COUNT() antes de cerrar.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Pregunta: </w:t>
      </w:r>
      <w:r>
        <w:rPr/>
        <w:t>¿Cómo justifico el uso de transacciones en la operación de “cambiar domicilio principal”?</w:t>
      </w:r>
    </w:p>
    <w:p>
      <w:pPr>
        <w:pStyle w:val="Normal"/>
        <w:rPr/>
      </w:pPr>
      <w:r>
        <w:rPr>
          <w:b/>
        </w:rPr>
        <w:t>Respuesta:</w:t>
      </w:r>
    </w:p>
    <w:p>
      <w:pPr>
        <w:pStyle w:val="ListBullet"/>
        <w:numPr>
          <w:ilvl w:val="0"/>
          <w:numId w:val="1"/>
        </w:numPr>
        <w:rPr/>
      </w:pPr>
      <w:r>
        <w:rPr/>
        <w:t>La operación requiere dos pasos: desmarcar principal anterior (UPDATE) e insertar el nuevo principal (INSERT).</w:t>
      </w:r>
    </w:p>
    <w:p>
      <w:pPr>
        <w:pStyle w:val="ListBullet"/>
        <w:numPr>
          <w:ilvl w:val="0"/>
          <w:numId w:val="1"/>
        </w:numPr>
        <w:rPr/>
      </w:pPr>
      <w:r>
        <w:rPr/>
        <w:t>Con transacción, se asegura atomicidad: si el INSERT falla, el UPDATE se revierte (ROLLBACK) y no queda la empresa sin principal o con estados intermedios.</w:t>
      </w:r>
    </w:p>
    <w:p>
      <w:pPr>
        <w:pStyle w:val="ListBullet"/>
        <w:numPr>
          <w:ilvl w:val="0"/>
          <w:numId w:val="1"/>
        </w:numPr>
        <w:rPr/>
      </w:pPr>
      <w:r>
        <w:rPr/>
        <w:t>El procedimiento incluye handler de error para ejecutar ROLLBACK automáticamente ante excepciones.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>
          <w:i/>
          <w:i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LibreOffice/25.2.7.2$Linux_X86_64 LibreOffice_project/520$Build-2</Application>
  <AppVersion>15.0000</AppVersion>
  <Pages>5</Pages>
  <Words>996</Words>
  <Characters>5936</Characters>
  <CharactersWithSpaces>6825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es-AR</dc:language>
  <cp:lastModifiedBy/>
  <dcterms:modified xsi:type="dcterms:W3CDTF">2026-02-16T18:33:19Z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