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SEO-ревью текста: африн спрей назальный купить</w:t>
      </w:r>
    </w:p>
    <w:p>
      <w:pPr>
        <w:spacing w:after="120"/>
      </w:pPr>
      <w:r>
        <w:t xml:space="preserve">Дата: 01.07.2026</w:t>
      </w:r>
    </w:p>
    <w:p>
      <w:pPr>
        <w:spacing w:after="120"/>
      </w:pPr>
      <w:r>
        <w:t xml:space="preserve">URL: https://tabletka.ru/product/afrin-sprey-naz-0-05-15ml-uvlazhnyayushchiy-133267/</w:t>
      </w:r>
    </w:p>
    <w:p>
      <w:pPr>
        <w:spacing w:after="120"/>
      </w:pPr>
      <w:r>
        <w:t xml:space="preserve">Регион: 213 (Москва), топ-5 (расширено до топ-10)</w:t>
      </w:r>
    </w:p>
    <w:p>
      <w:pPr>
        <w:spacing w:after="120"/>
      </w:pPr>
      <w:r>
        <w:t xml:space="preserve">Как получен запрос: H1 страницы — «Африн 0,05% 15 мл спрей назальный увлажняющий». Полная формулировка с дозировкой и объёмом как поисковый запрос дала в выдаче только 1 релевантный результат (слишком специфично), поэтому запрос был обобщён до «африн купить» — по нему выдача содержит полноценный топ-10 карточек того же товара (та же дозировка 0,05%, 15 мл), что и позволило корректно сравнить конкурентов.</w:t>
      </w:r>
    </w:p>
    <w:p>
      <w:pPr>
        <w:spacing w:after="120"/>
      </w:pPr>
      <w:r>
        <w:t xml:space="preserve">Конкуренты: из топ-10 удалось извлечь текст для 3 источников — apteka.ru (карточка, короткое описание + показания), uteka.ru (карточка с полной официальной инструкцией: состав, фармакодинамика/фармакокинетика, показания, побочные, взаимодействие), eapteka.ru (карточка с инструкцией и авторским маркетинговым описанием бренда). Остальные 7 (apteka-april.ru, zdravcity.ru, stolichki.ru, megapteka.ru, gorzdrav.org, ozon.ru, maksavit.ru) вернули 403/503 или JS-антибот и были недоступны без браузера с реальной пользовательской сессией.</w:t>
      </w:r>
    </w:p>
    <w:p>
      <w:pPr>
        <w:pStyle w:val="Heading2"/>
        <w:spacing w:after="120" w:before="240"/>
      </w:pPr>
      <w:r>
        <w:t xml:space="preserve">Итоговая оценка: 60% — Не проходит порог 85%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190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Ось</w:t>
            </w:r>
          </w:p>
        </w:tc>
        <w:tc>
          <w:tcPr>
            <w:tcW w:type="dxa" w:w="1400"/>
            <w:shd w:fill="D9D9D9" w:val="clear"/>
          </w:tcPr>
          <w:p>
            <w:r>
              <w:rPr>
                <w:b/>
                <w:bCs/>
              </w:rPr>
              <w:t xml:space="preserve">Вес</w:t>
            </w:r>
          </w:p>
        </w:tc>
        <w:tc>
          <w:tcPr>
            <w:tcW w:type="dxa" w:w="1600"/>
            <w:shd w:fill="D9D9D9" w:val="clear"/>
          </w:tcPr>
          <w:p>
            <w:r>
              <w:rPr>
                <w:b/>
                <w:bCs/>
              </w:rPr>
              <w:t xml:space="preserve">Балл (0-100)</w:t>
            </w:r>
          </w:p>
        </w:tc>
        <w:tc>
          <w:tcPr>
            <w:tcW w:type="dxa" w:w="1900"/>
            <w:shd w:fill="D9D9D9" w:val="clear"/>
          </w:tcPr>
          <w:p>
            <w:r>
              <w:rPr>
                <w:b/>
                <w:bCs/>
              </w:rPr>
              <w:t xml:space="preserve">Вклад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Соответствие запросу и интенту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70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21.0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Полнота тематического покрытия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35%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55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19.3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Ключевые слова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25%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11.3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Структура и объём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80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8.0</w:t>
            </w:r>
          </w:p>
        </w:tc>
      </w:tr>
    </w:tbl>
    <w:p>
      <w:pPr>
        <w:pStyle w:val="Heading2"/>
        <w:spacing w:after="120" w:before="240"/>
      </w:pPr>
      <w:r>
        <w:t xml:space="preserve">Соответствие запросу и интенту</w:t>
      </w:r>
    </w:p>
    <w:p>
      <w:pPr>
        <w:spacing w:after="120"/>
      </w:pPr>
      <w:r>
        <w:t xml:space="preserve">Топ по запросу — карточки того же товара на других площадках, формат страницы tabletka.ru полностью соответствует. У страницы уже есть содержательная инструкция (способ применения, противопоказания, побочные действия, взаимодействие, состав, особые указания, передозировка) — это заметно лучше, чем у пустых категорийных страниц из предыдущих ревью. Но не хватает раздела «Показания к применению», который есть у всех 3 конкурентов и напрямую отвечает на вопрос «от чего этот спрей», прежде чем читатель дойдёт до дозировок и противопоказаний.</w:t>
      </w:r>
    </w:p>
    <w:p>
      <w:pPr>
        <w:pStyle w:val="Heading2"/>
        <w:spacing w:after="120" w:before="240"/>
      </w:pPr>
      <w:r>
        <w:t xml:space="preserve">Полнота тематического покрытия</w:t>
      </w:r>
    </w:p>
    <w:p>
      <w:pPr>
        <w:spacing w:after="120"/>
      </w:pPr>
      <w:r>
        <w:t xml:space="preserve">Из типовых разделов инструкции на странице раскрыты: способ применения и дозы, противопоказания, побочные действия, взаимодействие, условия хранения, особые указания, передозировка, влияние на вождение, состав. Не раскрыты: показания к применению (есть у всех 3 конкурентов), фармакодинамика/фармакокинетика — механизм действия (есть у 2 из 3, включая объяснение, почему спрей «не стекает в горло» и держится до 12 часов).</w:t>
      </w:r>
    </w:p>
    <w:p>
      <w:pPr>
        <w:pStyle w:val="Heading2"/>
        <w:spacing w:after="120" w:before="240"/>
      </w:pPr>
      <w:r>
        <w:t xml:space="preserve">Ключевые слова</w:t>
      </w:r>
    </w:p>
    <w:p>
      <w:pPr>
        <w:spacing w:after="120"/>
      </w:pPr>
      <w:r>
        <w:t xml:space="preserve">Покрытие запроса — 75% (нет слова «купить» в тексте инструкции, что ожидаемо для медицинского раздела карточки — это устраняется через кнопку/CTA, а не через правку инструкции). Из терминов, общих для всех 3 конкурентов, 33 отсутствуют на странице полностью — почти все они относятся именно к разделу «Показания» (насморк, аллергический, синусит, евстахиит, отит, отёк, пазуха).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000"/>
      </w:tblGrid>
      <w:tr>
        <w:tc>
          <w:tcPr>
            <w:tcW w:type="dxa" w:w="3200"/>
            <w:shd w:fill="D9D9D9" w:val="clear"/>
          </w:tcPr>
          <w:p>
            <w:r>
              <w:rPr>
                <w:b/>
                <w:bCs/>
              </w:rPr>
              <w:t xml:space="preserve">Ключ</w:t>
            </w:r>
          </w:p>
        </w:tc>
        <w:tc>
          <w:tcPr>
            <w:tcW w:type="dxa" w:w="2900"/>
            <w:shd w:fill="D9D9D9" w:val="clear"/>
          </w:tcPr>
          <w:p>
            <w:r>
              <w:rPr>
                <w:b/>
                <w:bCs/>
              </w:rPr>
              <w:t xml:space="preserve">У конкурентов</w:t>
            </w:r>
          </w:p>
        </w:tc>
        <w:tc>
          <w:tcPr>
            <w:tcW w:type="dxa" w:w="2000"/>
            <w:shd w:fill="D9D9D9" w:val="clear"/>
          </w:tcPr>
          <w:p>
            <w:r>
              <w:rPr>
                <w:b/>
                <w:bCs/>
              </w:rPr>
              <w:t xml:space="preserve">У вас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аллергический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8 вхождений, 3/3 конкурентов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насморк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10 вхождений, 3/3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только в UI (хлебные крошки)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синусит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4 вхождения, 3/3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евстахиит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4 вхождения, 3/3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отит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3 вхождения, 2/3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отёк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4 вхождения, 3/3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придаточный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4 вхождения, 3/3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пазуха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5 вхождений, 3/3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диагностический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2 вхождения, 2/3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только в UI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купить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нет (запрос не покрыт на 25%)</w:t>
            </w:r>
          </w:p>
        </w:tc>
      </w:tr>
    </w:tbl>
    <w:p>
      <w:pPr>
        <w:pStyle w:val="Heading2"/>
        <w:spacing w:after="120" w:before="240"/>
      </w:pPr>
      <w:r>
        <w:t xml:space="preserve">Структура и объём</w:t>
      </w:r>
    </w:p>
    <w:p>
      <w:pPr>
        <w:spacing w:after="120"/>
      </w:pPr>
      <w:r>
        <w:t xml:space="preserve">Объём текста — 440 слов против медианы конкурентов ≈496 слов, разница небольшая. Структура (отдельные подзаголовки по разделам инструкции) в целом совпадает с конкурентами — не хватает одного раздела, а не общей организации текста.</w:t>
      </w:r>
    </w:p>
    <w:p>
      <w:pPr>
        <w:pStyle w:val="Heading2"/>
        <w:spacing w:after="120" w:before="240"/>
      </w:pPr>
      <w:r>
        <w:t xml:space="preserve">Рекомендованные правки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Добавить раздел «Показания к применению» — отсутствует полностью, при этом есть у всех 3 конкурентов и закрывает основной информационный intent запроса («от чего этот спрей»).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Рассмотреть добавление краткого раздела о механизме действия (почему не вытекает из носа, увлажняющий эффект) — это уникальное УТП препарата, которое явно раскрыто у 2 из 3 конкурентов и работает на пользу оси «Полнота покрытия».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Проверить расхождение в возрастной дозировке между источниками (тут: с 6 лет по 2-3 впрыскивания; у части конкурентов дозировка иначе структурирована по возрастным группам 6-10 и 10+) — актуализировать по действующей официальной инструкции производителя, не наша компетенция как SEO-ревью это разрешать.</w:t>
      </w:r>
    </w:p>
    <w:p>
      <w:r>
        <w:br w:type="page"/>
      </w:r>
    </w:p>
    <w:p>
      <w:pPr>
        <w:pStyle w:val="Heading1"/>
      </w:pPr>
      <w:r>
        <w:t xml:space="preserve">Часть 2. Переработанный текст</w:t>
      </w:r>
    </w:p>
    <w:p>
      <w:pPr>
        <w:spacing w:after="120"/>
      </w:pPr>
      <w:r>
        <w:t xml:space="preserve">Легенда: янтарная заливка — новый блок текста; зелёный маркер — внедрённые ключи из рекомендаций. Исходный текст инструкции не изменялся и не подсвечивался — добавлен только отсутствующий раздел «Показания к применению», размещённый по смыслу перед разделом «Способ применения и дозы» (как у всех конкурентов).</w:t>
      </w:r>
    </w:p>
    <w:p>
      <w:pPr>
        <w:spacing w:after="120"/>
      </w:pPr>
      <w:r>
        <w:t xml:space="preserve">Африн 0,05% 15 мл спрей назальный увлажняющий</w:t>
      </w:r>
    </w:p>
    <w:p>
      <w:pPr>
        <w:shd w:fill="FFF2CC" w:val="clear"/>
        <w:spacing w:after="160"/>
      </w:pPr>
      <w:r>
        <w:t xml:space="preserve">Показания к применению. Этот пункт инструкции отвечает на вопрос, при каких состояниях врач может рекомендовать спрей: заложенность носа на фоне простуды и </w:t>
      </w:r>
      <w:r>
        <w:rPr>
          <w:highlight w:val="green"/>
          <w:highlightCs w:val="green"/>
        </w:rPr>
        <w:t xml:space="preserve">насморка</w:t>
      </w:r>
      <w:r>
        <w:t xml:space="preserve"> разной природы (в том числе </w:t>
      </w:r>
      <w:r>
        <w:rPr>
          <w:highlight w:val="green"/>
          <w:highlightCs w:val="green"/>
        </w:rPr>
        <w:t xml:space="preserve">аллергического</w:t>
      </w:r>
      <w:r>
        <w:t xml:space="preserve">), воспаление </w:t>
      </w:r>
      <w:r>
        <w:rPr>
          <w:highlight w:val="green"/>
          <w:highlightCs w:val="green"/>
        </w:rPr>
        <w:t xml:space="preserve">придаточных</w:t>
      </w:r>
      <w:r>
        <w:t xml:space="preserve"> пазух, а также как вспомогательное средство при </w:t>
      </w:r>
      <w:r>
        <w:rPr>
          <w:highlight w:val="green"/>
          <w:highlightCs w:val="green"/>
        </w:rPr>
        <w:t xml:space="preserve">отите</w:t>
      </w:r>
      <w:r>
        <w:t xml:space="preserve"> — чтобы облегчить </w:t>
      </w:r>
      <w:r>
        <w:rPr>
          <w:highlight w:val="green"/>
          <w:highlightCs w:val="green"/>
        </w:rPr>
        <w:t xml:space="preserve">отёк</w:t>
      </w:r>
      <w:r>
        <w:t xml:space="preserve"> в области носоглотки и восстановить нормальный отток. Отдельно препарат может назначаться перед процедурами, требующими осмотра носовых ходов, — снятие </w:t>
      </w:r>
      <w:r>
        <w:rPr>
          <w:highlight w:val="green"/>
          <w:highlightCs w:val="green"/>
        </w:rPr>
        <w:t xml:space="preserve">отёк</w:t>
      </w:r>
      <w:r>
        <w:t xml:space="preserve">а облегчает такую </w:t>
      </w:r>
      <w:r>
        <w:rPr>
          <w:highlight w:val="green"/>
          <w:highlightCs w:val="green"/>
        </w:rPr>
        <w:t xml:space="preserve">диагностику</w:t>
      </w:r>
      <w:r>
        <w:t xml:space="preserve">.</w:t>
      </w:r>
    </w:p>
    <w:p>
      <w:pPr>
        <w:spacing w:after="120"/>
      </w:pPr>
      <w:r>
        <w:t xml:space="preserve">Способ применения и дозы. Интраназально. Перед каждым использованием необходимо энергично встряхивать флакон спрея. Перед первым применением назального спрея необходимо провести его «калибровку» путем нажатия на головку распылителя несколько раз. Взрослым и детям старше 6 лет – по 2-3 впрыскивания в каждый носовой ход с интервалом в 10-12 часов. Кратность применения можно увеличить до 3 раз в сутки у взрослых. Не рекомендуется превышать указанную дозу.</w:t>
      </w:r>
    </w:p>
    <w:p>
      <w:pPr>
        <w:spacing w:after="120"/>
      </w:pPr>
      <w:r>
        <w:t xml:space="preserve">(Остальной текст инструкции — противопоказания, побочные действия, взаимодействие, условия хранения, особые указания, передозировка, влияние на вождение, состав — оставлен без изменений, см. текущую версию страницы.)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2026-07-01T08:46:04.536Z</dcterms:created>
  <dcterms:modified xsi:type="dcterms:W3CDTF">2026-07-01T08:46:04.537Z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