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E4E5"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Dear Editor-in-Chief,</w:t>
      </w:r>
    </w:p>
    <w:p w14:paraId="0A9DF0F0"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r>
    </w:p>
    <w:p w14:paraId="729500AD" w14:textId="4AAF7CD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 xml:space="preserve">Please consider the manuscript entitled </w:t>
      </w:r>
      <w:r>
        <w:rPr>
          <w:rFonts w:ascii="Times New Roman" w:hAnsi="Times New Roman" w:eastAsia="Times New Roman" w:cs="Times New Roman"/>
          <w:b/>
          <w:i w:val="0"/>
          <w:sz w:val="24"/>
        </w:rPr>
        <w:t>“Decision-consequence auditing for surrogate-assisted optimization in expensive engineering design”</w:t>
      </w:r>
      <w:r>
        <w:rPr>
          <w:rFonts w:ascii="Times New Roman" w:hAnsi="Times New Roman" w:eastAsia="Times New Roman" w:cs="Times New Roman"/>
          <w:b w:val="0"/>
          <w:i w:val="0"/>
          <w:sz w:val="24"/>
        </w:rPr>
        <w:t xml:space="preserve"> for publication in </w:t>
      </w:r>
      <w:r>
        <w:rPr>
          <w:rFonts w:ascii="Times New Roman" w:hAnsi="Times New Roman" w:eastAsia="Times New Roman" w:cs="Times New Roman"/>
          <w:b w:val="0"/>
          <w:i/>
          <w:sz w:val="24"/>
        </w:rPr>
        <w:t>Engineering Optimization</w:t>
      </w:r>
      <w:r>
        <w:rPr>
          <w:rFonts w:ascii="Times New Roman" w:hAnsi="Times New Roman" w:eastAsia="Times New Roman" w:cs="Times New Roman"/>
          <w:b w:val="0"/>
          <w:i w:val="0"/>
          <w:sz w:val="24"/>
        </w:rPr>
        <w:t>.</w:t>
      </w:r>
    </w:p>
    <w:p w14:paraId="5947E4BB"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Surrogate-assisted optimization can report credible uncertainty or residual diagnostics without changing candidate ranking or improving a paid engineering decision. The submitted study addresses this gap by auditing the complete path from surrogate information to evaluation allocation, finite-horizon policy performance, and physical-call cost.</w:t>
      </w:r>
    </w:p>
    <w:p w14:paraId="361ECBC0" w14:textId="77777777" w:rsidR="00210419" w:rsidRPr="00210419" w:rsidRDefault="00210419" w:rsidP="00210419">
      <w:pPr>
        <w:widowControl/>
        <w:spacing w:afterLines="50" w:after="156" w:line="360" w:lineRule="exact"/>
        <w:jc w:val="both"/>
        <w:rPr>
          <w:rFonts w:ascii="Times New Roman" w:eastAsia="宋体" w:hAnsi="Times New Roman" w:cs="Times New Roman"/>
          <w:b/>
          <w:bCs/>
          <w:kern w:val="0"/>
          <w:sz w:val="24"/>
          <w14:ligatures w14:val="none"/>
        </w:rPr>
      </w:pPr>
      <w:r>
        <w:rPr>
          <w:rFonts w:ascii="Times New Roman" w:hAnsi="Times New Roman" w:eastAsia="Times New Roman" w:cs="Times New Roman"/>
          <w:b/>
          <w:i w:val="0"/>
          <w:sz w:val="24"/>
        </w:rPr>
        <w:t>Core Scientific Contributions</w:t>
      </w:r>
    </w:p>
    <w:p w14:paraId="567B5B37"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The manuscript's contributions are:</w:t>
      </w:r>
    </w:p>
    <w:p w14:paraId="55673E59" w14:textId="77777777" w:rsidR="00210419" w:rsidRPr="00210419" w:rsidRDefault="00210419" w:rsidP="00210419">
      <w:pPr>
        <w:widowControl/>
        <w:numPr>
          <w:ilvl w:val="0"/>
          <w:numId w:val="1"/>
        </w:numPr>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i w:val="0"/>
          <w:sz w:val="24"/>
        </w:rPr>
        <w:t xml:space="preserve">Decision-path audit: </w:t>
      </w:r>
      <w:r>
        <w:rPr>
          <w:rFonts w:ascii="Times New Roman" w:hAnsi="Times New Roman" w:eastAsia="Times New Roman" w:cs="Times New Roman"/>
          <w:b w:val="0"/>
          <w:i w:val="0"/>
          <w:sz w:val="24"/>
        </w:rPr>
        <w:t>Calibration, structural decision influence, frozen-state utility, closed-loop performance, and total cost are evaluated as distinct evidence levels.</w:t>
      </w:r>
    </w:p>
    <w:p w14:paraId="565B611C" w14:textId="721F15A0" w:rsidR="00210419" w:rsidRPr="00210419" w:rsidRDefault="00210419" w:rsidP="00210419">
      <w:pPr>
        <w:widowControl/>
        <w:numPr>
          <w:ilvl w:val="0"/>
          <w:numId w:val="2"/>
        </w:numPr>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i w:val="0"/>
          <w:sz w:val="24"/>
        </w:rPr>
        <w:t xml:space="preserve">Query allocation by decision equivalence: </w:t>
      </w:r>
      <w:r>
        <w:rPr>
          <w:rFonts w:ascii="Times New Roman" w:hAnsi="Times New Roman" w:eastAsia="Times New Roman" w:cs="Times New Roman"/>
          <w:b w:val="0"/>
          <w:i w:val="0"/>
          <w:sz w:val="24"/>
        </w:rPr>
        <w:t>Identical context-point decisions share deterministic responses, so the same exact immediate-utility report costs 138 paid finite-element solves instead of 480, with a minimality argument for the declared oracle.</w:t>
      </w:r>
    </w:p>
    <w:p w14:paraId="0AA95AFF" w14:textId="168D99C7" w:rsidR="00210419" w:rsidRPr="00210419" w:rsidRDefault="00210419" w:rsidP="00210419">
      <w:pPr>
        <w:widowControl/>
        <w:numPr>
          <w:ilvl w:val="0"/>
          <w:numId w:val="2"/>
        </w:numPr>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i w:val="0"/>
          <w:sz w:val="24"/>
        </w:rPr>
        <w:t xml:space="preserve">Recorded verdicts and engineering validation: </w:t>
      </w:r>
      <w:r>
        <w:rPr>
          <w:rFonts w:ascii="Times New Roman" w:hAnsi="Times New Roman" w:eastAsia="Times New Roman" w:cs="Times New Roman"/>
          <w:b w:val="0"/>
          <w:i w:val="0"/>
          <w:sz w:val="24"/>
        </w:rPr>
        <w:t>One declared promotion rule applied to three frozen acquisition rules returns one promotion, one stop and one held-for-revision verdict; the procedure is applied to 24 BBOB functions, a finite-element beam family, frozen acquisition states and twenty transfer cases at two load positions.</w:t>
      </w:r>
    </w:p>
    <w:p w14:paraId="1E14AABA" w14:textId="77777777" w:rsidR="00210419" w:rsidRPr="00210419" w:rsidRDefault="00210419" w:rsidP="00210419">
      <w:pPr>
        <w:widowControl/>
        <w:spacing w:afterLines="50" w:after="156" w:line="360" w:lineRule="exact"/>
        <w:jc w:val="both"/>
        <w:rPr>
          <w:rFonts w:ascii="Times New Roman" w:eastAsia="宋体" w:hAnsi="Times New Roman" w:cs="Times New Roman"/>
          <w:b/>
          <w:bCs/>
          <w:kern w:val="0"/>
          <w:sz w:val="24"/>
          <w14:ligatures w14:val="none"/>
        </w:rPr>
      </w:pPr>
      <w:r>
        <w:rPr>
          <w:rFonts w:ascii="Times New Roman" w:hAnsi="Times New Roman" w:eastAsia="Times New Roman" w:cs="Times New Roman"/>
          <w:b/>
          <w:i w:val="0"/>
          <w:sz w:val="24"/>
        </w:rPr>
        <w:t>Engineering Optimization Scope Alignment</w:t>
      </w:r>
    </w:p>
    <w:p w14:paraId="19E65CFE"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The study concerns numerical optimization when function evaluations are expensive and surrogate model management determines which simulations are paid for. Its object is the reliability of the decision, not prediction accuracy in isolation, and it claims no optimizer superiority.</w:t>
      </w:r>
    </w:p>
    <w:p w14:paraId="358A3153"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The manuscript contributes directly to two areas within the journal's scope:</w:t>
      </w:r>
    </w:p>
    <w:p w14:paraId="119307B6" w14:textId="77777777" w:rsidR="00210419" w:rsidRPr="00210419" w:rsidRDefault="00210419" w:rsidP="00210419">
      <w:pPr>
        <w:widowControl/>
        <w:numPr>
          <w:ilvl w:val="0"/>
          <w:numId w:val="3"/>
        </w:numPr>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i w:val="0"/>
          <w:sz w:val="24"/>
        </w:rPr>
        <w:t xml:space="preserve">Surrogate model management for expensive optimization: </w:t>
      </w:r>
      <w:r>
        <w:rPr>
          <w:rFonts w:ascii="Times New Roman" w:hAnsi="Times New Roman" w:eastAsia="Times New Roman" w:cs="Times New Roman"/>
          <w:b w:val="0"/>
          <w:i w:val="0"/>
          <w:sz w:val="24"/>
        </w:rPr>
        <w:t>The audit determines whether model-derived information changes ranking, selects a more useful action at a common state, and improves a validated trajectory.</w:t>
      </w:r>
    </w:p>
    <w:p w14:paraId="509B7A54" w14:textId="77777777" w:rsidR="00210419" w:rsidRPr="00210419" w:rsidRDefault="00210419" w:rsidP="00210419">
      <w:pPr>
        <w:widowControl/>
        <w:numPr>
          <w:ilvl w:val="0"/>
          <w:numId w:val="3"/>
        </w:numPr>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i w:val="0"/>
          <w:sz w:val="24"/>
        </w:rPr>
        <w:t xml:space="preserve">Optimization in engineering design: </w:t>
      </w:r>
      <w:r>
        <w:rPr>
          <w:rFonts w:ascii="Times New Roman" w:hAnsi="Times New Roman" w:eastAsia="Times New Roman" w:cs="Times New Roman"/>
          <w:b w:val="0"/>
          <w:i w:val="0"/>
          <w:sz w:val="24"/>
        </w:rPr>
        <w:t>A density-based finite-element beam problem compares residual control, Gaussian-process acquisition, relation-model evolutionary search, and trust-region optimization under explicit evaluation budgets.</w:t>
      </w:r>
    </w:p>
    <w:p w14:paraId="55337A1D" w14:textId="77777777" w:rsidR="00210419" w:rsidRPr="00210419" w:rsidRDefault="00210419" w:rsidP="00210419">
      <w:pPr>
        <w:widowControl/>
        <w:spacing w:afterLines="50" w:after="156" w:line="360" w:lineRule="exact"/>
        <w:jc w:val="both"/>
        <w:rPr>
          <w:rFonts w:ascii="Times New Roman" w:eastAsia="宋体" w:hAnsi="Times New Roman" w:cs="Times New Roman"/>
          <w:b/>
          <w:bCs/>
          <w:kern w:val="0"/>
          <w:sz w:val="24"/>
          <w14:ligatures w14:val="none"/>
        </w:rPr>
      </w:pPr>
      <w:r>
        <w:rPr>
          <w:rFonts w:ascii="Times New Roman" w:hAnsi="Times New Roman" w:eastAsia="Times New Roman" w:cs="Times New Roman"/>
          <w:b/>
          <w:i w:val="0"/>
          <w:sz w:val="24"/>
        </w:rPr>
        <w:t>Reproducibility and Publication Ethics</w:t>
      </w:r>
    </w:p>
    <w:p w14:paraId="32E07CBC"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Frozen protocols, deterministic seed maps, prediction-before-label journals, source hashes and recovery-aware cost ledgers support the reported evidence. The sources and curated records will be released in the project repository upon acceptance and are available to reviewers on request.</w:t>
      </w:r>
    </w:p>
    <w:p w14:paraId="691DF5BC"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The manuscript is original, is not under consideration elsewhere (an earlier version was submitted to Computers, Materials &amp; Continua and rejected there as out of scope), and has been approved by all authors. No conflicts of interest or specific funding are reported. DeepSeek V4.1 Flash (version 1017) was used only for copyediting and language refinement. The authors confirm the originality and accuracy of the content, have checked the tool's terms of use and confirm that this use is suitable for publication, and take full responsibility for the integrity of the whole content, including the accuracy of the references.</w:t>
      </w:r>
    </w:p>
    <w:p w14:paraId="3D692B67"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Thank you for considering this work. The manuscript is intended to provide Engineering Optimization readers with a reproducible way to test whether surrogate information produces valuable engineering decisions before large simulation budgets are committed.</w:t>
      </w:r>
    </w:p>
    <w:p w14:paraId="3736FED1"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r>
    </w:p>
    <w:p w14:paraId="06B2DCCC" w14:textId="13197FC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Sincerely,</w:t>
      </w:r>
    </w:p>
    <w:p w14:paraId="7F45529F" w14:textId="77777777" w:rsidR="00210419" w:rsidRPr="00210419" w:rsidRDefault="00210419" w:rsidP="00210419">
      <w:pPr>
        <w:widowControl/>
        <w:spacing w:afterLines="50" w:after="156"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r>
    </w:p>
    <w:p w14:paraId="6369A0A1" w14:textId="77777777" w:rsidR="00210419" w:rsidRDefault="00210419" w:rsidP="00210419">
      <w:pPr>
        <w:widowControl/>
        <w:spacing w:after="0"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Jeng-Shyang Pan, Ph.D.</w:t>
        <w:br/>
        <w:t>Corresponding author, on behalf of all authors</w:t>
      </w:r>
    </w:p>
    <w:p w14:paraId="743678F3" w14:textId="4F7B75B5" w:rsidR="00210419" w:rsidRDefault="00210419" w:rsidP="00210419">
      <w:pPr>
        <w:widowControl/>
        <w:spacing w:after="0" w:line="360" w:lineRule="exact"/>
        <w:jc w:val="both"/>
        <w:rPr>
          <w:rFonts w:ascii="Times New Roman" w:eastAsia="宋体" w:hAnsi="Times New Roman" w:cs="Times New Roman"/>
          <w:kern w:val="0"/>
          <w:sz w:val="24"/>
          <w14:ligatures w14:val="none"/>
        </w:rPr>
      </w:pPr>
      <w:r>
        <w:rPr>
          <w:rFonts w:ascii="Times New Roman" w:hAnsi="Times New Roman" w:eastAsia="Times New Roman" w:cs="Times New Roman"/>
          <w:b w:val="0"/>
          <w:i w:val="0"/>
          <w:sz w:val="24"/>
        </w:rPr>
        <w:t>School of Computer Science</w:t>
        <w:br/>
        <w:t>School of Artificial Intelligence/School of Future Technology</w:t>
        <w:br/>
        <w:t>Nanjing University of Information Science and Technology</w:t>
      </w:r>
    </w:p>
    <w:p w14:paraId="3FE64B47" w14:textId="35210750" w:rsidR="00210419" w:rsidRPr="00210419" w:rsidRDefault="00210419" w:rsidP="00210419">
      <w:pPr>
        <w:widowControl/>
        <w:spacing w:after="0" w:line="360" w:lineRule="exact"/>
        <w:jc w:val="both"/>
        <w:rPr>
          <w:rFonts w:ascii="Times New Roman" w:eastAsia="宋体" w:hAnsi="Times New Roman" w:cs="Times New Roman" w:hint="eastAsia"/>
          <w:kern w:val="0"/>
          <w:sz w:val="24"/>
          <w14:ligatures w14:val="none"/>
        </w:rPr>
      </w:pPr>
      <w:r>
        <w:rPr>
          <w:rFonts w:ascii="Times New Roman" w:hAnsi="Times New Roman" w:eastAsia="Times New Roman" w:cs="Times New Roman"/>
          <w:b w:val="0"/>
          <w:i w:val="0"/>
          <w:sz w:val="24"/>
        </w:rPr>
        <w:t>Email: 100112@nuist.edu.cn</w:t>
      </w:r>
    </w:p>
    <w:sectPr w:rsidR="00210419" w:rsidRPr="002104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92B"/>
    <w:multiLevelType w:val="multilevel"/>
    <w:tmpl w:val="A5B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40AB7"/>
    <w:multiLevelType w:val="multilevel"/>
    <w:tmpl w:val="6574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26BEC"/>
    <w:multiLevelType w:val="multilevel"/>
    <w:tmpl w:val="FC0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561466">
    <w:abstractNumId w:val="0"/>
  </w:num>
  <w:num w:numId="2" w16cid:durableId="1388604446">
    <w:abstractNumId w:val="2"/>
  </w:num>
  <w:num w:numId="3" w16cid:durableId="4430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19"/>
    <w:rsid w:val="00210419"/>
    <w:rsid w:val="00DB2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086D"/>
  <w15:chartTrackingRefBased/>
  <w15:docId w15:val="{B686BF6B-CBEE-4498-9A26-9B1ED2A1A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04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04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04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104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04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104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04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4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04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4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04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04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0419"/>
    <w:rPr>
      <w:rFonts w:cstheme="majorBidi"/>
      <w:color w:val="2F5496" w:themeColor="accent1" w:themeShade="BF"/>
      <w:sz w:val="28"/>
      <w:szCs w:val="28"/>
    </w:rPr>
  </w:style>
  <w:style w:type="character" w:customStyle="1" w:styleId="50">
    <w:name w:val="标题 5 字符"/>
    <w:basedOn w:val="a0"/>
    <w:link w:val="5"/>
    <w:uiPriority w:val="9"/>
    <w:semiHidden/>
    <w:rsid w:val="00210419"/>
    <w:rPr>
      <w:rFonts w:cstheme="majorBidi"/>
      <w:color w:val="2F5496" w:themeColor="accent1" w:themeShade="BF"/>
      <w:sz w:val="24"/>
    </w:rPr>
  </w:style>
  <w:style w:type="character" w:customStyle="1" w:styleId="60">
    <w:name w:val="标题 6 字符"/>
    <w:basedOn w:val="a0"/>
    <w:link w:val="6"/>
    <w:uiPriority w:val="9"/>
    <w:semiHidden/>
    <w:rsid w:val="00210419"/>
    <w:rPr>
      <w:rFonts w:cstheme="majorBidi"/>
      <w:b/>
      <w:bCs/>
      <w:color w:val="2F5496" w:themeColor="accent1" w:themeShade="BF"/>
    </w:rPr>
  </w:style>
  <w:style w:type="character" w:customStyle="1" w:styleId="70">
    <w:name w:val="标题 7 字符"/>
    <w:basedOn w:val="a0"/>
    <w:link w:val="7"/>
    <w:uiPriority w:val="9"/>
    <w:semiHidden/>
    <w:rsid w:val="00210419"/>
    <w:rPr>
      <w:rFonts w:cstheme="majorBidi"/>
      <w:b/>
      <w:bCs/>
      <w:color w:val="595959" w:themeColor="text1" w:themeTint="A6"/>
    </w:rPr>
  </w:style>
  <w:style w:type="character" w:customStyle="1" w:styleId="80">
    <w:name w:val="标题 8 字符"/>
    <w:basedOn w:val="a0"/>
    <w:link w:val="8"/>
    <w:uiPriority w:val="9"/>
    <w:semiHidden/>
    <w:rsid w:val="00210419"/>
    <w:rPr>
      <w:rFonts w:cstheme="majorBidi"/>
      <w:color w:val="595959" w:themeColor="text1" w:themeTint="A6"/>
    </w:rPr>
  </w:style>
  <w:style w:type="character" w:customStyle="1" w:styleId="90">
    <w:name w:val="标题 9 字符"/>
    <w:basedOn w:val="a0"/>
    <w:link w:val="9"/>
    <w:uiPriority w:val="9"/>
    <w:semiHidden/>
    <w:rsid w:val="00210419"/>
    <w:rPr>
      <w:rFonts w:eastAsiaTheme="majorEastAsia" w:cstheme="majorBidi"/>
      <w:color w:val="595959" w:themeColor="text1" w:themeTint="A6"/>
    </w:rPr>
  </w:style>
  <w:style w:type="paragraph" w:styleId="a3">
    <w:name w:val="Title"/>
    <w:basedOn w:val="a"/>
    <w:next w:val="a"/>
    <w:link w:val="a4"/>
    <w:uiPriority w:val="10"/>
    <w:qFormat/>
    <w:rsid w:val="002104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4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4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4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419"/>
    <w:pPr>
      <w:spacing w:before="160"/>
      <w:jc w:val="center"/>
    </w:pPr>
    <w:rPr>
      <w:i/>
      <w:iCs/>
      <w:color w:val="404040" w:themeColor="text1" w:themeTint="BF"/>
    </w:rPr>
  </w:style>
  <w:style w:type="character" w:customStyle="1" w:styleId="a8">
    <w:name w:val="引用 字符"/>
    <w:basedOn w:val="a0"/>
    <w:link w:val="a7"/>
    <w:uiPriority w:val="29"/>
    <w:rsid w:val="00210419"/>
    <w:rPr>
      <w:i/>
      <w:iCs/>
      <w:color w:val="404040" w:themeColor="text1" w:themeTint="BF"/>
    </w:rPr>
  </w:style>
  <w:style w:type="paragraph" w:styleId="a9">
    <w:name w:val="List Paragraph"/>
    <w:basedOn w:val="a"/>
    <w:uiPriority w:val="34"/>
    <w:qFormat/>
    <w:rsid w:val="00210419"/>
    <w:pPr>
      <w:ind w:left="720"/>
      <w:contextualSpacing/>
    </w:pPr>
  </w:style>
  <w:style w:type="character" w:styleId="aa">
    <w:name w:val="Intense Emphasis"/>
    <w:basedOn w:val="a0"/>
    <w:uiPriority w:val="21"/>
    <w:qFormat/>
    <w:rsid w:val="00210419"/>
    <w:rPr>
      <w:i/>
      <w:iCs/>
      <w:color w:val="2F5496" w:themeColor="accent1" w:themeShade="BF"/>
    </w:rPr>
  </w:style>
  <w:style w:type="paragraph" w:styleId="ab">
    <w:name w:val="Intense Quote"/>
    <w:basedOn w:val="a"/>
    <w:next w:val="a"/>
    <w:link w:val="ac"/>
    <w:uiPriority w:val="30"/>
    <w:qFormat/>
    <w:rsid w:val="00210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0419"/>
    <w:rPr>
      <w:i/>
      <w:iCs/>
      <w:color w:val="2F5496" w:themeColor="accent1" w:themeShade="BF"/>
    </w:rPr>
  </w:style>
  <w:style w:type="character" w:styleId="ad">
    <w:name w:val="Intense Reference"/>
    <w:basedOn w:val="a0"/>
    <w:uiPriority w:val="32"/>
    <w:qFormat/>
    <w:rsid w:val="00210419"/>
    <w:rPr>
      <w:b/>
      <w:bCs/>
      <w:smallCaps/>
      <w:color w:val="2F5496" w:themeColor="accent1" w:themeShade="BF"/>
      <w:spacing w:val="5"/>
    </w:rPr>
  </w:style>
  <w:style w:type="character" w:styleId="ae">
    <w:name w:val="Strong"/>
    <w:basedOn w:val="a0"/>
    <w:uiPriority w:val="22"/>
    <w:qFormat/>
    <w:rsid w:val="00210419"/>
    <w:rPr>
      <w:b/>
      <w:bCs/>
    </w:rPr>
  </w:style>
  <w:style w:type="character" w:styleId="af">
    <w:name w:val="Hyperlink"/>
    <w:basedOn w:val="a0"/>
    <w:uiPriority w:val="99"/>
    <w:unhideWhenUsed/>
    <w:rsid w:val="00210419"/>
    <w:rPr>
      <w:color w:val="0563C1" w:themeColor="hyperlink"/>
      <w:u w:val="single"/>
    </w:rPr>
  </w:style>
  <w:style w:type="character" w:styleId="af0">
    <w:name w:val="Unresolved Mention"/>
    <w:basedOn w:val="a0"/>
    <w:uiPriority w:val="99"/>
    <w:semiHidden/>
    <w:unhideWhenUsed/>
    <w:rsid w:val="00210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100112@nuist.edu.cn" TargetMode="External"/><Relationship Id="rId5" Type="http://schemas.openxmlformats.org/officeDocument/2006/relationships/hyperlink" Target="mailto:jengshyangp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Engineering Optimization</dc:title>
  <dc:subject/>
  <dc:creator>Jeng-Shyang Pan</dc:creator>
  <cp:keywords/>
  <dc:description/>
  <cp:lastModifiedBy>Jeng-Shyang Pan</cp:lastModifiedBy>
  <cp:revision>1</cp:revision>
  <dcterms:created xsi:type="dcterms:W3CDTF">2026-07-27T14:35:00Z</dcterms:created>
  <dcterms:modified xsi:type="dcterms:W3CDTF">2026-07-27T14:43:00Z</dcterms:modified>
</cp:coreProperties>
</file>