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val="0"/>
        <w:spacing w:line="480" w:lineRule="auto"/>
        <w:jc w:val="center"/>
      </w:pPr>
      <w:r>
        <w:rPr>
          <w:rFonts w:ascii="Times New Roman" w:hAnsi="Times New Roman"/>
          <w:b/>
          <w:color w:val="000000"/>
          <w:sz w:val="20"/>
        </w:rPr>
        <w:t>ARTICLE</w:t>
      </w:r>
    </w:p>
    <w:p>
      <w:pPr>
        <w:pStyle w:val="Title"/>
        <w:keepNext w:val="0"/>
        <w:spacing w:line="480" w:lineRule="auto"/>
        <w:jc w:val="center"/>
      </w:pPr>
      <w:r>
        <w:rPr>
          <w:rFonts w:ascii="Times New Roman" w:hAnsi="Times New Roman"/>
          <w:b/>
          <w:color w:val="000000"/>
          <w:sz w:val="32"/>
        </w:rPr>
        <w:t>Decision-consequence auditing for surrogate-assisted optimization in expensive engineering design</w:t>
      </w:r>
    </w:p>
    <w:p>
      <w:pPr>
        <w:keepNext w:val="0"/>
        <w:spacing w:line="480" w:lineRule="auto"/>
        <w:jc w:val="center"/>
      </w:pPr>
      <w:r>
        <w:rPr>
          <w:rFonts w:ascii="Times New Roman" w:hAnsi="Times New Roman"/>
          <w:b/>
          <w:color w:val="000000"/>
          <w:sz w:val="22"/>
        </w:rPr>
        <w:t>Shu-Chuan Chu¹˒², Ya-Yu Zhang¹, Zhenyu Meng³, Jia Zhao⁴, and Jeng-Shyang Pan¹˒²˒*</w:t>
      </w:r>
    </w:p>
    <w:p>
      <w:pPr>
        <w:keepNext w:val="0"/>
        <w:spacing w:line="480" w:lineRule="auto"/>
        <w:jc w:val="center"/>
      </w:pPr>
      <w:r>
        <w:rPr>
          <w:rFonts w:ascii="Times New Roman" w:hAnsi="Times New Roman"/>
          <w:color w:val="000000"/>
          <w:sz w:val="18"/>
        </w:rPr>
        <w:t>¹ School of Computer Science, Nanjing University of Information Science and Technology, Nanjing 210044, Jiangsu, China</w:t>
      </w:r>
    </w:p>
    <w:p>
      <w:pPr>
        <w:keepNext w:val="0"/>
        <w:spacing w:line="480" w:lineRule="auto"/>
        <w:jc w:val="center"/>
      </w:pPr>
      <w:r>
        <w:rPr>
          <w:rFonts w:ascii="Times New Roman" w:hAnsi="Times New Roman"/>
          <w:color w:val="000000"/>
          <w:sz w:val="18"/>
        </w:rPr>
        <w:t>² School of Artificial Intelligence/School of Future Technology, Nanjing University of Information Science and Technology, Nanjing 210044, Jiangsu, China</w:t>
      </w:r>
    </w:p>
    <w:p>
      <w:pPr>
        <w:keepNext w:val="0"/>
        <w:spacing w:line="480" w:lineRule="auto"/>
        <w:jc w:val="center"/>
      </w:pPr>
      <w:r>
        <w:rPr>
          <w:rFonts w:ascii="Times New Roman" w:hAnsi="Times New Roman"/>
          <w:color w:val="000000"/>
          <w:sz w:val="18"/>
        </w:rPr>
        <w:t>³ School of Computer Science and Software, Zhaoqing University, Zhaoqing 526061, China</w:t>
      </w:r>
    </w:p>
    <w:p>
      <w:pPr>
        <w:keepNext w:val="0"/>
        <w:spacing w:line="480" w:lineRule="auto"/>
        <w:jc w:val="center"/>
      </w:pPr>
      <w:r>
        <w:rPr>
          <w:rFonts w:ascii="Times New Roman" w:hAnsi="Times New Roman"/>
          <w:color w:val="000000"/>
          <w:sz w:val="18"/>
        </w:rPr>
        <w:t>⁴ School of Information Engineering, Jiangxi University of Water Resources and Electric Power, Nanchang 330099, China</w:t>
      </w:r>
    </w:p>
    <w:p>
      <w:pPr>
        <w:keepNext w:val="0"/>
        <w:spacing w:line="480" w:lineRule="auto"/>
        <w:jc w:val="center"/>
      </w:pPr>
      <w:r>
        <w:rPr>
          <w:rFonts w:ascii="Times New Roman" w:hAnsi="Times New Roman"/>
          <w:color w:val="000000"/>
          <w:sz w:val="18"/>
        </w:rPr>
        <w:t>* Corresponding author: Jeng-Shyang Pan, 100112@nuist.edu.cn</w:t>
      </w:r>
    </w:p>
    <w:p>
      <w:pPr>
        <w:keepNext w:val="0"/>
        <w:spacing w:line="480" w:lineRule="auto"/>
        <w:jc w:val="center"/>
      </w:pPr>
      <w:r>
        <w:rPr>
          <w:rFonts w:ascii="Times New Roman" w:hAnsi="Times New Roman"/>
          <w:i/>
          <w:color w:val="000000"/>
          <w:sz w:val="17"/>
        </w:rPr>
        <w:t>ORCID: S. Chu, 0000-0003-2117-0618; Y.-Y. Zhang, 0009-0001-2272-4654; Z. Meng, 0000-0002-1466-8082; Jia Zhao, 0000-0002-3652-1903; J.-S. Pan, 0000-0002-3128-9025</w:t>
      </w:r>
    </w:p>
    <w:p>
      <w:pPr>
        <w:keepNext/>
        <w:spacing w:line="480" w:lineRule="auto"/>
        <w:jc w:val="left"/>
      </w:pPr>
      <w:r>
        <w:rPr>
          <w:rFonts w:ascii="Times New Roman" w:hAnsi="Times New Roman"/>
          <w:b/>
          <w:color w:val="000000"/>
          <w:sz w:val="24"/>
        </w:rPr>
        <w:t>Abstract</w:t>
      </w:r>
    </w:p>
    <w:p>
      <w:pPr>
        <w:keepNext w:val="0"/>
        <w:spacing w:line="480" w:lineRule="auto"/>
        <w:jc w:val="both"/>
      </w:pPr>
      <w:r>
        <w:rPr>
          <w:rFonts w:ascii="Times New Roman" w:hAnsi="Times New Roman"/>
          <w:b w:val="0"/>
          <w:i w:val="0"/>
          <w:color w:val="000000"/>
          <w:sz w:val="22"/>
        </w:rPr>
        <w:t>Surrogate-assisted engineering optimization spends its budget on decisions as much as on predictions: a monitoring signal can redirect finite-element analyses without improving the design while its calibration diagnostic appears satisfactory. A decision-consequence audit is developed as a decision-support procedure that separates three questions: calibration on the data a signal encounters, change in candidate selection and immediate utility at a common optimization state, and improvement of the closed loop. Exact decision equivalence supplies the allocation rule: reporting every immediate utility exactly needs one query per distinct context-point pair, so a frozen 120-state intervention is reported from 138 paid finite-element solves instead of 480, and no exact procedure can do so with fewer queries. Applied to a temporal residual monitor, the audit shows that its candidate-independent additive correction preserves exploitation ranking, so the effective pathway is an exploration controller rather than a distinct exploitation ranking. Across all 24 noiseless Black-Box Optimization Benchmarking (BBOB) functions in dimensions 10, 20 and 40 the controller fails the prespecified optimization-benefit gate while its selected-point failure fraction stays near the nominal level. A 200-evaluation finite-element beam study with eight methods and ten repeats reaches the same conclusion; under a shared 58-point initialization, Gaussian-process probability of improvement (GP-PI), author-code relation-model-assisted evolutionary search (DRSO) and trust-region Bayesian optimization (TuRBO-1) reduce median compliance by 51.7%, 74.7% and 75.1%, whereas Gaussian-process expected improvement (GP-EI) and fixed-multiplier GP upper confidence bound (GP-UCB) show none. One declared promotion rule over the three recorded acquisition rules returns one promotion, one stop and one held-for-revision verdict: the procedure rejects an unhelpful mechanism and certifies a usable one before large simulation budgets are committed.</w:t>
      </w:r>
    </w:p>
    <w:p>
      <w:pPr>
        <w:keepNext w:val="0"/>
        <w:spacing w:line="480" w:lineRule="auto"/>
        <w:jc w:val="both"/>
      </w:pPr>
      <w:r>
        <w:rPr>
          <w:rFonts w:ascii="Times New Roman" w:hAnsi="Times New Roman"/>
          <w:b/>
          <w:color w:val="000000"/>
          <w:sz w:val="20"/>
        </w:rPr>
        <w:t xml:space="preserve">Keywords: </w:t>
      </w:r>
      <w:r>
        <w:rPr>
          <w:rFonts w:ascii="Times New Roman" w:hAnsi="Times New Roman"/>
          <w:b w:val="0"/>
          <w:i w:val="0"/>
          <w:color w:val="000000"/>
          <w:sz w:val="20"/>
        </w:rPr>
        <w:t>expensive engineering optimization; surrogate model management; decision auditing; evaluation allocation; finite-element design</w:t>
      </w:r>
    </w:p>
    <w:p>
      <w:pPr>
        <w:pStyle w:val="Heading1"/>
        <w:keepNext/>
        <w:spacing w:line="480" w:lineRule="auto"/>
        <w:jc w:val="left"/>
      </w:pPr>
      <w:r>
        <w:rPr>
          <w:rFonts w:ascii="Times New Roman" w:hAnsi="Times New Roman"/>
          <w:b/>
          <w:i w:val="0"/>
          <w:color w:val="000000"/>
          <w:sz w:val="22"/>
        </w:rPr>
        <w:t>1 Introduction</w:t>
      </w:r>
    </w:p>
    <w:p>
      <w:pPr>
        <w:keepNext w:val="0"/>
        <w:spacing w:line="480" w:lineRule="auto"/>
        <w:ind w:firstLine="317"/>
        <w:jc w:val="both"/>
      </w:pPr>
      <w:r>
        <w:rPr>
          <w:rFonts w:ascii="Times New Roman" w:hAnsi="Times New Roman"/>
          <w:b w:val="0"/>
          <w:i w:val="0"/>
          <w:color w:val="000000"/>
          <w:sz w:val="22"/>
        </w:rPr>
        <w:t>Many engineering optimization problems depend on simulations, model training, or experiments whose evaluations dominate the available computational or physical budget. Surrogate-assisted evolutionary algorithms and Bayesian optimization reduce this burden by fitting an inexpensive predictive model and deciding which candidate should receive the next exact evaluation [1-5]. Model management is therefore the operational core of surrogate assistance: surrogate prediction is converted into an acquisition or management decision, that decision allocates a paid evaluation, and the resulting label changes the subsequent optimization state. A reliable predictor is useful only when this chain improves the use of the available budget.</w:t>
      </w:r>
    </w:p>
    <w:p>
      <w:pPr>
        <w:keepNext w:val="0"/>
        <w:spacing w:line="480" w:lineRule="auto"/>
        <w:ind w:firstLine="317"/>
        <w:jc w:val="both"/>
      </w:pPr>
      <w:r>
        <w:rPr>
          <w:rFonts w:ascii="Times New Roman" w:hAnsi="Times New Roman"/>
          <w:b w:val="0"/>
          <w:i w:val="0"/>
          <w:color w:val="000000"/>
          <w:sz w:val="22"/>
        </w:rPr>
        <w:t>This distinction matters directly in simulation-based engineering design. A monitoring signal can redirect finite-element analyses without improving structural performance, even when its aggregate error diagnostic appears satisfactory. Reliable regional Kriging search has connected uncertainty to restricted search regions and infill decisions [35], while diagnostic benchmarking has exposed differences between standard-test and real-application algorithm performance [34]. These studies motivate inspection of the route from surrogate information to paid engineering evaluations. The present beam application examines this route within a constrained design family; broader relevance to materials, manufacturing, robotics, and neural architecture search remains motivation rather than application validation in this study.</w:t>
      </w:r>
    </w:p>
    <w:p>
      <w:pPr>
        <w:keepNext w:val="0"/>
        <w:spacing w:line="480" w:lineRule="auto"/>
        <w:ind w:firstLine="317"/>
        <w:jc w:val="both"/>
      </w:pPr>
      <w:r>
        <w:rPr>
          <w:rFonts w:ascii="Times New Roman" w:hAnsi="Times New Roman"/>
          <w:b w:val="0"/>
          <w:i w:val="0"/>
          <w:color w:val="000000"/>
          <w:sz w:val="22"/>
        </w:rPr>
        <w:t>Recent methods use Gaussian-process uncertainty, ensembles, local models, temporal information, or adaptive infill rules to balance exploitation and exploration [6-11]. Online and conformal calibration research asks whether predictive distributions or bounds retain their intended reliability under sequential selection [12-15]. Calibration alone, however, does not establish that a signal changes candidate ordering, selects a better candidate at the same state, or improves a closed-loop trajectory after the surrogate and candidate distribution adapt. These properties form a decision pathway and must be evaluated separately.</w:t>
      </w:r>
    </w:p>
    <w:p>
      <w:pPr>
        <w:keepNext w:val="0"/>
        <w:spacing w:line="480" w:lineRule="auto"/>
        <w:ind w:firstLine="317"/>
        <w:jc w:val="both"/>
      </w:pPr>
      <w:r>
        <w:rPr>
          <w:rFonts w:ascii="Times New Roman" w:hAnsi="Times New Roman"/>
          <w:b w:val="0"/>
          <w:i w:val="0"/>
          <w:color w:val="000000"/>
          <w:sz w:val="22"/>
        </w:rPr>
        <w:t>A decision-consequence auditing framework is developed for that purpose. The representative temporal post-selection error monitor records predictions before labels, estimates an empirical residual bound, and converts failures, bound width, and stagnation into spatial exploration. The framework is not tied to that monitor: it accepts any surrogate, candidate generator, monitoring signal, and acquisition or model-management rule whose pathway to paid evaluations can be inspected. The monitored controller supplies a demanding case because its calibration diagnostic appears plausible while its decision pathway contains an algebraically redundant exploitation term.</w:t>
      </w:r>
    </w:p>
    <w:p>
      <w:pPr>
        <w:keepNext w:val="0"/>
        <w:spacing w:line="480" w:lineRule="auto"/>
        <w:ind w:firstLine="317"/>
        <w:jc w:val="both"/>
      </w:pPr>
      <w:r>
        <w:rPr>
          <w:rFonts w:ascii="Times New Roman" w:hAnsi="Times New Roman"/>
          <w:b w:val="0"/>
          <w:i w:val="0"/>
          <w:color w:val="000000"/>
          <w:sz w:val="22"/>
        </w:rPr>
        <w:t>The contribution is a decision-support procedure and its records rather than an optimizer: it specifies the evidence a surrogate-management claim needs before it can be called an engineering improvement, together with the cost of obtaining that evidence. The four elements are as follows.</w:t>
      </w:r>
    </w:p>
    <w:p>
      <w:pPr>
        <w:keepNext w:val="0"/>
        <w:spacing w:line="480" w:lineRule="auto"/>
        <w:ind w:firstLine="317"/>
        <w:jc w:val="both"/>
      </w:pPr>
      <w:r>
        <w:rPr>
          <w:rFonts w:ascii="Times New Roman" w:hAnsi="Times New Roman"/>
          <w:b w:val="0"/>
          <w:i w:val="0"/>
          <w:color w:val="000000"/>
          <w:sz w:val="22"/>
        </w:rPr>
        <w:t>1. An allocation rule for exact decision reporting gives the formal result. Policies that select the same exact point in the same deterministic objective context share one response, and Proposition 1 establishes the worst-case minimum query count for reporting every immediate utility exactly. The implementation collapses 480 GP control-state choices to 261 within-state distinct choices and then to 138 additional finite-element calls, so the same report costs 138 paid solves instead of 480, and no exact procedure can do so with fewer queries. 2. An executable audit separates structural decision influence, frozen-state intervention effects, finite-horizon policy performance, and complete physical-call cost. Each stage returns an explicit evidence object and an unsupported-claim boundary, so prediction quality is never substituted for optimization value. 3. A recorded-verdict layer applies one declared promotion rule to the three frozen acquisition rules and returns one promotion, one stop and one held-for-revision verdict, so the procedure is shown to discriminate rather than only to reject. Prediction-before-label records, fixed information boundaries and the separated paid-call ledger keep every verdict auditable; the elementary additive-ranking invariant is a screening case, not the mathematical contribution. 4. Beyond the residual-monitor case, a frozen 120-state GP acquisition intervention and twenty separately initialized transfer cases under two previously untested beam load positions test actionable rules and longer horizons. They distinguish zero first-step gain from later policy improvement and quantify the performance loss and extra cost hidden by an unqualified claim of cheaper strategy selection. This evidence remains separate from the original statistical families.</w:t>
      </w:r>
    </w:p>
    <w:p>
      <w:pPr>
        <w:keepNext w:val="0"/>
        <w:spacing w:line="480" w:lineRule="auto"/>
        <w:ind w:firstLine="317"/>
        <w:jc w:val="both"/>
      </w:pPr>
      <w:r>
        <w:rPr>
          <w:rFonts w:ascii="Times New Roman" w:hAnsi="Times New Roman"/>
          <w:b w:val="0"/>
          <w:i w:val="0"/>
          <w:color w:val="000000"/>
          <w:sz w:val="22"/>
        </w:rPr>
        <w:t>Algorithm 1 specifies the audit procedure and its required evidence. The contribution is an implemented intervention-and-verification method for surrogate-management mechanisms; no acquisition function or universally superior strategy selector is introduced. Section 2.3 relates its evidence objects to existing model management, diagnostic benchmarking, and algorithm selection; Sections 6.3-6.5 provide the additional GP evidence. Because every stage returns a costed verdict, the procedure is addressed to engineering design teams that must justify simulation expenditure before a batch of solves is released, not only to benchmark comparison.</w:t>
      </w:r>
    </w:p>
    <w:p>
      <w:pPr>
        <w:keepNext w:val="0"/>
        <w:spacing w:line="480" w:lineRule="auto"/>
        <w:ind w:firstLine="317"/>
        <w:jc w:val="both"/>
      </w:pPr>
      <w:r>
        <w:rPr>
          <w:rFonts w:ascii="Times New Roman" w:hAnsi="Times New Roman"/>
          <w:b w:val="0"/>
          <w:i w:val="0"/>
          <w:color w:val="000000"/>
          <w:sz w:val="22"/>
        </w:rPr>
        <w:t>Here, reliability refers to the credibility and utility of surrogate-management decisions. It does not denote reliability-based design optimization with structural failure probabilities or probabilistic safety constraints.</w:t>
      </w:r>
    </w:p>
    <w:p>
      <w:pPr>
        <w:keepNext w:val="0"/>
        <w:spacing w:line="480" w:lineRule="auto"/>
        <w:ind w:firstLine="317"/>
        <w:jc w:val="both"/>
      </w:pPr>
      <w:r>
        <w:rPr>
          <w:rFonts w:ascii="Times New Roman" w:hAnsi="Times New Roman"/>
          <w:b w:val="0"/>
          <w:i w:val="0"/>
          <w:color w:val="000000"/>
          <w:sz w:val="22"/>
        </w:rPr>
        <w:t>The claims are deliberately bounded. The empirical residual quantile is not presented as a conformal coverage theorem, false-discovery guarantee, regret bound, or universally effective high-dimensional method. The case-study findings concern a deterministic, single-objective setting, the stated surrogate and candidate process, and the tested budgets. The framework itself supplies a structured test procedure; it does not imply that candidate-dependent uncertainty, expected improvement, confidence bounds, restarts, stopping rules, or uncertainty-aware optimization in general are ineffective.</w:t>
      </w:r>
    </w:p>
    <w:p>
      <w:pPr>
        <w:pStyle w:val="Heading1"/>
        <w:keepNext/>
        <w:spacing w:line="480" w:lineRule="auto"/>
        <w:jc w:val="left"/>
      </w:pPr>
      <w:r>
        <w:rPr>
          <w:rFonts w:ascii="Times New Roman" w:hAnsi="Times New Roman"/>
          <w:b/>
          <w:i w:val="0"/>
          <w:color w:val="000000"/>
          <w:sz w:val="22"/>
        </w:rPr>
        <w:t>2 Related Work</w:t>
      </w:r>
    </w:p>
    <w:p>
      <w:pPr>
        <w:pStyle w:val="Heading2"/>
        <w:keepNext/>
        <w:spacing w:line="480" w:lineRule="auto"/>
        <w:jc w:val="left"/>
      </w:pPr>
      <w:r>
        <w:rPr>
          <w:rFonts w:ascii="Times New Roman" w:hAnsi="Times New Roman"/>
          <w:b/>
          <w:i/>
          <w:color w:val="000000"/>
          <w:sz w:val="22"/>
        </w:rPr>
        <w:t>2.1 Surrogate-assisted optimization and engineering applications</w:t>
      </w:r>
    </w:p>
    <w:p>
      <w:pPr>
        <w:keepNext w:val="0"/>
        <w:spacing w:line="480" w:lineRule="auto"/>
        <w:ind w:firstLine="317"/>
        <w:jc w:val="both"/>
      </w:pPr>
      <w:r>
        <w:rPr>
          <w:rFonts w:ascii="Times New Roman" w:hAnsi="Times New Roman"/>
          <w:b w:val="0"/>
          <w:i w:val="0"/>
          <w:color w:val="000000"/>
          <w:sz w:val="22"/>
        </w:rPr>
        <w:t>Surrogate-assisted evolutionary computation has developed a broad range of models and management policies for expensive optimization [1,2]. Early frameworks combined evolutionary search with approximate fitness functions or Gaussian-process surrogates [3,16]. Later work introduced selective ensembles, local/global models, classification-assisted search, and adaptive infill rules [4,5,17-19]. Differential evolution remains a common search engine in this area; the taxonomy and empirical evidence synthesized by Pan et al. [31] show that exponential-crossover behavior depends strongly on operator design and parameter control. A recent survey identifies model construction and model management as separate determinants of performance [2]. Controlled experiments with adjustable surrogate accuracy likewise show that prediction accuracy affects preselection, individual-based, and generation-based management differently [20].</w:t>
      </w:r>
    </w:p>
    <w:p>
      <w:pPr>
        <w:keepNext w:val="0"/>
        <w:spacing w:line="480" w:lineRule="auto"/>
        <w:ind w:firstLine="317"/>
        <w:jc w:val="both"/>
      </w:pPr>
      <w:r>
        <w:rPr>
          <w:rFonts w:ascii="Times New Roman" w:hAnsi="Times New Roman"/>
          <w:b w:val="0"/>
          <w:i w:val="0"/>
          <w:color w:val="000000"/>
          <w:sz w:val="22"/>
        </w:rPr>
        <w:t>Engineering applications show how these ideas enter expensive computational workflows. Hierarchical surrogate evaluation reduces neural-architecture search cost [27], deep surrogate models support multi-objective robotic linkage design [28], and physics-informed Gaussian-process regression with adaptive Bayesian optimization combines finite-element knowledge with welding-parameter selection [29]. Surrogate-assisted particle swarm optimization (PSO) has also been applied to multi-unmanned-aerial-vehicle (multi-UAV) path planning [33]. These studies motivate reliability checks at the decision layer because prediction accuracy and evaluation savings are valuable only when surrogate outputs lead to useful paid evaluations.</w:t>
      </w:r>
    </w:p>
    <w:p>
      <w:pPr>
        <w:keepNext w:val="0"/>
        <w:spacing w:line="480" w:lineRule="auto"/>
        <w:ind w:firstLine="317"/>
        <w:jc w:val="both"/>
      </w:pPr>
      <w:r>
        <w:rPr>
          <w:rFonts w:ascii="Times New Roman" w:hAnsi="Times New Roman"/>
          <w:b w:val="0"/>
          <w:i w:val="0"/>
          <w:color w:val="000000"/>
          <w:sz w:val="22"/>
        </w:rPr>
        <w:t>Uncertainty-aware surrogate-assisted evolutionary algorithms (SAEAs) typically make uncertainty candidate dependent. The boosting Gaussian-process SAEA (BGP-SAEA) combines a boosting framework with Gaussian-process uncertainty [6], while recent large-scale methods use lower-confidence-bound Gaussian-process models and diversity search [7]. For expensive multi-objective optimization, the multilayer-perceptron sparse-Gaussian-process SAEA (MLPSGP-SAEA) combines multilayer-perceptron variable grouping, sparse Gaussian processes, and an adaptive sparse-and-diverse infill criterion [32]. Other work adapts differential-evolution selection to errors in both decision and objective spaces [8], tightens the search space for high-dimensional expensive problems [9], or draws on multiple spatial, temporal, and performance information sources [10]. These mechanisms can change candidate ranking, local search regions, or population updates.</w:t>
      </w:r>
    </w:p>
    <w:p>
      <w:pPr>
        <w:keepNext w:val="0"/>
        <w:spacing w:line="480" w:lineRule="auto"/>
        <w:ind w:firstLine="317"/>
        <w:jc w:val="both"/>
      </w:pPr>
      <w:r>
        <w:rPr>
          <w:rFonts w:ascii="Times New Roman" w:hAnsi="Times New Roman"/>
          <w:b w:val="0"/>
          <w:i w:val="0"/>
          <w:color w:val="000000"/>
          <w:sz w:val="22"/>
        </w:rPr>
        <w:t>Competitive SAEAs also use evolutionary populations and learned relations rather than a scalar acquisition alone. The relation-model-assisted evolutionary algorithm (DRSO) retains unevaluated promising solutions in a relation-model-assisted evolutionary loop to preserve useful population information under expensive-evaluation budgets [30]. Its public author implementation makes it suitable for a source-frozen engineering comparison, while its distinct population mechanism broadens the evidence beyond Gaussian-process acquisitions.</w:t>
      </w:r>
    </w:p>
    <w:p>
      <w:pPr>
        <w:pStyle w:val="Heading2"/>
        <w:keepNext/>
        <w:spacing w:line="480" w:lineRule="auto"/>
        <w:jc w:val="left"/>
      </w:pPr>
      <w:r>
        <w:rPr>
          <w:rFonts w:ascii="Times New Roman" w:hAnsi="Times New Roman"/>
          <w:b/>
          <w:i/>
          <w:color w:val="000000"/>
          <w:sz w:val="22"/>
        </w:rPr>
        <w:t>2.2 Reliability-aware surrogate model management</w:t>
      </w:r>
    </w:p>
    <w:p>
      <w:pPr>
        <w:keepNext w:val="0"/>
        <w:spacing w:line="480" w:lineRule="auto"/>
        <w:ind w:firstLine="317"/>
        <w:jc w:val="both"/>
      </w:pPr>
      <w:r>
        <w:rPr>
          <w:rFonts w:ascii="Times New Roman" w:hAnsi="Times New Roman"/>
          <w:b w:val="0"/>
          <w:i w:val="0"/>
          <w:color w:val="000000"/>
          <w:sz w:val="22"/>
        </w:rPr>
        <w:t>Bayesian optimization has incorporated online calibration. Deshpande et al. [12] calibrate predictive distributions and update them online. Localized online conformal Bayesian optimization constructs spatially varying thresholds and a calibrated posterior [13]. Selection-conditional methods use reference sets under explicit invariance and exchangeability conditions [14]. Temporal conformal prediction has also been considered in surrogate-assisted evolutionary optimization [15]. The cross-model residual journal examined here does not establish the assumptions required by those methods and is treated as an empirical monitor without transferred guarantees.</w:t>
      </w:r>
    </w:p>
    <w:p>
      <w:pPr>
        <w:keepNext/>
        <w:spacing w:line="480" w:lineRule="auto"/>
        <w:jc w:val="center"/>
      </w:pPr>
      <w:r>
        <w:rPr>
          <w:rFonts w:ascii="Times New Roman" w:hAnsi="Times New Roman"/>
          <w:color w:val="000000"/>
          <w:sz w:val="20"/>
        </w:rPr>
        <w:t>Table 1: Scope of representative reliability and model-management approaches.</w:t>
      </w:r>
    </w:p>
    <w:tbl>
      <w:tblPr>
        <w:tblW w:type="auto" w:w="0"/>
        <w:jc w:val="center"/>
        <w:tblLayout w:type="autofit"/>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Pr>
      <w:tblGrid>
        <w:gridCol w:w="2340"/>
        <w:gridCol w:w="2340"/>
        <w:gridCol w:w="2340"/>
        <w:gridCol w:w="2340"/>
      </w:tblGrid>
      <w:tr>
        <w:trPr>
          <w:tblHeader w:val="true"/>
          <w:cantSplit/>
        </w:trPr>
        <w:tc>
          <w:tcPr>
            <w:tcW w:type="dxa" w:w="2340"/>
            <w:vAlign w:val="center"/>
            <w:tcMar>
              <w:top w:w="80" w:type="dxa"/>
              <w:start w:w="90" w:type="dxa"/>
              <w:bottom w:w="80" w:type="dxa"/>
              <w:end w:w="90" w:type="dxa"/>
            </w:tcMar>
            <w:shd w:fill="1F4E78"/>
          </w:tcPr>
          <w:p>
            <w:pPr>
              <w:spacing w:after="0" w:line="480" w:lineRule="auto"/>
              <w:jc w:val="left"/>
            </w:pPr>
            <w:r/>
            <w:r>
              <w:rPr>
                <w:rFonts w:ascii="Times New Roman" w:hAnsi="Times New Roman"/>
                <w:b/>
                <w:color w:val="FFFFFF"/>
                <w:sz w:val="18"/>
              </w:rPr>
              <w:t>Approach</w:t>
            </w:r>
          </w:p>
        </w:tc>
        <w:tc>
          <w:tcPr>
            <w:tcW w:type="dxa" w:w="2340"/>
            <w:vAlign w:val="center"/>
            <w:tcMar>
              <w:top w:w="80" w:type="dxa"/>
              <w:start w:w="90" w:type="dxa"/>
              <w:bottom w:w="80" w:type="dxa"/>
              <w:end w:w="90" w:type="dxa"/>
            </w:tcMar>
            <w:shd w:fill="1F4E78"/>
          </w:tcPr>
          <w:p>
            <w:pPr>
              <w:spacing w:after="0" w:line="480" w:lineRule="auto"/>
              <w:jc w:val="center"/>
            </w:pPr>
            <w:r/>
            <w:r>
              <w:rPr>
                <w:rFonts w:ascii="Times New Roman" w:hAnsi="Times New Roman"/>
                <w:b/>
                <w:color w:val="FFFFFF"/>
                <w:sz w:val="18"/>
              </w:rPr>
              <w:t>Primary quantity assessed</w:t>
            </w:r>
          </w:p>
        </w:tc>
        <w:tc>
          <w:tcPr>
            <w:tcW w:type="dxa" w:w="2340"/>
            <w:vAlign w:val="center"/>
            <w:tcMar>
              <w:top w:w="80" w:type="dxa"/>
              <w:start w:w="90" w:type="dxa"/>
              <w:bottom w:w="80" w:type="dxa"/>
              <w:end w:w="90" w:type="dxa"/>
            </w:tcMar>
            <w:shd w:fill="1F4E78"/>
          </w:tcPr>
          <w:p>
            <w:pPr>
              <w:spacing w:after="0" w:line="480" w:lineRule="auto"/>
              <w:jc w:val="center"/>
            </w:pPr>
            <w:r/>
            <w:r>
              <w:rPr>
                <w:rFonts w:ascii="Times New Roman" w:hAnsi="Times New Roman"/>
                <w:b/>
                <w:color w:val="FFFFFF"/>
                <w:sz w:val="18"/>
              </w:rPr>
              <w:t>Direct decision question</w:t>
            </w:r>
          </w:p>
        </w:tc>
        <w:tc>
          <w:tcPr>
            <w:tcW w:type="dxa" w:w="2340"/>
            <w:vAlign w:val="center"/>
            <w:tcMar>
              <w:top w:w="80" w:type="dxa"/>
              <w:start w:w="90" w:type="dxa"/>
              <w:bottom w:w="80" w:type="dxa"/>
              <w:end w:w="90" w:type="dxa"/>
            </w:tcMar>
            <w:shd w:fill="1F4E78"/>
          </w:tcPr>
          <w:p>
            <w:pPr>
              <w:spacing w:after="0" w:line="480" w:lineRule="auto"/>
              <w:jc w:val="center"/>
            </w:pPr>
            <w:r/>
            <w:r>
              <w:rPr>
                <w:rFonts w:ascii="Times New Roman" w:hAnsi="Times New Roman"/>
                <w:b/>
                <w:color w:val="FFFFFF"/>
                <w:sz w:val="18"/>
              </w:rPr>
              <w:t>Closed-loop consequence required</w:t>
            </w:r>
          </w:p>
        </w:tc>
      </w:tr>
      <w:tr>
        <w:trPr>
          <w:cantSplit/>
        </w:trPr>
        <w:tc>
          <w:tcPr>
            <w:tcW w:type="dxa" w:w="2340"/>
            <w:vAlign w:val="center"/>
            <w:tcMar>
              <w:top w:w="80" w:type="dxa"/>
              <w:start w:w="90" w:type="dxa"/>
              <w:bottom w:w="80" w:type="dxa"/>
              <w:end w:w="90" w:type="dxa"/>
            </w:tcMar>
          </w:tcPr>
          <w:p>
            <w:pPr>
              <w:spacing w:after="0" w:line="480" w:lineRule="auto"/>
              <w:jc w:val="left"/>
            </w:pPr>
            <w:r/>
            <w:r>
              <w:rPr>
                <w:rFonts w:ascii="Times New Roman" w:hAnsi="Times New Roman"/>
                <w:b w:val="0"/>
                <w:color w:val="000000"/>
                <w:sz w:val="18"/>
              </w:rPr>
              <w:t>Gaussian-process uncertainty</w:t>
            </w:r>
          </w:p>
        </w:tc>
        <w:tc>
          <w:tcPr>
            <w:tcW w:type="dxa" w:w="2340"/>
            <w:vAlign w:val="center"/>
            <w:tcMar>
              <w:top w:w="80" w:type="dxa"/>
              <w:start w:w="90" w:type="dxa"/>
              <w:bottom w:w="80" w:type="dxa"/>
              <w:end w:w="90" w:type="dxa"/>
            </w:tcMar>
          </w:tcPr>
          <w:p>
            <w:pPr>
              <w:spacing w:after="0" w:line="480" w:lineRule="auto"/>
              <w:jc w:val="center"/>
            </w:pPr>
            <w:r/>
            <w:r>
              <w:rPr>
                <w:rFonts w:ascii="Times New Roman" w:hAnsi="Times New Roman"/>
                <w:b w:val="0"/>
                <w:color w:val="000000"/>
                <w:sz w:val="18"/>
              </w:rPr>
              <w:t>Predictive confidence</w:t>
            </w:r>
          </w:p>
        </w:tc>
        <w:tc>
          <w:tcPr>
            <w:tcW w:type="dxa" w:w="2340"/>
            <w:vAlign w:val="center"/>
            <w:tcMar>
              <w:top w:w="80" w:type="dxa"/>
              <w:start w:w="90" w:type="dxa"/>
              <w:bottom w:w="80" w:type="dxa"/>
              <w:end w:w="90" w:type="dxa"/>
            </w:tcMar>
          </w:tcPr>
          <w:p>
            <w:pPr>
              <w:spacing w:after="0" w:line="480" w:lineRule="auto"/>
              <w:jc w:val="center"/>
            </w:pPr>
            <w:r/>
            <w:r>
              <w:rPr>
                <w:rFonts w:ascii="Times New Roman" w:hAnsi="Times New Roman"/>
                <w:b w:val="0"/>
                <w:color w:val="000000"/>
                <w:sz w:val="18"/>
              </w:rPr>
              <w:t>Does uncertainty modify an acquisition value?</w:t>
            </w:r>
          </w:p>
        </w:tc>
        <w:tc>
          <w:tcPr>
            <w:tcW w:type="dxa" w:w="2340"/>
            <w:vAlign w:val="center"/>
            <w:tcMar>
              <w:top w:w="80" w:type="dxa"/>
              <w:start w:w="90" w:type="dxa"/>
              <w:bottom w:w="80" w:type="dxa"/>
              <w:end w:w="90" w:type="dxa"/>
            </w:tcMar>
          </w:tcPr>
          <w:p>
            <w:pPr>
              <w:spacing w:after="0" w:line="480" w:lineRule="auto"/>
              <w:jc w:val="center"/>
            </w:pPr>
            <w:r/>
            <w:r>
              <w:rPr>
                <w:rFonts w:ascii="Times New Roman" w:hAnsi="Times New Roman"/>
                <w:b w:val="0"/>
                <w:color w:val="000000"/>
                <w:sz w:val="18"/>
              </w:rPr>
              <w:t>Usually evaluated by optimizer performance</w:t>
            </w:r>
          </w:p>
        </w:tc>
      </w:tr>
      <w:tr>
        <w:trPr>
          <w:cantSplit/>
        </w:trPr>
        <w:tc>
          <w:tcPr>
            <w:tcW w:type="dxa" w:w="2340"/>
            <w:vAlign w:val="center"/>
            <w:tcMar>
              <w:top w:w="80" w:type="dxa"/>
              <w:start w:w="90" w:type="dxa"/>
              <w:bottom w:w="80" w:type="dxa"/>
              <w:end w:w="90" w:type="dxa"/>
            </w:tcMar>
            <w:shd w:fill="EAF2F8"/>
          </w:tcPr>
          <w:p>
            <w:pPr>
              <w:spacing w:after="0" w:line="480" w:lineRule="auto"/>
              <w:jc w:val="left"/>
            </w:pPr>
            <w:r/>
            <w:r>
              <w:rPr>
                <w:rFonts w:ascii="Times New Roman" w:hAnsi="Times New Roman"/>
                <w:b w:val="0"/>
                <w:color w:val="000000"/>
                <w:sz w:val="18"/>
              </w:rPr>
              <w:t>Conformal prediction</w:t>
            </w:r>
          </w:p>
        </w:tc>
        <w:tc>
          <w:tcPr>
            <w:tcW w:type="dxa" w:w="2340"/>
            <w:vAlign w:val="center"/>
            <w:tcMar>
              <w:top w:w="80" w:type="dxa"/>
              <w:start w:w="90" w:type="dxa"/>
              <w:bottom w:w="80" w:type="dxa"/>
              <w:end w:w="90" w:type="dxa"/>
            </w:tcMar>
            <w:shd w:fill="EAF2F8"/>
          </w:tcPr>
          <w:p>
            <w:pPr>
              <w:spacing w:after="0" w:line="480" w:lineRule="auto"/>
              <w:jc w:val="center"/>
            </w:pPr>
            <w:r/>
            <w:r>
              <w:rPr>
                <w:rFonts w:ascii="Times New Roman" w:hAnsi="Times New Roman"/>
                <w:b w:val="0"/>
                <w:color w:val="000000"/>
                <w:sz w:val="18"/>
              </w:rPr>
              <w:t>Marginal or localized coverage</w:t>
            </w:r>
          </w:p>
        </w:tc>
        <w:tc>
          <w:tcPr>
            <w:tcW w:type="dxa" w:w="2340"/>
            <w:vAlign w:val="center"/>
            <w:tcMar>
              <w:top w:w="80" w:type="dxa"/>
              <w:start w:w="90" w:type="dxa"/>
              <w:bottom w:w="80" w:type="dxa"/>
              <w:end w:w="90" w:type="dxa"/>
            </w:tcMar>
            <w:shd w:fill="EAF2F8"/>
          </w:tcPr>
          <w:p>
            <w:pPr>
              <w:spacing w:after="0" w:line="480" w:lineRule="auto"/>
              <w:jc w:val="center"/>
            </w:pPr>
            <w:r/>
            <w:r>
              <w:rPr>
                <w:rFonts w:ascii="Times New Roman" w:hAnsi="Times New Roman"/>
                <w:b w:val="0"/>
                <w:color w:val="000000"/>
                <w:sz w:val="18"/>
              </w:rPr>
              <w:t>Does a calibrated set or bound satisfy its stated guarantee?</w:t>
            </w:r>
          </w:p>
        </w:tc>
        <w:tc>
          <w:tcPr>
            <w:tcW w:type="dxa" w:w="2340"/>
            <w:vAlign w:val="center"/>
            <w:tcMar>
              <w:top w:w="80" w:type="dxa"/>
              <w:start w:w="90" w:type="dxa"/>
              <w:bottom w:w="80" w:type="dxa"/>
              <w:end w:w="90" w:type="dxa"/>
            </w:tcMar>
            <w:shd w:fill="EAF2F8"/>
          </w:tcPr>
          <w:p>
            <w:pPr>
              <w:spacing w:after="0" w:line="480" w:lineRule="auto"/>
              <w:jc w:val="center"/>
            </w:pPr>
            <w:r/>
            <w:r>
              <w:rPr>
                <w:rFonts w:ascii="Times New Roman" w:hAnsi="Times New Roman"/>
                <w:b w:val="0"/>
                <w:color w:val="000000"/>
                <w:sz w:val="18"/>
              </w:rPr>
              <w:t>Not implied by coverage alone</w:t>
            </w:r>
          </w:p>
        </w:tc>
      </w:tr>
      <w:tr>
        <w:trPr>
          <w:cantSplit/>
        </w:trPr>
        <w:tc>
          <w:tcPr>
            <w:tcW w:type="dxa" w:w="2340"/>
            <w:vAlign w:val="center"/>
            <w:tcMar>
              <w:top w:w="80" w:type="dxa"/>
              <w:start w:w="90" w:type="dxa"/>
              <w:bottom w:w="80" w:type="dxa"/>
              <w:end w:w="90" w:type="dxa"/>
            </w:tcMar>
          </w:tcPr>
          <w:p>
            <w:pPr>
              <w:spacing w:after="0" w:line="480" w:lineRule="auto"/>
              <w:jc w:val="left"/>
            </w:pPr>
            <w:r/>
            <w:r>
              <w:rPr>
                <w:rFonts w:ascii="Times New Roman" w:hAnsi="Times New Roman"/>
                <w:b w:val="0"/>
                <w:color w:val="000000"/>
                <w:sz w:val="18"/>
              </w:rPr>
              <w:t>Adaptive infill</w:t>
            </w:r>
          </w:p>
        </w:tc>
        <w:tc>
          <w:tcPr>
            <w:tcW w:type="dxa" w:w="2340"/>
            <w:vAlign w:val="center"/>
            <w:tcMar>
              <w:top w:w="80" w:type="dxa"/>
              <w:start w:w="90" w:type="dxa"/>
              <w:bottom w:w="80" w:type="dxa"/>
              <w:end w:w="90" w:type="dxa"/>
            </w:tcMar>
          </w:tcPr>
          <w:p>
            <w:pPr>
              <w:spacing w:after="0" w:line="480" w:lineRule="auto"/>
              <w:jc w:val="center"/>
            </w:pPr>
            <w:r/>
            <w:r>
              <w:rPr>
                <w:rFonts w:ascii="Times New Roman" w:hAnsi="Times New Roman"/>
                <w:b w:val="0"/>
                <w:color w:val="000000"/>
                <w:sz w:val="18"/>
              </w:rPr>
              <w:t>Evaluation selection</w:t>
            </w:r>
          </w:p>
        </w:tc>
        <w:tc>
          <w:tcPr>
            <w:tcW w:type="dxa" w:w="2340"/>
            <w:vAlign w:val="center"/>
            <w:tcMar>
              <w:top w:w="80" w:type="dxa"/>
              <w:start w:w="90" w:type="dxa"/>
              <w:bottom w:w="80" w:type="dxa"/>
              <w:end w:w="90" w:type="dxa"/>
            </w:tcMar>
          </w:tcPr>
          <w:p>
            <w:pPr>
              <w:spacing w:after="0" w:line="480" w:lineRule="auto"/>
              <w:jc w:val="center"/>
            </w:pPr>
            <w:r/>
            <w:r>
              <w:rPr>
                <w:rFonts w:ascii="Times New Roman" w:hAnsi="Times New Roman"/>
                <w:b w:val="0"/>
                <w:color w:val="000000"/>
                <w:sz w:val="18"/>
              </w:rPr>
              <w:t>Which candidate receives the next expensive label?</w:t>
            </w:r>
          </w:p>
        </w:tc>
        <w:tc>
          <w:tcPr>
            <w:tcW w:type="dxa" w:w="2340"/>
            <w:vAlign w:val="center"/>
            <w:tcMar>
              <w:top w:w="80" w:type="dxa"/>
              <w:start w:w="90" w:type="dxa"/>
              <w:bottom w:w="80" w:type="dxa"/>
              <w:end w:w="90" w:type="dxa"/>
            </w:tcMar>
          </w:tcPr>
          <w:p>
            <w:pPr>
              <w:spacing w:after="0" w:line="480" w:lineRule="auto"/>
              <w:jc w:val="center"/>
            </w:pPr>
            <w:r/>
            <w:r>
              <w:rPr>
                <w:rFonts w:ascii="Times New Roman" w:hAnsi="Times New Roman"/>
                <w:b w:val="0"/>
                <w:color w:val="000000"/>
                <w:sz w:val="18"/>
              </w:rPr>
              <w:t>Evaluated through search performance</w:t>
            </w:r>
          </w:p>
        </w:tc>
      </w:tr>
      <w:tr>
        <w:trPr>
          <w:cantSplit/>
        </w:trPr>
        <w:tc>
          <w:tcPr>
            <w:tcW w:type="dxa" w:w="2340"/>
            <w:vAlign w:val="center"/>
            <w:tcMar>
              <w:top w:w="80" w:type="dxa"/>
              <w:start w:w="90" w:type="dxa"/>
              <w:bottom w:w="80" w:type="dxa"/>
              <w:end w:w="90" w:type="dxa"/>
            </w:tcMar>
            <w:shd w:fill="EAF2F8"/>
          </w:tcPr>
          <w:p>
            <w:pPr>
              <w:spacing w:after="0" w:line="480" w:lineRule="auto"/>
              <w:jc w:val="left"/>
            </w:pPr>
            <w:r/>
            <w:r>
              <w:rPr>
                <w:rFonts w:ascii="Times New Roman" w:hAnsi="Times New Roman"/>
                <w:b w:val="0"/>
                <w:color w:val="000000"/>
                <w:sz w:val="18"/>
              </w:rPr>
              <w:t>Candidate-dependent SAEA management</w:t>
            </w:r>
          </w:p>
        </w:tc>
        <w:tc>
          <w:tcPr>
            <w:tcW w:type="dxa" w:w="2340"/>
            <w:vAlign w:val="center"/>
            <w:tcMar>
              <w:top w:w="80" w:type="dxa"/>
              <w:start w:w="90" w:type="dxa"/>
              <w:bottom w:w="80" w:type="dxa"/>
              <w:end w:w="90" w:type="dxa"/>
            </w:tcMar>
            <w:shd w:fill="EAF2F8"/>
          </w:tcPr>
          <w:p>
            <w:pPr>
              <w:spacing w:after="0" w:line="480" w:lineRule="auto"/>
              <w:jc w:val="center"/>
            </w:pPr>
            <w:r/>
            <w:r>
              <w:rPr>
                <w:rFonts w:ascii="Times New Roman" w:hAnsi="Times New Roman"/>
                <w:b w:val="0"/>
                <w:color w:val="000000"/>
                <w:sz w:val="18"/>
              </w:rPr>
              <w:t>Ranking, region, or population update</w:t>
            </w:r>
          </w:p>
        </w:tc>
        <w:tc>
          <w:tcPr>
            <w:tcW w:type="dxa" w:w="2340"/>
            <w:vAlign w:val="center"/>
            <w:tcMar>
              <w:top w:w="80" w:type="dxa"/>
              <w:start w:w="90" w:type="dxa"/>
              <w:bottom w:w="80" w:type="dxa"/>
              <w:end w:w="90" w:type="dxa"/>
            </w:tcMar>
            <w:shd w:fill="EAF2F8"/>
          </w:tcPr>
          <w:p>
            <w:pPr>
              <w:spacing w:after="0" w:line="480" w:lineRule="auto"/>
              <w:jc w:val="center"/>
            </w:pPr>
            <w:r/>
            <w:r>
              <w:rPr>
                <w:rFonts w:ascii="Times New Roman" w:hAnsi="Times New Roman"/>
                <w:b w:val="0"/>
                <w:color w:val="000000"/>
                <w:sz w:val="18"/>
              </w:rPr>
              <w:t>Does surrogate information change the search action?</w:t>
            </w:r>
          </w:p>
        </w:tc>
        <w:tc>
          <w:tcPr>
            <w:tcW w:type="dxa" w:w="2340"/>
            <w:vAlign w:val="center"/>
            <w:tcMar>
              <w:top w:w="80" w:type="dxa"/>
              <w:start w:w="90" w:type="dxa"/>
              <w:bottom w:w="80" w:type="dxa"/>
              <w:end w:w="90" w:type="dxa"/>
            </w:tcMar>
            <w:shd w:fill="EAF2F8"/>
          </w:tcPr>
          <w:p>
            <w:pPr>
              <w:spacing w:after="0" w:line="480" w:lineRule="auto"/>
              <w:jc w:val="center"/>
            </w:pPr>
            <w:r/>
            <w:r>
              <w:rPr>
                <w:rFonts w:ascii="Times New Roman" w:hAnsi="Times New Roman"/>
                <w:b w:val="0"/>
                <w:color w:val="000000"/>
                <w:sz w:val="18"/>
              </w:rPr>
              <w:t>Method-specific</w:t>
            </w:r>
          </w:p>
        </w:tc>
      </w:tr>
      <w:tr>
        <w:trPr>
          <w:cantSplit/>
        </w:trPr>
        <w:tc>
          <w:tcPr>
            <w:tcW w:type="dxa" w:w="2340"/>
            <w:vAlign w:val="center"/>
            <w:tcMar>
              <w:top w:w="80" w:type="dxa"/>
              <w:start w:w="90" w:type="dxa"/>
              <w:bottom w:w="80" w:type="dxa"/>
              <w:end w:w="90" w:type="dxa"/>
            </w:tcMar>
          </w:tcPr>
          <w:p>
            <w:pPr>
              <w:spacing w:after="0" w:line="480" w:lineRule="auto"/>
              <w:jc w:val="left"/>
            </w:pPr>
            <w:r/>
            <w:r>
              <w:rPr>
                <w:rFonts w:ascii="Times New Roman" w:hAnsi="Times New Roman"/>
                <w:b w:val="0"/>
                <w:color w:val="000000"/>
                <w:sz w:val="18"/>
              </w:rPr>
              <w:t>Relation-model DRSO</w:t>
            </w:r>
          </w:p>
        </w:tc>
        <w:tc>
          <w:tcPr>
            <w:tcW w:type="dxa" w:w="2340"/>
            <w:vAlign w:val="center"/>
            <w:tcMar>
              <w:top w:w="80" w:type="dxa"/>
              <w:start w:w="90" w:type="dxa"/>
              <w:bottom w:w="80" w:type="dxa"/>
              <w:end w:w="90" w:type="dxa"/>
            </w:tcMar>
          </w:tcPr>
          <w:p>
            <w:pPr>
              <w:spacing w:after="0" w:line="480" w:lineRule="auto"/>
              <w:jc w:val="center"/>
            </w:pPr>
            <w:r/>
            <w:r>
              <w:rPr>
                <w:rFonts w:ascii="Times New Roman" w:hAnsi="Times New Roman"/>
                <w:b w:val="0"/>
                <w:color w:val="000000"/>
                <w:sz w:val="18"/>
              </w:rPr>
              <w:t>Pairwise fitness/category relations and unevaluated population</w:t>
            </w:r>
          </w:p>
        </w:tc>
        <w:tc>
          <w:tcPr>
            <w:tcW w:type="dxa" w:w="2340"/>
            <w:vAlign w:val="center"/>
            <w:tcMar>
              <w:top w:w="80" w:type="dxa"/>
              <w:start w:w="90" w:type="dxa"/>
              <w:bottom w:w="80" w:type="dxa"/>
              <w:end w:w="90" w:type="dxa"/>
            </w:tcMar>
          </w:tcPr>
          <w:p>
            <w:pPr>
              <w:spacing w:after="0" w:line="480" w:lineRule="auto"/>
              <w:jc w:val="center"/>
            </w:pPr>
            <w:r/>
            <w:r>
              <w:rPr>
                <w:rFonts w:ascii="Times New Roman" w:hAnsi="Times New Roman"/>
                <w:b w:val="0"/>
                <w:color w:val="000000"/>
                <w:sz w:val="18"/>
              </w:rPr>
              <w:t>Does evolutionary surrogate management preserve promising search information?</w:t>
            </w:r>
          </w:p>
        </w:tc>
        <w:tc>
          <w:tcPr>
            <w:tcW w:type="dxa" w:w="2340"/>
            <w:vAlign w:val="center"/>
            <w:tcMar>
              <w:top w:w="80" w:type="dxa"/>
              <w:start w:w="90" w:type="dxa"/>
              <w:bottom w:w="80" w:type="dxa"/>
              <w:end w:w="90" w:type="dxa"/>
            </w:tcMar>
          </w:tcPr>
          <w:p>
            <w:pPr>
              <w:spacing w:after="0" w:line="480" w:lineRule="auto"/>
              <w:jc w:val="center"/>
            </w:pPr>
            <w:r/>
            <w:r>
              <w:rPr>
                <w:rFonts w:ascii="Times New Roman" w:hAnsi="Times New Roman"/>
                <w:b w:val="0"/>
                <w:color w:val="000000"/>
                <w:sz w:val="18"/>
              </w:rPr>
              <w:t>Evaluated by paid-budget endpoint</w:t>
            </w:r>
          </w:p>
        </w:tc>
      </w:tr>
      <w:tr>
        <w:trPr>
          <w:cantSplit/>
        </w:trPr>
        <w:tc>
          <w:tcPr>
            <w:tcW w:type="dxa" w:w="2340"/>
            <w:vAlign w:val="center"/>
            <w:tcMar>
              <w:top w:w="80" w:type="dxa"/>
              <w:start w:w="90" w:type="dxa"/>
              <w:bottom w:w="80" w:type="dxa"/>
              <w:end w:w="90" w:type="dxa"/>
            </w:tcMar>
            <w:shd w:fill="EAF2F8"/>
          </w:tcPr>
          <w:p>
            <w:pPr>
              <w:spacing w:after="0" w:line="480" w:lineRule="auto"/>
              <w:jc w:val="left"/>
            </w:pPr>
            <w:r/>
            <w:r>
              <w:rPr>
                <w:rFonts w:ascii="Times New Roman" w:hAnsi="Times New Roman"/>
                <w:b w:val="0"/>
                <w:color w:val="000000"/>
                <w:sz w:val="18"/>
              </w:rPr>
              <w:t>Decision-consequence audit</w:t>
            </w:r>
          </w:p>
        </w:tc>
        <w:tc>
          <w:tcPr>
            <w:tcW w:type="dxa" w:w="2340"/>
            <w:vAlign w:val="center"/>
            <w:tcMar>
              <w:top w:w="80" w:type="dxa"/>
              <w:start w:w="90" w:type="dxa"/>
              <w:bottom w:w="80" w:type="dxa"/>
              <w:end w:w="90" w:type="dxa"/>
            </w:tcMar>
            <w:shd w:fill="EAF2F8"/>
          </w:tcPr>
          <w:p>
            <w:pPr>
              <w:spacing w:after="0" w:line="480" w:lineRule="auto"/>
              <w:jc w:val="center"/>
            </w:pPr>
            <w:r/>
            <w:r>
              <w:rPr>
                <w:rFonts w:ascii="Times New Roman" w:hAnsi="Times New Roman"/>
                <w:b w:val="0"/>
                <w:color w:val="000000"/>
                <w:sz w:val="18"/>
              </w:rPr>
              <w:t>Calibration, decision influence, utility, and final outcome</w:t>
            </w:r>
          </w:p>
        </w:tc>
        <w:tc>
          <w:tcPr>
            <w:tcW w:type="dxa" w:w="2340"/>
            <w:vAlign w:val="center"/>
            <w:tcMar>
              <w:top w:w="80" w:type="dxa"/>
              <w:start w:w="90" w:type="dxa"/>
              <w:bottom w:w="80" w:type="dxa"/>
              <w:end w:w="90" w:type="dxa"/>
            </w:tcMar>
            <w:shd w:fill="EAF2F8"/>
          </w:tcPr>
          <w:p>
            <w:pPr>
              <w:spacing w:after="0" w:line="480" w:lineRule="auto"/>
              <w:jc w:val="center"/>
            </w:pPr>
            <w:r/>
            <w:r>
              <w:rPr>
                <w:rFonts w:ascii="Times New Roman" w:hAnsi="Times New Roman"/>
                <w:b w:val="0"/>
                <w:color w:val="000000"/>
                <w:sz w:val="18"/>
              </w:rPr>
              <w:t>Does the signal change a paid decision and make it more useful?</w:t>
            </w:r>
          </w:p>
        </w:tc>
        <w:tc>
          <w:tcPr>
            <w:tcW w:type="dxa" w:w="2340"/>
            <w:vAlign w:val="center"/>
            <w:tcMar>
              <w:top w:w="80" w:type="dxa"/>
              <w:start w:w="90" w:type="dxa"/>
              <w:bottom w:w="80" w:type="dxa"/>
              <w:end w:w="90" w:type="dxa"/>
            </w:tcMar>
            <w:shd w:fill="EAF2F8"/>
          </w:tcPr>
          <w:p>
            <w:pPr>
              <w:spacing w:after="0" w:line="480" w:lineRule="auto"/>
              <w:jc w:val="center"/>
            </w:pPr>
            <w:r/>
            <w:r>
              <w:rPr>
                <w:rFonts w:ascii="Times New Roman" w:hAnsi="Times New Roman"/>
                <w:b w:val="0"/>
                <w:color w:val="000000"/>
                <w:sz w:val="18"/>
              </w:rPr>
              <w:t>Required as the final audit level</w:t>
            </w:r>
          </w:p>
        </w:tc>
      </w:tr>
    </w:tbl>
    <w:p>
      <w:pPr>
        <w:spacing w:line="480" w:lineRule="auto"/>
      </w:pPr>
    </w:p>
    <w:p>
      <w:pPr>
        <w:keepNext w:val="0"/>
        <w:spacing w:line="480" w:lineRule="auto"/>
        <w:ind w:firstLine="317"/>
        <w:jc w:val="both"/>
      </w:pPr>
      <w:r>
        <w:rPr>
          <w:rFonts w:ascii="Times New Roman" w:hAnsi="Times New Roman"/>
          <w:b w:val="0"/>
          <w:i w:val="0"/>
          <w:color w:val="000000"/>
          <w:sz w:val="22"/>
        </w:rPr>
        <w:t>Several studies compare Bayesian, evolutionary, and hybrid surrogate strategies under constrained budgets [21], and others show that unevaluated but surrogate-predicted candidates can influence evolutionary diversity [22]. These optimizers are complementary to the present audit. A change in a coupled trajectory does not, by itself, isolate what the mechanism would have selected at the same learned state. The additional GP intervention freezes that state and candidate pool before consulting alternative outcomes, then evaluates longer-horizon policies separately.</w:t>
      </w:r>
    </w:p>
    <w:p>
      <w:pPr>
        <w:pStyle w:val="Heading2"/>
        <w:keepNext/>
        <w:spacing w:line="480" w:lineRule="auto"/>
        <w:jc w:val="left"/>
      </w:pPr>
      <w:r>
        <w:rPr>
          <w:rFonts w:ascii="Times New Roman" w:hAnsi="Times New Roman"/>
          <w:b/>
          <w:i/>
          <w:color w:val="000000"/>
          <w:sz w:val="22"/>
        </w:rPr>
        <w:t>2.3 Operational distinction from existing model management and selection</w:t>
      </w:r>
    </w:p>
    <w:p>
      <w:pPr>
        <w:keepNext w:val="0"/>
        <w:spacing w:line="480" w:lineRule="auto"/>
        <w:ind w:firstLine="317"/>
        <w:jc w:val="both"/>
      </w:pPr>
      <w:r>
        <w:rPr>
          <w:rFonts w:ascii="Times New Roman" w:hAnsi="Times New Roman"/>
          <w:b w:val="0"/>
          <w:i w:val="0"/>
          <w:color w:val="000000"/>
          <w:sz w:val="22"/>
        </w:rPr>
        <w:t>Reliable regional Kriging supplies a variance-guided search region and adaptive infill mechanism [35]; surrogate-management frameworks can also provide convergence guarantees under their assumptions [38]. The present method does not replace these search rules or inherit their convergence guarantees. It evaluates the route from an existing rule to a paid action and the evidence needed to justify that route. Hanawa et al. [20] vary the accuracy of a pseudo-surrogate to compare management strategies. Here the intervention instead holds an actually learned GP state fixed and varies its acquisition rule; posterior uncertainty and training labels are not replaced by synthetic accuracy levels.</w:t>
      </w:r>
    </w:p>
    <w:p>
      <w:pPr>
        <w:keepNext w:val="0"/>
        <w:spacing w:line="480" w:lineRule="auto"/>
        <w:ind w:firstLine="317"/>
        <w:jc w:val="both"/>
      </w:pPr>
      <w:r>
        <w:rPr>
          <w:rFonts w:ascii="Times New Roman" w:hAnsi="Times New Roman"/>
          <w:b w:val="0"/>
          <w:i w:val="0"/>
          <w:color w:val="000000"/>
          <w:sz w:val="22"/>
        </w:rPr>
        <w:t>Diagnostic benchmarking [34] studies effectiveness, efficiency, reliability, parameter controllability, and runtime dynamics on real applications. The unit of intervention used here is the mechanism decision within a frozen optimization state, followed by a distinct policy-level validation. Algorithm selection and its data-acquisition cost are established topics [36,37]. In particular, trajectory-based warm-starting reuses search information when switching algorithms [37], and two-step lookahead optimises evaluation choice over a short model-based horizon rather than over the realized response of one action [39]. The twenty-step selection workflow deliberately discards pilot labels from validation training to measure selection transfer under an intact information boundary. It is a diagnostic case, not a claimed advance over warm-starting selectors; a production workflow could reuse pilot information and would require its own validation.</w:t>
      </w:r>
    </w:p>
    <w:p>
      <w:pPr>
        <w:keepNext/>
        <w:spacing w:line="480" w:lineRule="auto"/>
        <w:jc w:val="center"/>
      </w:pPr>
      <w:r>
        <w:rPr>
          <w:rFonts w:ascii="Times New Roman" w:hAnsi="Times New Roman"/>
          <w:color w:val="000000"/>
          <w:sz w:val="20"/>
        </w:rPr>
        <w:t>Table 2: Relation to representative prior work and the evidence object added here. The comparison concerns the stated studies, not the absence of these ideas throughout the literature.</w:t>
      </w:r>
    </w:p>
    <w:tbl>
      <w:tblPr>
        <w:tblW w:type="auto" w:w="0"/>
        <w:jc w:val="center"/>
        <w:tblLayout w:type="autofit"/>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Pr>
      <w:tblGrid>
        <w:gridCol w:w="3120"/>
        <w:gridCol w:w="3120"/>
        <w:gridCol w:w="3120"/>
      </w:tblGrid>
      <w:tr>
        <w:trPr>
          <w:tblHeader w:val="true"/>
          <w:cantSplit/>
        </w:trPr>
        <w:tc>
          <w:tcPr>
            <w:tcW w:type="dxa" w:w="3120"/>
            <w:vAlign w:val="center"/>
            <w:tcMar>
              <w:top w:w="80" w:type="dxa"/>
              <w:start w:w="90" w:type="dxa"/>
              <w:bottom w:w="80" w:type="dxa"/>
              <w:end w:w="90" w:type="dxa"/>
            </w:tcMar>
            <w:shd w:fill="1F4E78"/>
          </w:tcPr>
          <w:p>
            <w:pPr>
              <w:spacing w:after="0" w:line="480" w:lineRule="auto"/>
              <w:jc w:val="left"/>
            </w:pPr>
            <w:r/>
            <w:r>
              <w:rPr>
                <w:rFonts w:ascii="Times New Roman" w:hAnsi="Times New Roman"/>
                <w:b/>
                <w:color w:val="FFFFFF"/>
                <w:sz w:val="18"/>
              </w:rPr>
              <w:t>Representative work</w:t>
            </w:r>
          </w:p>
        </w:tc>
        <w:tc>
          <w:tcPr>
            <w:tcW w:type="dxa" w:w="3120"/>
            <w:vAlign w:val="center"/>
            <w:tcMar>
              <w:top w:w="80" w:type="dxa"/>
              <w:start w:w="90" w:type="dxa"/>
              <w:bottom w:w="80" w:type="dxa"/>
              <w:end w:w="90" w:type="dxa"/>
            </w:tcMar>
            <w:shd w:fill="1F4E78"/>
          </w:tcPr>
          <w:p>
            <w:pPr>
              <w:spacing w:after="0" w:line="480" w:lineRule="auto"/>
              <w:jc w:val="center"/>
            </w:pPr>
            <w:r/>
            <w:r>
              <w:rPr>
                <w:rFonts w:ascii="Times New Roman" w:hAnsi="Times New Roman"/>
                <w:b/>
                <w:color w:val="FFFFFF"/>
                <w:sz w:val="18"/>
              </w:rPr>
              <w:t>Reported focus</w:t>
            </w:r>
          </w:p>
        </w:tc>
        <w:tc>
          <w:tcPr>
            <w:tcW w:type="dxa" w:w="3120"/>
            <w:vAlign w:val="center"/>
            <w:tcMar>
              <w:top w:w="80" w:type="dxa"/>
              <w:start w:w="90" w:type="dxa"/>
              <w:bottom w:w="80" w:type="dxa"/>
              <w:end w:w="90" w:type="dxa"/>
            </w:tcMar>
            <w:shd w:fill="1F4E78"/>
          </w:tcPr>
          <w:p>
            <w:pPr>
              <w:spacing w:after="0" w:line="480" w:lineRule="auto"/>
              <w:jc w:val="center"/>
            </w:pPr>
            <w:r/>
            <w:r>
              <w:rPr>
                <w:rFonts w:ascii="Times New Roman" w:hAnsi="Times New Roman"/>
                <w:b/>
                <w:color w:val="FFFFFF"/>
                <w:sz w:val="18"/>
              </w:rPr>
              <w:t>Operational evidence in the present implementation</w:t>
            </w:r>
          </w:p>
        </w:tc>
      </w:tr>
      <w:tr>
        <w:trPr>
          <w:cantSplit/>
        </w:trPr>
        <w:tc>
          <w:tcPr>
            <w:tcW w:type="dxa" w:w="3120"/>
            <w:vAlign w:val="center"/>
            <w:tcMar>
              <w:top w:w="80" w:type="dxa"/>
              <w:start w:w="90" w:type="dxa"/>
              <w:bottom w:w="80" w:type="dxa"/>
              <w:end w:w="90" w:type="dxa"/>
            </w:tcMar>
          </w:tcPr>
          <w:p>
            <w:pPr>
              <w:spacing w:after="0" w:line="480" w:lineRule="auto"/>
              <w:jc w:val="left"/>
            </w:pPr>
            <w:r/>
            <w:r>
              <w:rPr>
                <w:rFonts w:ascii="Times New Roman" w:hAnsi="Times New Roman"/>
                <w:b w:val="0"/>
                <w:color w:val="000000"/>
                <w:sz w:val="18"/>
              </w:rPr>
              <w:t>Reliable regional Kriging [35]</w:t>
            </w:r>
          </w:p>
        </w:tc>
        <w:tc>
          <w:tcPr>
            <w:tcW w:type="dxa" w:w="3120"/>
            <w:vAlign w:val="center"/>
            <w:tcMar>
              <w:top w:w="80" w:type="dxa"/>
              <w:start w:w="90" w:type="dxa"/>
              <w:bottom w:w="80" w:type="dxa"/>
              <w:end w:w="90" w:type="dxa"/>
            </w:tcMar>
          </w:tcPr>
          <w:p>
            <w:pPr>
              <w:spacing w:after="0" w:line="480" w:lineRule="auto"/>
              <w:jc w:val="center"/>
            </w:pPr>
            <w:r/>
            <w:r>
              <w:rPr>
                <w:rFonts w:ascii="Times New Roman" w:hAnsi="Times New Roman"/>
                <w:b w:val="0"/>
                <w:color w:val="000000"/>
                <w:sz w:val="18"/>
              </w:rPr>
              <w:t>Variance-guided reliable regions and sequential infill</w:t>
            </w:r>
          </w:p>
        </w:tc>
        <w:tc>
          <w:tcPr>
            <w:tcW w:type="dxa" w:w="3120"/>
            <w:vAlign w:val="center"/>
            <w:tcMar>
              <w:top w:w="80" w:type="dxa"/>
              <w:start w:w="90" w:type="dxa"/>
              <w:bottom w:w="80" w:type="dxa"/>
              <w:end w:w="90" w:type="dxa"/>
            </w:tcMar>
          </w:tcPr>
          <w:p>
            <w:pPr>
              <w:spacing w:after="0" w:line="480" w:lineRule="auto"/>
              <w:jc w:val="center"/>
            </w:pPr>
            <w:r/>
            <w:r>
              <w:rPr>
                <w:rFonts w:ascii="Times New Roman" w:hAnsi="Times New Roman"/>
                <w:b w:val="0"/>
                <w:color w:val="000000"/>
                <w:sz w:val="18"/>
              </w:rPr>
              <w:t>Exact chosen-action equivalence and separate intervention labels at a frozen state</w:t>
            </w:r>
          </w:p>
        </w:tc>
      </w:tr>
      <w:tr>
        <w:trPr>
          <w:cantSplit/>
        </w:trPr>
        <w:tc>
          <w:tcPr>
            <w:tcW w:type="dxa" w:w="3120"/>
            <w:vAlign w:val="center"/>
            <w:tcMar>
              <w:top w:w="80" w:type="dxa"/>
              <w:start w:w="90" w:type="dxa"/>
              <w:bottom w:w="80" w:type="dxa"/>
              <w:end w:w="90" w:type="dxa"/>
            </w:tcMar>
            <w:shd w:fill="EAF2F8"/>
          </w:tcPr>
          <w:p>
            <w:pPr>
              <w:spacing w:after="0" w:line="480" w:lineRule="auto"/>
              <w:jc w:val="left"/>
            </w:pPr>
            <w:r/>
            <w:r>
              <w:rPr>
                <w:rFonts w:ascii="Times New Roman" w:hAnsi="Times New Roman"/>
                <w:b w:val="0"/>
                <w:color w:val="000000"/>
                <w:sz w:val="18"/>
              </w:rPr>
              <w:t>Surrogate management [38]</w:t>
            </w:r>
          </w:p>
        </w:tc>
        <w:tc>
          <w:tcPr>
            <w:tcW w:type="dxa" w:w="3120"/>
            <w:vAlign w:val="center"/>
            <w:tcMar>
              <w:top w:w="80" w:type="dxa"/>
              <w:start w:w="90" w:type="dxa"/>
              <w:bottom w:w="80" w:type="dxa"/>
              <w:end w:w="90" w:type="dxa"/>
            </w:tcMar>
            <w:shd w:fill="EAF2F8"/>
          </w:tcPr>
          <w:p>
            <w:pPr>
              <w:spacing w:after="0" w:line="480" w:lineRule="auto"/>
              <w:jc w:val="center"/>
            </w:pPr>
            <w:r/>
            <w:r>
              <w:rPr>
                <w:rFonts w:ascii="Times New Roman" w:hAnsi="Times New Roman"/>
                <w:b w:val="0"/>
                <w:color w:val="000000"/>
                <w:sz w:val="18"/>
              </w:rPr>
              <w:t>Managing approximation models with convergence analysis</w:t>
            </w:r>
          </w:p>
        </w:tc>
        <w:tc>
          <w:tcPr>
            <w:tcW w:type="dxa" w:w="3120"/>
            <w:vAlign w:val="center"/>
            <w:tcMar>
              <w:top w:w="80" w:type="dxa"/>
              <w:start w:w="90" w:type="dxa"/>
              <w:bottom w:w="80" w:type="dxa"/>
              <w:end w:w="90" w:type="dxa"/>
            </w:tcMar>
            <w:shd w:fill="EAF2F8"/>
          </w:tcPr>
          <w:p>
            <w:pPr>
              <w:spacing w:after="0" w:line="480" w:lineRule="auto"/>
              <w:jc w:val="center"/>
            </w:pPr>
            <w:r/>
            <w:r>
              <w:rPr>
                <w:rFonts w:ascii="Times New Roman" w:hAnsi="Times New Roman"/>
                <w:b w:val="0"/>
                <w:color w:val="000000"/>
                <w:sz w:val="18"/>
              </w:rPr>
              <w:t>An evidence audit without inheriting an optimizer's convergence guarantee</w:t>
            </w:r>
          </w:p>
        </w:tc>
      </w:tr>
      <w:tr>
        <w:trPr>
          <w:cantSplit/>
        </w:trPr>
        <w:tc>
          <w:tcPr>
            <w:tcW w:type="dxa" w:w="3120"/>
            <w:vAlign w:val="center"/>
            <w:tcMar>
              <w:top w:w="80" w:type="dxa"/>
              <w:start w:w="90" w:type="dxa"/>
              <w:bottom w:w="80" w:type="dxa"/>
              <w:end w:w="90" w:type="dxa"/>
            </w:tcMar>
          </w:tcPr>
          <w:p>
            <w:pPr>
              <w:spacing w:after="0" w:line="480" w:lineRule="auto"/>
              <w:jc w:val="left"/>
            </w:pPr>
            <w:r/>
            <w:r>
              <w:rPr>
                <w:rFonts w:ascii="Times New Roman" w:hAnsi="Times New Roman"/>
                <w:b w:val="0"/>
                <w:color w:val="000000"/>
                <w:sz w:val="18"/>
              </w:rPr>
              <w:t>Adjustable-accuracy management study [20]</w:t>
            </w:r>
          </w:p>
        </w:tc>
        <w:tc>
          <w:tcPr>
            <w:tcW w:type="dxa" w:w="3120"/>
            <w:vAlign w:val="center"/>
            <w:tcMar>
              <w:top w:w="80" w:type="dxa"/>
              <w:start w:w="90" w:type="dxa"/>
              <w:bottom w:w="80" w:type="dxa"/>
              <w:end w:w="90" w:type="dxa"/>
            </w:tcMar>
          </w:tcPr>
          <w:p>
            <w:pPr>
              <w:spacing w:after="0" w:line="480" w:lineRule="auto"/>
              <w:jc w:val="center"/>
            </w:pPr>
            <w:r/>
            <w:r>
              <w:rPr>
                <w:rFonts w:ascii="Times New Roman" w:hAnsi="Times New Roman"/>
                <w:b w:val="0"/>
                <w:color w:val="000000"/>
                <w:sz w:val="18"/>
              </w:rPr>
              <w:t>Search response to controlled pseudo-surrogate accuracy</w:t>
            </w:r>
          </w:p>
        </w:tc>
        <w:tc>
          <w:tcPr>
            <w:tcW w:type="dxa" w:w="3120"/>
            <w:vAlign w:val="center"/>
            <w:tcMar>
              <w:top w:w="80" w:type="dxa"/>
              <w:start w:w="90" w:type="dxa"/>
              <w:bottom w:w="80" w:type="dxa"/>
              <w:end w:w="90" w:type="dxa"/>
            </w:tcMar>
          </w:tcPr>
          <w:p>
            <w:pPr>
              <w:spacing w:after="0" w:line="480" w:lineRule="auto"/>
              <w:jc w:val="center"/>
            </w:pPr>
            <w:r/>
            <w:r>
              <w:rPr>
                <w:rFonts w:ascii="Times New Roman" w:hAnsi="Times New Roman"/>
                <w:b w:val="0"/>
                <w:color w:val="000000"/>
                <w:sz w:val="18"/>
              </w:rPr>
              <w:t>Fixed learned posterior, identical candidate pool, and acquisition-only intervention</w:t>
            </w:r>
          </w:p>
        </w:tc>
      </w:tr>
      <w:tr>
        <w:trPr>
          <w:cantSplit/>
        </w:trPr>
        <w:tc>
          <w:tcPr>
            <w:tcW w:type="dxa" w:w="3120"/>
            <w:vAlign w:val="center"/>
            <w:tcMar>
              <w:top w:w="80" w:type="dxa"/>
              <w:start w:w="90" w:type="dxa"/>
              <w:bottom w:w="80" w:type="dxa"/>
              <w:end w:w="90" w:type="dxa"/>
            </w:tcMar>
            <w:shd w:fill="EAF2F8"/>
          </w:tcPr>
          <w:p>
            <w:pPr>
              <w:spacing w:after="0" w:line="480" w:lineRule="auto"/>
              <w:jc w:val="left"/>
            </w:pPr>
            <w:r/>
            <w:r>
              <w:rPr>
                <w:rFonts w:ascii="Times New Roman" w:hAnsi="Times New Roman"/>
                <w:b w:val="0"/>
                <w:color w:val="000000"/>
                <w:sz w:val="18"/>
              </w:rPr>
              <w:t>Diagnostic benchmarking [34]</w:t>
            </w:r>
          </w:p>
        </w:tc>
        <w:tc>
          <w:tcPr>
            <w:tcW w:type="dxa" w:w="3120"/>
            <w:vAlign w:val="center"/>
            <w:tcMar>
              <w:top w:w="80" w:type="dxa"/>
              <w:start w:w="90" w:type="dxa"/>
              <w:bottom w:w="80" w:type="dxa"/>
              <w:end w:w="90" w:type="dxa"/>
            </w:tcMar>
            <w:shd w:fill="EAF2F8"/>
          </w:tcPr>
          <w:p>
            <w:pPr>
              <w:spacing w:after="0" w:line="480" w:lineRule="auto"/>
              <w:jc w:val="center"/>
            </w:pPr>
            <w:r/>
            <w:r>
              <w:rPr>
                <w:rFonts w:ascii="Times New Roman" w:hAnsi="Times New Roman"/>
                <w:b w:val="0"/>
                <w:color w:val="000000"/>
                <w:sz w:val="18"/>
              </w:rPr>
              <w:t>Effectiveness, efficiency, reliability, parameter controllability, and runtime dynamics across real applications</w:t>
            </w:r>
          </w:p>
        </w:tc>
        <w:tc>
          <w:tcPr>
            <w:tcW w:type="dxa" w:w="3120"/>
            <w:vAlign w:val="center"/>
            <w:tcMar>
              <w:top w:w="80" w:type="dxa"/>
              <w:start w:w="90" w:type="dxa"/>
              <w:bottom w:w="80" w:type="dxa"/>
              <w:end w:w="90" w:type="dxa"/>
            </w:tcMar>
            <w:shd w:fill="EAF2F8"/>
          </w:tcPr>
          <w:p>
            <w:pPr>
              <w:spacing w:after="0" w:line="480" w:lineRule="auto"/>
              <w:jc w:val="center"/>
            </w:pPr>
            <w:r/>
            <w:r>
              <w:rPr>
                <w:rFonts w:ascii="Times New Roman" w:hAnsi="Times New Roman"/>
                <w:b w:val="0"/>
                <w:color w:val="000000"/>
                <w:sz w:val="18"/>
              </w:rPr>
              <w:t>Mechanism-level decision effects connected to separate closed-loop outcomes</w:t>
            </w:r>
          </w:p>
        </w:tc>
      </w:tr>
      <w:tr>
        <w:trPr>
          <w:cantSplit/>
        </w:trPr>
        <w:tc>
          <w:tcPr>
            <w:tcW w:type="dxa" w:w="3120"/>
            <w:vAlign w:val="center"/>
            <w:tcMar>
              <w:top w:w="80" w:type="dxa"/>
              <w:start w:w="90" w:type="dxa"/>
              <w:bottom w:w="80" w:type="dxa"/>
              <w:end w:w="90" w:type="dxa"/>
            </w:tcMar>
          </w:tcPr>
          <w:p>
            <w:pPr>
              <w:spacing w:after="0" w:line="480" w:lineRule="auto"/>
              <w:jc w:val="left"/>
            </w:pPr>
            <w:r/>
            <w:r>
              <w:rPr>
                <w:rFonts w:ascii="Times New Roman" w:hAnsi="Times New Roman"/>
                <w:b w:val="0"/>
                <w:color w:val="000000"/>
                <w:sz w:val="18"/>
              </w:rPr>
              <w:t>Two-step lookahead [39]</w:t>
            </w:r>
          </w:p>
        </w:tc>
        <w:tc>
          <w:tcPr>
            <w:tcW w:type="dxa" w:w="3120"/>
            <w:vAlign w:val="center"/>
            <w:tcMar>
              <w:top w:w="80" w:type="dxa"/>
              <w:start w:w="90" w:type="dxa"/>
              <w:bottom w:w="80" w:type="dxa"/>
              <w:end w:w="90" w:type="dxa"/>
            </w:tcMar>
          </w:tcPr>
          <w:p>
            <w:pPr>
              <w:spacing w:after="0" w:line="480" w:lineRule="auto"/>
              <w:jc w:val="center"/>
            </w:pPr>
            <w:r/>
            <w:r>
              <w:rPr>
                <w:rFonts w:ascii="Times New Roman" w:hAnsi="Times New Roman"/>
                <w:b w:val="0"/>
                <w:color w:val="000000"/>
                <w:sz w:val="18"/>
              </w:rPr>
              <w:t>Model-based expected future improvement for choosing evaluations</w:t>
            </w:r>
          </w:p>
        </w:tc>
        <w:tc>
          <w:tcPr>
            <w:tcW w:type="dxa" w:w="3120"/>
            <w:vAlign w:val="center"/>
            <w:tcMar>
              <w:top w:w="80" w:type="dxa"/>
              <w:start w:w="90" w:type="dxa"/>
              <w:bottom w:w="80" w:type="dxa"/>
              <w:end w:w="90" w:type="dxa"/>
            </w:tcMar>
          </w:tcPr>
          <w:p>
            <w:pPr>
              <w:spacing w:after="0" w:line="480" w:lineRule="auto"/>
              <w:jc w:val="center"/>
            </w:pPr>
            <w:r/>
            <w:r>
              <w:rPr>
                <w:rFonts w:ascii="Times New Roman" w:hAnsi="Times New Roman"/>
                <w:b w:val="0"/>
                <w:color w:val="000000"/>
                <w:sz w:val="18"/>
              </w:rPr>
              <w:t>Recorded first actions followed by actual responses under a declared common continuation</w:t>
            </w:r>
          </w:p>
        </w:tc>
      </w:tr>
      <w:tr>
        <w:trPr>
          <w:cantSplit/>
        </w:trPr>
        <w:tc>
          <w:tcPr>
            <w:tcW w:type="dxa" w:w="3120"/>
            <w:vAlign w:val="center"/>
            <w:tcMar>
              <w:top w:w="80" w:type="dxa"/>
              <w:start w:w="90" w:type="dxa"/>
              <w:bottom w:w="80" w:type="dxa"/>
              <w:end w:w="90" w:type="dxa"/>
            </w:tcMar>
            <w:shd w:fill="EAF2F8"/>
          </w:tcPr>
          <w:p>
            <w:pPr>
              <w:spacing w:after="0" w:line="480" w:lineRule="auto"/>
              <w:jc w:val="left"/>
            </w:pPr>
            <w:r/>
            <w:r>
              <w:rPr>
                <w:rFonts w:ascii="Times New Roman" w:hAnsi="Times New Roman"/>
                <w:b w:val="0"/>
                <w:color w:val="000000"/>
                <w:sz w:val="18"/>
              </w:rPr>
              <w:t>Frugal selection [36] and trajectory warm-starting [37]</w:t>
            </w:r>
          </w:p>
        </w:tc>
        <w:tc>
          <w:tcPr>
            <w:tcW w:type="dxa" w:w="3120"/>
            <w:vAlign w:val="center"/>
            <w:tcMar>
              <w:top w:w="80" w:type="dxa"/>
              <w:start w:w="90" w:type="dxa"/>
              <w:bottom w:w="80" w:type="dxa"/>
              <w:end w:w="90" w:type="dxa"/>
            </w:tcMar>
            <w:shd w:fill="EAF2F8"/>
          </w:tcPr>
          <w:p>
            <w:pPr>
              <w:spacing w:after="0" w:line="480" w:lineRule="auto"/>
              <w:jc w:val="center"/>
            </w:pPr>
            <w:r/>
            <w:r>
              <w:rPr>
                <w:rFonts w:ascii="Times New Roman" w:hAnsi="Times New Roman"/>
                <w:b w:val="0"/>
                <w:color w:val="000000"/>
                <w:sz w:val="18"/>
              </w:rPr>
              <w:t>Selection data cost and reuse of search information</w:t>
            </w:r>
          </w:p>
        </w:tc>
        <w:tc>
          <w:tcPr>
            <w:tcW w:type="dxa" w:w="3120"/>
            <w:vAlign w:val="center"/>
            <w:tcMar>
              <w:top w:w="80" w:type="dxa"/>
              <w:start w:w="90" w:type="dxa"/>
              <w:bottom w:w="80" w:type="dxa"/>
              <w:end w:w="90" w:type="dxa"/>
            </w:tcMar>
            <w:shd w:fill="EAF2F8"/>
          </w:tcPr>
          <w:p>
            <w:pPr>
              <w:spacing w:after="0" w:line="480" w:lineRule="auto"/>
              <w:jc w:val="center"/>
            </w:pPr>
            <w:r/>
            <w:r>
              <w:rPr>
                <w:rFonts w:ascii="Times New Roman" w:hAnsi="Times New Roman"/>
                <w:b w:val="0"/>
                <w:color w:val="000000"/>
                <w:sz w:val="18"/>
              </w:rPr>
              <w:t>Independent pilot-to-validation transfer, exact paid ledger, and explicit endpoint/cost boundaries</w:t>
            </w:r>
          </w:p>
        </w:tc>
      </w:tr>
    </w:tbl>
    <w:p>
      <w:pPr>
        <w:spacing w:line="480" w:lineRule="auto"/>
      </w:pPr>
    </w:p>
    <w:p>
      <w:pPr>
        <w:keepNext w:val="0"/>
        <w:spacing w:line="480" w:lineRule="auto"/>
        <w:ind w:firstLine="317"/>
        <w:jc w:val="both"/>
      </w:pPr>
      <w:r>
        <w:rPr>
          <w:rFonts w:ascii="Times New Roman" w:hAnsi="Times New Roman"/>
          <w:b w:val="0"/>
          <w:i w:val="0"/>
          <w:color w:val="000000"/>
          <w:sz w:val="22"/>
        </w:rPr>
        <w:t>The reusable technical object is the frozen decision record plus its equivalence classes, response ledger, and subsequent validation record. Neither logging, matched initialization, additive ranking invariance, nor counting diagnostic overhead is claimed as a standalone contribution. The methodological advance argued here is their joint use to make a signal-to-action claim falsifiable before treating it as demonstrated engineering-budget value. The paper therefore claims a diagnostic procedure, not an optimizer: its outputs are verdicts with stated evidence and cost, and its only performance claims are the measured ones reported below. The evidence tests that method on a residual controller and four GP acquisition policies; it does not establish general superiority across all surrogate or selector families.</w:t>
      </w:r>
    </w:p>
    <w:p>
      <w:pPr>
        <w:pStyle w:val="Heading1"/>
        <w:keepNext/>
        <w:spacing w:line="480" w:lineRule="auto"/>
        <w:jc w:val="left"/>
      </w:pPr>
      <w:r>
        <w:rPr>
          <w:rFonts w:ascii="Times New Roman" w:hAnsi="Times New Roman"/>
          <w:b/>
          <w:i w:val="0"/>
          <w:color w:val="000000"/>
          <w:sz w:val="22"/>
        </w:rPr>
        <w:t>3 Decision-Consequence Auditing Framework for Surrogate-Assisted Model Management</w:t>
      </w:r>
    </w:p>
    <w:p>
      <w:pPr>
        <w:pStyle w:val="Heading2"/>
        <w:keepNext/>
        <w:spacing w:line="480" w:lineRule="auto"/>
        <w:jc w:val="left"/>
      </w:pPr>
      <w:r>
        <w:rPr>
          <w:rFonts w:ascii="Times New Roman" w:hAnsi="Times New Roman"/>
          <w:b/>
          <w:i/>
          <w:color w:val="000000"/>
          <w:sz w:val="22"/>
        </w:rPr>
        <w:t>3.1 Optimization system and information boundary</w:t>
      </w:r>
    </w:p>
    <w:p>
      <w:pPr>
        <w:keepNext w:val="0"/>
        <w:spacing w:line="480" w:lineRule="auto"/>
        <w:ind w:firstLine="317"/>
        <w:jc w:val="both"/>
      </w:pPr>
      <w:r>
        <w:rPr>
          <w:rFonts w:ascii="Times New Roman" w:hAnsi="Times New Roman"/>
          <w:b w:val="0"/>
          <w:i w:val="0"/>
          <w:color w:val="000000"/>
          <w:sz w:val="22"/>
        </w:rPr>
        <w:t>A deterministic objective f(x) is minimized over a bounded continuous domain under budget B. At evaluation t, the labeled history contains only observations acquired before t. A surrogate fitted to that history supplies predictions for a candidate set, while a monitoring signal and model-management rule determine which candidate, region, evaluation gate, restart, or stopping action is used. The audit treats the full chain from surrogate output to paid evaluation as its object of analysis.</w:t>
      </w:r>
    </w:p>
    <w:p>
      <w:pPr>
        <w:keepNext w:val="0"/>
        <w:spacing w:line="480" w:lineRule="auto"/>
        <w:ind w:firstLine="317"/>
        <w:jc w:val="both"/>
      </w:pPr>
      <w:r>
        <w:rPr>
          <w:rFonts w:ascii="Times New Roman" w:hAnsi="Times New Roman"/>
          <w:b w:val="0"/>
          <w:i w:val="0"/>
          <w:color w:val="000000"/>
          <w:sz w:val="22"/>
        </w:rPr>
        <w:t>Before the objective is called, a prediction-before-label journal stores the candidate set or its reproducible identifier, selected point, surrogate outputs, monitoring signal, incumbent, decision mode, support indicators, and random-state identifiers. The record is flushed before the label is obtained. Labels acquired solely for frozen-state diagnostics remain separate and never return to the optimizer. This boundary prevents outcome information from leaking into the decision being audited.</w:t>
      </w:r>
    </w:p>
    <w:p>
      <w:pPr>
        <w:keepNext w:val="0"/>
        <w:spacing w:line="480" w:lineRule="auto"/>
        <w:ind w:firstLine="317"/>
        <w:jc w:val="both"/>
      </w:pPr>
      <w:r>
        <w:rPr>
          <w:rFonts w:ascii="Times New Roman" w:hAnsi="Times New Roman"/>
          <w:b w:val="0"/>
          <w:i w:val="0"/>
          <w:color w:val="000000"/>
          <w:sz w:val="22"/>
        </w:rPr>
        <w:t>The role of the framework in a surrogate-assisted optimization loop is shown in Figure 1.</w:t>
      </w:r>
    </w:p>
    <w:p>
      <w:pPr>
        <w:keepNext/>
        <w:spacing w:line="480" w:lineRule="auto"/>
        <w:jc w:val="center"/>
      </w:pPr>
      <w:r>
        <w:drawing>
          <wp:inline xmlns:a="http://schemas.openxmlformats.org/drawingml/2006/main" xmlns:pic="http://schemas.openxmlformats.org/drawingml/2006/picture">
            <wp:extent cx="5760720" cy="2565699"/>
            <wp:docPr id="1" name="Picture 1" descr="Decision-consequence auditing framework for surrogate-assisted optimization."/>
            <wp:cNvGraphicFramePr>
              <a:graphicFrameLocks noChangeAspect="1"/>
            </wp:cNvGraphicFramePr>
            <a:graphic>
              <a:graphicData uri="http://schemas.openxmlformats.org/drawingml/2006/picture">
                <pic:pic>
                  <pic:nvPicPr>
                    <pic:cNvPr id="0" name="decision_consequence_framework.png"/>
                    <pic:cNvPicPr/>
                  </pic:nvPicPr>
                  <pic:blipFill>
                    <a:blip r:embed="rId10"/>
                    <a:stretch>
                      <a:fillRect/>
                    </a:stretch>
                  </pic:blipFill>
                  <pic:spPr>
                    <a:xfrm>
                      <a:off x="0" y="0"/>
                      <a:ext cx="5760720" cy="2565699"/>
                    </a:xfrm>
                    <a:prstGeom prst="rect"/>
                  </pic:spPr>
                </pic:pic>
              </a:graphicData>
            </a:graphic>
          </wp:inline>
        </w:drawing>
      </w:r>
    </w:p>
    <w:p>
      <w:pPr>
        <w:keepNext w:val="0"/>
        <w:spacing w:line="480" w:lineRule="auto"/>
        <w:jc w:val="center"/>
      </w:pPr>
      <w:r>
        <w:rPr>
          <w:rFonts w:ascii="Times New Roman" w:hAnsi="Times New Roman"/>
          <w:color w:val="000000"/>
          <w:sz w:val="20"/>
        </w:rPr>
        <w:t>Figure 1: Decision-consequence auditing framework for surrogate-assisted optimization.</w:t>
      </w:r>
    </w:p>
    <w:p>
      <w:pPr>
        <w:keepNext w:val="0"/>
        <w:spacing w:line="480" w:lineRule="auto"/>
        <w:ind w:firstLine="317"/>
        <w:jc w:val="both"/>
      </w:pPr>
      <w:r>
        <w:rPr>
          <w:rFonts w:ascii="Times New Roman" w:hAnsi="Times New Roman"/>
          <w:b w:val="0"/>
          <w:i w:val="0"/>
          <w:color w:val="000000"/>
          <w:sz w:val="22"/>
        </w:rPr>
        <w:t>Figure 1 arranges the loop as six stages read from left to right: expensive engineering problem, surrogate model, monitoring or uncertainty signal, model-management decision, expensive evaluation and optimization outcome, with a return arrow that carries the updated archive and search state back to the surrogate model. Three annotation arrows connect the audit band beneath the chain to the stage each level interrogates, calibration to the monitoring signal, decision influence and utility to the model-management decision, and closed-loop consequence to the optimization outcome. Calibration therefore assesses the signal the optimizer encounters; decision analysis tests whether that signal changes a choice and improves common-state utility; closed-loop validation measures the final consequence after histories diverge.</w:t>
      </w:r>
    </w:p>
    <w:p>
      <w:pPr>
        <w:pStyle w:val="Heading2"/>
        <w:keepNext/>
        <w:spacing w:line="480" w:lineRule="auto"/>
        <w:jc w:val="left"/>
      </w:pPr>
      <w:r>
        <w:rPr>
          <w:rFonts w:ascii="Times New Roman" w:hAnsi="Times New Roman"/>
          <w:b/>
          <w:i/>
          <w:color w:val="000000"/>
          <w:sz w:val="22"/>
        </w:rPr>
        <w:t>3.2 Decision pathways and ranking invariance</w:t>
      </w:r>
    </w:p>
    <w:p>
      <w:pPr>
        <w:keepNext w:val="0"/>
        <w:spacing w:line="480" w:lineRule="auto"/>
        <w:ind w:firstLine="317"/>
        <w:jc w:val="both"/>
      </w:pPr>
      <w:r>
        <w:rPr>
          <w:rFonts w:ascii="Times New Roman" w:hAnsi="Times New Roman"/>
          <w:b w:val="0"/>
          <w:i w:val="0"/>
          <w:color w:val="000000"/>
          <w:sz w:val="22"/>
        </w:rPr>
        <w:t>A monitoring mechanism can affect optimization through candidate-specific ranking, an evaluation gate, a restart or stopping rule, a change of search region or population, or a stochastic exploration controller. The first audit step identifies at least one such path before additional expensive experiments are authorized.</w:t>
      </w:r>
    </w:p>
    <w:p>
      <w:pPr>
        <w:keepNext w:val="0"/>
        <w:spacing w:line="480" w:lineRule="auto"/>
        <w:ind w:firstLine="317"/>
        <w:jc w:val="both"/>
      </w:pPr>
      <w:r>
        <w:rPr>
          <w:rFonts w:ascii="Times New Roman" w:hAnsi="Times New Roman"/>
          <w:b/>
          <w:i w:val="0"/>
          <w:color w:val="000000"/>
          <w:sz w:val="22"/>
        </w:rPr>
        <w:t>Lemma 1 (ranking invariance under a candidate-independent additive correction).</w:t>
      </w:r>
      <w:r>
        <w:rPr>
          <w:rFonts w:ascii="Times New Roman" w:hAnsi="Times New Roman"/>
          <w:b w:val="0"/>
          <w:i w:val="0"/>
          <w:color w:val="000000"/>
          <w:sz w:val="22"/>
        </w:rPr>
        <w:t xml:space="preserve"> At evaluation t, suppose two rules receive an identical indexed candidate set, use deterministic and identical tie-breaking, and are evaluated in exact arithmetic. If every supported candidate shares the same additive correction cₜ, then minimizing Hₜ(x)=μₜ(x)+cₜ returns the same minimizer index as minimizing μₜ(x).</w:t>
      </w:r>
    </w:p>
    <w:p>
      <w:pPr>
        <w:keepNext w:val="0"/>
        <w:spacing w:line="480" w:lineRule="auto"/>
        <w:jc w:val="both"/>
      </w:pPr>
      <w:r>
        <w:rPr>
          <w:rFonts w:ascii="Times New Roman" w:hAnsi="Times New Roman"/>
          <w:b/>
          <w:i w:val="0"/>
          <w:color w:val="000000"/>
          <w:sz w:val="22"/>
        </w:rPr>
        <w:t>Proof.</w:t>
      </w:r>
      <w:r>
        <w:rPr>
          <w:rFonts w:ascii="Times New Roman" w:hAnsi="Times New Roman"/>
          <w:b w:val="0"/>
          <w:i w:val="0"/>
          <w:color w:val="000000"/>
          <w:sz w:val="22"/>
        </w:rPr>
        <w:t xml:space="preserve"> For any indexed candidates xᵢ and xⱼ, Hₜ(xᵢ)-Hₜ(xⱼ)=μₜ(xᵢ)-μₜ(xⱼ). Every strict comparison and exact tie is therefore preserved under the stated tie-breaking rule. The same indexed minimizer follows. ∎</w:t>
      </w:r>
    </w:p>
    <w:p>
      <w:pPr>
        <w:keepNext w:val="0"/>
        <w:spacing w:line="480" w:lineRule="auto"/>
        <w:jc w:val="both"/>
      </w:pPr>
      <w:r>
        <w:rPr>
          <w:rFonts w:ascii="Times New Roman" w:hAnsi="Times New Roman"/>
          <w:b/>
          <w:i w:val="0"/>
          <w:color w:val="000000"/>
          <w:sz w:val="22"/>
        </w:rPr>
        <w:t>Corollary 1.</w:t>
      </w:r>
      <w:r>
        <w:rPr>
          <w:rFonts w:ascii="Times New Roman" w:hAnsi="Times New Roman"/>
          <w:b w:val="0"/>
          <w:i w:val="0"/>
          <w:color w:val="000000"/>
          <w:sz w:val="22"/>
        </w:rPr>
        <w:t xml:space="preserve"> If two configurations also share initialization, candidate generation, exploration decisions, all random streams and stochastic operators, numerical precision, and optimizer-state updates, and differ only by replacing the common-correction minimizer with the mean minimizer, their trajectories are identical by induction over evaluations. Finite-precision agreement is an implementation property and is checked separately in the experiment audit.</w:t>
      </w:r>
    </w:p>
    <w:p>
      <w:pPr>
        <w:keepNext w:val="0"/>
        <w:spacing w:line="480" w:lineRule="auto"/>
        <w:ind w:firstLine="317"/>
        <w:jc w:val="both"/>
      </w:pPr>
      <w:r>
        <w:rPr>
          <w:rFonts w:ascii="Times New Roman" w:hAnsi="Times New Roman"/>
          <w:b w:val="0"/>
          <w:i w:val="0"/>
          <w:color w:val="000000"/>
          <w:sz w:val="22"/>
        </w:rPr>
        <w:t>This result identifies a structural limitation of candidate-independent corrections; it does not invalidate uncertainty-aware surrogate management in general. Candidate-dependent posterior uncertainty, expected improvement, lower-confidence bounds, support-dependent rules, evaluation gates, restarts, and stopping policies may create decision paths that Lemma 1 does not remove.</w:t>
      </w:r>
    </w:p>
    <w:p>
      <w:pPr>
        <w:pStyle w:val="Heading2"/>
        <w:keepNext/>
        <w:spacing w:line="480" w:lineRule="auto"/>
        <w:jc w:val="left"/>
      </w:pPr>
      <w:r>
        <w:rPr>
          <w:rFonts w:ascii="Times New Roman" w:hAnsi="Times New Roman"/>
          <w:b/>
          <w:i/>
          <w:color w:val="000000"/>
          <w:sz w:val="22"/>
        </w:rPr>
        <w:t>3.3 Three audit levels and promotion gate</w:t>
      </w:r>
    </w:p>
    <w:p>
      <w:pPr>
        <w:keepNext w:val="0"/>
        <w:spacing w:line="480" w:lineRule="auto"/>
        <w:ind w:firstLine="317"/>
        <w:jc w:val="both"/>
      </w:pPr>
      <w:r>
        <w:rPr>
          <w:rFonts w:ascii="Times New Roman" w:hAnsi="Times New Roman"/>
          <w:b w:val="0"/>
          <w:i w:val="0"/>
          <w:color w:val="000000"/>
          <w:sz w:val="22"/>
        </w:rPr>
        <w:t>Common-history calibration fits the same frozen model and candidate pool, then evaluates monitoring losses and failures without updating the search. Common-state decision analysis compares the action with and without the mechanism at the same state; when actions differ, separate diagnostic labels measure true one-step utility. Independent closed-loop experiments then allow each policy to update its own history and evaluate final optimization behavior. One-step improvement diagnoses immediate exploitation value but is not a necessary condition for useful exploration. A lower immediate gain therefore identifies a need for delayed-value assessment rather than, by itself, grounds for stopping an exploration mechanism. The following procedure clarifies the interpretation of audit stages; it does not retrospectively alter any frozen experimental protocol or statistical comparison.</w:t>
      </w:r>
    </w:p>
    <w:p>
      <w:pPr>
        <w:keepNext w:val="0"/>
        <w:spacing w:line="480" w:lineRule="auto"/>
        <w:ind w:firstLine="317"/>
        <w:jc w:val="both"/>
      </w:pPr>
      <w:r>
        <w:rPr>
          <w:rFonts w:ascii="Times New Roman" w:hAnsi="Times New Roman"/>
          <w:b/>
          <w:i w:val="0"/>
          <w:color w:val="000000"/>
          <w:sz w:val="22"/>
        </w:rPr>
        <w:t>Algorithm 1. Decision-consequence audit for a surrogate-assisted model-management mechanism.</w:t>
      </w:r>
    </w:p>
    <w:p>
      <w:pPr>
        <w:keepNext w:val="0"/>
        <w:spacing w:line="480" w:lineRule="auto"/>
        <w:ind w:firstLine="317"/>
        <w:jc w:val="both"/>
      </w:pPr>
      <w:r>
        <w:rPr>
          <w:rFonts w:ascii="Times New Roman" w:hAnsi="Times New Roman"/>
          <w:b/>
          <w:i w:val="0"/>
          <w:color w:val="000000"/>
          <w:sz w:val="22"/>
        </w:rPr>
        <w:t>Step 1 — Specify.</w:t>
      </w:r>
      <w:r>
        <w:rPr>
          <w:rFonts w:ascii="Times New Roman" w:hAnsi="Times New Roman"/>
          <w:b w:val="0"/>
          <w:i w:val="0"/>
          <w:color w:val="000000"/>
          <w:sz w:val="22"/>
        </w:rPr>
        <w:t xml:space="preserve"> Freeze the surrogate, candidate generator, monitoring signal, management or acquisition rule, expensive objective, budget, and deterministic replay information. Output: protocol and information boundary.</w:t>
      </w:r>
    </w:p>
    <w:p>
      <w:pPr>
        <w:keepNext w:val="0"/>
        <w:spacing w:line="480" w:lineRule="auto"/>
        <w:ind w:firstLine="317"/>
        <w:jc w:val="both"/>
      </w:pPr>
      <w:r>
        <w:rPr>
          <w:rFonts w:ascii="Times New Roman" w:hAnsi="Times New Roman"/>
          <w:b/>
          <w:i w:val="0"/>
          <w:color w:val="000000"/>
          <w:sz w:val="22"/>
        </w:rPr>
        <w:t>Step 2 — Trace.</w:t>
      </w:r>
      <w:r>
        <w:rPr>
          <w:rFonts w:ascii="Times New Roman" w:hAnsi="Times New Roman"/>
          <w:b w:val="0"/>
          <w:i w:val="0"/>
          <w:color w:val="000000"/>
          <w:sz w:val="22"/>
        </w:rPr>
        <w:t xml:space="preserve"> Follow the signal through ranking, evaluation, region, population, restart, stopping, or stochastic-exploration decisions. Gate: at least one candidate-dependent or otherwise actionable path.</w:t>
      </w:r>
    </w:p>
    <w:p>
      <w:pPr>
        <w:keepNext w:val="0"/>
        <w:spacing w:line="480" w:lineRule="auto"/>
        <w:ind w:firstLine="317"/>
        <w:jc w:val="both"/>
      </w:pPr>
      <w:r>
        <w:rPr>
          <w:rFonts w:ascii="Times New Roman" w:hAnsi="Times New Roman"/>
          <w:b/>
          <w:i w:val="0"/>
          <w:color w:val="000000"/>
          <w:sz w:val="22"/>
        </w:rPr>
        <w:t>Step 3 — Record and calibrate.</w:t>
      </w:r>
      <w:r>
        <w:rPr>
          <w:rFonts w:ascii="Times New Roman" w:hAnsi="Times New Roman"/>
          <w:b w:val="0"/>
          <w:i w:val="0"/>
          <w:color w:val="000000"/>
          <w:sz w:val="22"/>
        </w:rPr>
        <w:t xml:space="preserve"> Persist every decision before its label. If the mechanism makes a calibrated-error claim, assess that claim on appropriately separated diagnostic data. Gate: an intact information boundary and evidence supporting the stated claim. Mechanisms that make no calibration claim are not required to pass a coverage test.</w:t>
      </w:r>
    </w:p>
    <w:p>
      <w:pPr>
        <w:keepNext w:val="0"/>
        <w:spacing w:line="480" w:lineRule="auto"/>
        <w:ind w:firstLine="317"/>
        <w:jc w:val="both"/>
      </w:pPr>
      <w:r>
        <w:rPr>
          <w:rFonts w:ascii="Times New Roman" w:hAnsi="Times New Roman"/>
          <w:b/>
          <w:i w:val="0"/>
          <w:color w:val="000000"/>
          <w:sz w:val="22"/>
        </w:rPr>
        <w:t>Step 4 — Test common-state utility.</w:t>
      </w:r>
      <w:r>
        <w:rPr>
          <w:rFonts w:ascii="Times New Roman" w:hAnsi="Times New Roman"/>
          <w:b w:val="0"/>
          <w:i w:val="0"/>
          <w:color w:val="000000"/>
          <w:sz w:val="22"/>
        </w:rPr>
        <w:t xml:space="preserve"> Freeze optimization states and candidate pools, compare baseline and mechanism actions, and label only the prespecified diagnostic alternatives. Report decision-change frequency and immediate utility. For exploration, region, restart, or stopping mechanisms, prespecify a delayed-value assessment where needed. Gate: an identifiable decision consequence and sufficient evidence to justify the next diagnostic expenditure; lower one-step improvement alone does not reject exploration.</w:t>
      </w:r>
    </w:p>
    <w:p>
      <w:pPr>
        <w:keepNext w:val="0"/>
        <w:spacing w:line="480" w:lineRule="auto"/>
        <w:ind w:firstLine="317"/>
        <w:jc w:val="both"/>
      </w:pPr>
      <w:r>
        <w:rPr>
          <w:rFonts w:ascii="Times New Roman" w:hAnsi="Times New Roman"/>
          <w:b/>
          <w:i w:val="0"/>
          <w:color w:val="000000"/>
          <w:sz w:val="22"/>
        </w:rPr>
        <w:t>Step 5 — Validate the closed loop.</w:t>
      </w:r>
      <w:r>
        <w:rPr>
          <w:rFonts w:ascii="Times New Roman" w:hAnsi="Times New Roman"/>
          <w:b w:val="0"/>
          <w:i w:val="0"/>
          <w:color w:val="000000"/>
          <w:sz w:val="22"/>
        </w:rPr>
        <w:t xml:space="preserve"> Run independent optimization on held-out instances or engineering conditions under matched optimizer budgets, including when exploration requires a delayed-value test. Record diagnostic calls separately and include them in any deployment-cost comparison. Output: final objective consequence and total cost boundary.</w:t>
      </w:r>
    </w:p>
    <w:p>
      <w:pPr>
        <w:keepNext w:val="0"/>
        <w:spacing w:line="480" w:lineRule="auto"/>
        <w:ind w:firstLine="317"/>
        <w:jc w:val="both"/>
      </w:pPr>
      <w:r>
        <w:rPr>
          <w:rFonts w:ascii="Times New Roman" w:hAnsi="Times New Roman"/>
          <w:b/>
          <w:i w:val="0"/>
          <w:color w:val="000000"/>
          <w:sz w:val="22"/>
        </w:rPr>
        <w:t>Step 6 — Decide.</w:t>
      </w:r>
      <w:r>
        <w:rPr>
          <w:rFonts w:ascii="Times New Roman" w:hAnsi="Times New Roman"/>
          <w:b w:val="0"/>
          <w:i w:val="0"/>
          <w:color w:val="000000"/>
          <w:sz w:val="22"/>
        </w:rPr>
        <w:t xml:space="preserve"> Promote, revise, stop, or retain an inconclusive decision using prespecified outcome tolerances and cost limits. Report the first unsupported claim and the evidence needed to resolve it. Promotion requires closed-loop evidence for the intended engineering use. Output: stage-wise audit record.</w:t>
      </w:r>
    </w:p>
    <w:p>
      <w:pPr>
        <w:keepNext w:val="0"/>
        <w:spacing w:line="480" w:lineRule="auto"/>
        <w:ind w:firstLine="317"/>
        <w:jc w:val="both"/>
      </w:pPr>
      <w:r>
        <w:rPr>
          <w:rFonts w:ascii="Times New Roman" w:hAnsi="Times New Roman"/>
          <w:b w:val="0"/>
          <w:i w:val="0"/>
          <w:color w:val="000000"/>
          <w:sz w:val="22"/>
        </w:rPr>
        <w:t>The framework can return a positive result, and does so on recorded data. Classical GP acquisition is a candidate-dependent positive control because both its predicted improvement and its uncertainty vary across candidates, so it can change ranking and passes the structural decision-influence check; passing that first check does not guarantee superior endpoints, it authorizes empirical utility and closed-loop evaluation. Section 6.4 applies a declared promotion rule to the three recorded acquisition rules and reports one promotion, one stop and one held-for-revision verdict.</w:t>
      </w:r>
    </w:p>
    <w:p>
      <w:pPr>
        <w:pStyle w:val="Heading2"/>
        <w:keepNext/>
        <w:spacing w:line="480" w:lineRule="auto"/>
        <w:jc w:val="left"/>
      </w:pPr>
      <w:r>
        <w:rPr>
          <w:rFonts w:ascii="Times New Roman" w:hAnsi="Times New Roman"/>
          <w:b/>
          <w:i/>
          <w:color w:val="000000"/>
          <w:sz w:val="22"/>
        </w:rPr>
        <w:t>3.4 Diagnostic cost and scope of deployment claims</w:t>
      </w:r>
    </w:p>
    <w:p>
      <w:pPr>
        <w:keepNext w:val="0"/>
        <w:spacing w:line="480" w:lineRule="auto"/>
        <w:ind w:firstLine="317"/>
        <w:jc w:val="both"/>
      </w:pPr>
      <w:r>
        <w:rPr>
          <w:rFonts w:ascii="Times New Roman" w:hAnsi="Times New Roman"/>
          <w:b w:val="0"/>
          <w:i w:val="0"/>
          <w:color w:val="000000"/>
          <w:sz w:val="22"/>
        </w:rPr>
        <w:t>The optimization budget and the audit budget are different quantities. The total physical-call cost includes additional optimizer evaluations, diagnostic evaluations, and recovery or verification calls; previously paid deterministic labels reused from an archive are identified separately. A comparison of optimizer endpoints at equal budgets does not establish that the audit itself saves evaluations.</w:t>
      </w:r>
    </w:p>
    <w:p>
      <w:pPr>
        <w:keepNext w:val="0"/>
        <w:spacing w:line="480" w:lineRule="auto"/>
        <w:ind w:firstLine="317"/>
        <w:jc w:val="both"/>
      </w:pPr>
      <w:r>
        <w:rPr>
          <w:rFonts w:ascii="Times New Roman" w:hAnsi="Times New Roman"/>
          <w:b w:val="0"/>
          <w:i w:val="0"/>
          <w:color w:val="000000"/>
          <w:sz w:val="22"/>
        </w:rPr>
        <w:t>The independent internal validation uses 907,200 optimization evaluations and 1,990,656 additional diagnostic labels. Those full-pool diagnostics support mechanism analysis on inexpensive benchmark functions, but are not proposed as the default screening cost for expensive engineering simulations. A bounded engineering audit should prespecify states, label the union of selected alternatives where possible, and stop or report inconclusive when its diagnostic limit is reached. Any claim of net savings must compare the audited workflow with a prespecified unaudited workflow, including diagnostic overhead. Section 6.5 reports a complete paid-workflow comparison with endpoint losses; it does not establish performance-preserving net savings.</w:t>
      </w:r>
    </w:p>
    <w:p>
      <w:pPr>
        <w:pStyle w:val="Heading2"/>
        <w:keepNext/>
        <w:spacing w:line="480" w:lineRule="auto"/>
        <w:jc w:val="left"/>
      </w:pPr>
      <w:r>
        <w:rPr>
          <w:rFonts w:ascii="Times New Roman" w:hAnsi="Times New Roman"/>
          <w:b/>
          <w:i/>
          <w:color w:val="000000"/>
          <w:sz w:val="22"/>
        </w:rPr>
        <w:t>3.5 Decision equivalence and the minimum immediate diagnostic budget</w:t>
      </w:r>
    </w:p>
    <w:p>
      <w:pPr>
        <w:keepNext w:val="0"/>
        <w:spacing w:line="480" w:lineRule="auto"/>
        <w:ind w:firstLine="317"/>
        <w:jc w:val="both"/>
      </w:pPr>
      <w:r>
        <w:rPr>
          <w:rFonts w:ascii="Times New Roman" w:hAnsi="Times New Roman"/>
          <w:b w:val="0"/>
          <w:i w:val="0"/>
          <w:color w:val="000000"/>
          <w:sz w:val="22"/>
        </w:rPr>
        <w:t>For a frozen state s, let aⱼ(s) be the exact point selected by policy j and let c identify the deterministic objective context: simulator, physical condition, parameterization, and numerical configuration. Policies are immediately decision-equivalent when they select the same bitwise point under the same c. This is a local relation. Equivalent first actions do not make later policies equivalent, and labels must not be reused across changed physical conditions or noisy objectives without an additional justification.</w:t>
      </w:r>
    </w:p>
    <w:p>
      <w:pPr>
        <w:keepNext w:val="0"/>
        <w:spacing w:line="480" w:lineRule="auto"/>
        <w:ind w:firstLine="317"/>
        <w:jc w:val="both"/>
      </w:pPr>
      <w:r>
        <w:rPr>
          <w:rFonts w:ascii="Times New Roman" w:hAnsi="Times New Roman"/>
          <w:b w:val="0"/>
          <w:i w:val="0"/>
          <w:color w:val="000000"/>
          <w:sz w:val="22"/>
        </w:rPr>
        <w:t>Let X be the union of distinct context-point pairs selected by all prespecified states and policies, and let A contain the exact responses that the auditor is permitted to reuse after decisions have been frozen. For incumbent m_s and fixed positive scale v_s, the reported immediate utility is uⱼ(s)=max(0,m_s-f_c(aⱼ(s)))/v_s. The additional deterministic query requirement is</w:t>
      </w:r>
    </w:p>
    <w:p>
      <w:pPr>
        <w:keepNext w:val="0"/>
        <w:spacing w:line="480" w:lineRule="auto"/>
        <w:ind w:firstLine="317"/>
        <w:jc w:val="both"/>
      </w:pPr>
      <w:r>
        <w:rPr>
          <w:rFonts w:ascii="Times New Roman" w:hAnsi="Times New Roman"/>
          <w:b/>
          <w:i w:val="0"/>
          <w:color w:val="000000"/>
          <w:sz w:val="22"/>
        </w:rPr>
        <w:t>Diagnostic query requirement:</w:t>
      </w:r>
      <w:r>
        <w:rPr>
          <w:rFonts w:ascii="Times New Roman" w:hAnsi="Times New Roman"/>
          <w:b w:val="0"/>
          <w:i w:val="0"/>
          <w:color w:val="000000"/>
          <w:sz w:val="22"/>
        </w:rPr>
        <w:t xml:space="preserve"> </w:t>
      </w:r>
      <w:r>
        <w:rPr>
          <w:rFonts w:ascii="Times New Roman" w:hAnsi="Times New Roman"/>
          <w:b w:val="0"/>
          <w:i/>
          <w:color w:val="000000"/>
          <w:sz w:val="22"/>
        </w:rPr>
        <w:t>N</w:t>
      </w:r>
      <w:r>
        <w:rPr>
          <w:rFonts w:ascii="Times New Roman" w:hAnsi="Times New Roman"/>
          <w:b w:val="0"/>
          <w:i w:val="0"/>
          <w:color w:val="000000"/>
          <w:sz w:val="22"/>
        </w:rPr>
        <w:t>diag = |</w:t>
      </w:r>
      <w:r>
        <w:rPr>
          <w:rFonts w:ascii="Times New Roman" w:hAnsi="Times New Roman"/>
          <w:b w:val="0"/>
          <w:i/>
          <w:color w:val="000000"/>
          <w:sz w:val="22"/>
        </w:rPr>
        <w:t>X</w:t>
      </w:r>
      <w:r>
        <w:rPr>
          <w:rFonts w:ascii="Times New Roman" w:hAnsi="Times New Roman"/>
          <w:b w:val="0"/>
          <w:i w:val="0"/>
          <w:color w:val="000000"/>
          <w:sz w:val="22"/>
        </w:rPr>
        <w:t xml:space="preserve"> − </w:t>
      </w:r>
      <w:r>
        <w:rPr>
          <w:rFonts w:ascii="Times New Roman" w:hAnsi="Times New Roman"/>
          <w:b w:val="0"/>
          <w:i/>
          <w:color w:val="000000"/>
          <w:sz w:val="22"/>
        </w:rPr>
        <w:t>A</w:t>
      </w:r>
      <w:r>
        <w:rPr>
          <w:rFonts w:ascii="Times New Roman" w:hAnsi="Times New Roman"/>
          <w:b w:val="0"/>
          <w:i w:val="0"/>
          <w:color w:val="000000"/>
          <w:sz w:val="22"/>
        </w:rPr>
        <w:t>|.</w:t>
      </w:r>
    </w:p>
    <w:p>
      <w:pPr>
        <w:keepNext w:val="0"/>
        <w:spacing w:line="480" w:lineRule="auto"/>
        <w:jc w:val="both"/>
      </w:pPr>
      <w:r>
        <w:rPr>
          <w:rFonts w:ascii="Times New Roman" w:hAnsi="Times New Roman"/>
          <w:b/>
          <w:i w:val="0"/>
          <w:color w:val="000000"/>
          <w:sz w:val="22"/>
        </w:rPr>
        <w:t>Proposition 1 (minimum worst-case immediate diagnostic queries).</w:t>
      </w:r>
      <w:r>
        <w:rPr>
          <w:rFonts w:ascii="Times New Roman" w:hAnsi="Times New Roman"/>
          <w:b w:val="0"/>
          <w:i w:val="0"/>
          <w:color w:val="000000"/>
          <w:sz w:val="22"/>
        </w:rPr>
        <w:t xml:space="preserve"> Suppose the objective is an unrestricted deterministic oracle, all selected points and incumbents are frozen, and each unqueried response can independently lie on either side of at least one associated incumbent while all other responses remain fixed. Querying each member of X outside A once suffices to report every immediate utility. In the worst case, fewer queries cannot determine all utilities exactly.</w:t>
      </w:r>
    </w:p>
    <w:p>
      <w:pPr>
        <w:keepNext w:val="0"/>
        <w:spacing w:line="480" w:lineRule="auto"/>
        <w:jc w:val="both"/>
      </w:pPr>
      <w:r>
        <w:rPr>
          <w:rFonts w:ascii="Times New Roman" w:hAnsi="Times New Roman"/>
          <w:b/>
          <w:i w:val="0"/>
          <w:color w:val="000000"/>
          <w:sz w:val="22"/>
        </w:rPr>
        <w:t>Proof.</w:t>
      </w:r>
      <w:r>
        <w:rPr>
          <w:rFonts w:ascii="Times New Roman" w:hAnsi="Times New Roman"/>
          <w:b w:val="0"/>
          <w:i w:val="0"/>
          <w:color w:val="000000"/>
          <w:sz w:val="22"/>
        </w:rPr>
        <w:t xml:space="preserve"> Sufficiency follows by assigning the same exact response to every context-point equivalence class and reusing only permitted responses. For necessity, consider an unqueried member </w:t>
      </w:r>
      <w:r>
        <w:rPr>
          <w:rFonts w:ascii="Times New Roman" w:hAnsi="Times New Roman"/>
          <w:b w:val="0"/>
          <w:i/>
          <w:color w:val="000000"/>
          <w:sz w:val="22"/>
        </w:rPr>
        <w:t>x</w:t>
      </w:r>
      <w:r>
        <w:rPr>
          <w:rFonts w:ascii="Times New Roman" w:hAnsi="Times New Roman"/>
          <w:b w:val="0"/>
          <w:i w:val="0"/>
          <w:color w:val="000000"/>
          <w:sz w:val="22"/>
        </w:rPr>
        <w:t xml:space="preserve"> in a class with incumbent </w:t>
      </w:r>
      <w:r>
        <w:rPr>
          <w:rFonts w:ascii="Times New Roman" w:hAnsi="Times New Roman"/>
          <w:b w:val="0"/>
          <w:i/>
          <w:color w:val="000000"/>
          <w:sz w:val="22"/>
        </w:rPr>
        <w:t>m</w:t>
      </w:r>
      <w:r>
        <w:rPr>
          <w:rFonts w:ascii="Times New Roman" w:hAnsi="Times New Roman"/>
          <w:b w:val="0"/>
          <w:i w:val="0"/>
          <w:color w:val="000000"/>
          <w:sz w:val="22"/>
        </w:rPr>
        <w:t xml:space="preserve">. Two objectives can agree on all available and queried responses while taking values </w:t>
      </w:r>
      <w:r>
        <w:rPr>
          <w:rFonts w:ascii="Times New Roman" w:hAnsi="Times New Roman"/>
          <w:b w:val="0"/>
          <w:i/>
          <w:color w:val="000000"/>
          <w:sz w:val="22"/>
        </w:rPr>
        <w:t>m</w:t>
      </w:r>
      <w:r>
        <w:rPr>
          <w:rFonts w:ascii="Times New Roman" w:hAnsi="Times New Roman"/>
          <w:b w:val="0"/>
          <w:i w:val="0"/>
          <w:color w:val="000000"/>
          <w:sz w:val="22"/>
        </w:rPr>
        <w:t xml:space="preserve"> − δ and </w:t>
      </w:r>
      <w:r>
        <w:rPr>
          <w:rFonts w:ascii="Times New Roman" w:hAnsi="Times New Roman"/>
          <w:b w:val="0"/>
          <w:i/>
          <w:color w:val="000000"/>
          <w:sz w:val="22"/>
        </w:rPr>
        <w:t>m</w:t>
      </w:r>
      <w:r>
        <w:rPr>
          <w:rFonts w:ascii="Times New Roman" w:hAnsi="Times New Roman"/>
          <w:b w:val="0"/>
          <w:i w:val="0"/>
          <w:color w:val="000000"/>
          <w:sz w:val="22"/>
        </w:rPr>
        <w:t xml:space="preserve"> + δ at </w:t>
      </w:r>
      <w:r>
        <w:rPr>
          <w:rFonts w:ascii="Times New Roman" w:hAnsi="Times New Roman"/>
          <w:b w:val="0"/>
          <w:i/>
          <w:color w:val="000000"/>
          <w:sz w:val="22"/>
        </w:rPr>
        <w:t>x</w:t>
      </w:r>
      <w:r>
        <w:rPr>
          <w:rFonts w:ascii="Times New Roman" w:hAnsi="Times New Roman"/>
          <w:b w:val="0"/>
          <w:i w:val="0"/>
          <w:color w:val="000000"/>
          <w:sz w:val="22"/>
        </w:rPr>
        <w:t xml:space="preserve"> for δ &gt; 0 (δ &lt; </w:t>
      </w:r>
      <w:r>
        <w:rPr>
          <w:rFonts w:ascii="Times New Roman" w:hAnsi="Times New Roman"/>
          <w:b w:val="0"/>
          <w:i/>
          <w:color w:val="000000"/>
          <w:sz w:val="22"/>
        </w:rPr>
        <w:t>m</w:t>
      </w:r>
      <w:r>
        <w:rPr>
          <w:rFonts w:ascii="Times New Roman" w:hAnsi="Times New Roman"/>
          <w:b w:val="0"/>
          <w:i w:val="0"/>
          <w:color w:val="000000"/>
          <w:sz w:val="22"/>
        </w:rPr>
        <w:t xml:space="preserve"> for a positive objective); the resulting utilities differ. No procedure using only those shared observations can distinguish them. For a finite set of distinct points, disjoint smooth local interpolants can realize these assignments, so smoothness alone does not remove the ambiguity. Querying each undetermined member resolves it. A certified response bound or a restricted physical objective class may reduce this worst-case requirement; no such additional exact inference is used here. ∎</w:t>
      </w:r>
    </w:p>
    <w:p>
      <w:pPr>
        <w:keepNext w:val="0"/>
        <w:spacing w:line="480" w:lineRule="auto"/>
        <w:ind w:firstLine="317"/>
        <w:jc w:val="both"/>
      </w:pPr>
      <w:r>
        <w:rPr>
          <w:rFonts w:ascii="Times New Roman" w:hAnsi="Times New Roman"/>
          <w:b w:val="0"/>
          <w:i w:val="0"/>
          <w:color w:val="000000"/>
          <w:sz w:val="22"/>
        </w:rPr>
        <w:t>The proposition is an allocation rule for a specified exact diagnostic report, not a lower bound on all possible optimization audits. It does not prove that the queries improve search. Section 6.3 illustrates both the within-state equivalence reduction and the additional reduction from permitted source-response and diagnostic-cache reuse. The source label at a frozen original action is consulted only after the intervention choices are fixed; it never enters the predecision GP fit. All thresholds for a deployment decision must still be fixed for the intended engineering use before its validation outcomes are observed. The added transfer study supplies descriptive evidence, not a retrospectively chosen promotion threshold.</w:t>
      </w:r>
    </w:p>
    <w:p>
      <w:pPr>
        <w:pStyle w:val="Heading1"/>
        <w:keepNext/>
        <w:spacing w:line="480" w:lineRule="auto"/>
        <w:jc w:val="left"/>
      </w:pPr>
      <w:r>
        <w:rPr>
          <w:rFonts w:ascii="Times New Roman" w:hAnsi="Times New Roman"/>
          <w:b/>
          <w:i w:val="0"/>
          <w:color w:val="000000"/>
          <w:sz w:val="22"/>
        </w:rPr>
        <w:t>4 Experimental Design</w:t>
      </w:r>
    </w:p>
    <w:p>
      <w:pPr>
        <w:pStyle w:val="Heading2"/>
        <w:keepNext/>
        <w:spacing w:line="480" w:lineRule="auto"/>
        <w:jc w:val="left"/>
      </w:pPr>
      <w:r>
        <w:rPr>
          <w:rFonts w:ascii="Times New Roman" w:hAnsi="Times New Roman"/>
          <w:b/>
          <w:i/>
          <w:color w:val="000000"/>
          <w:sz w:val="22"/>
        </w:rPr>
        <w:t>4.1 Representative monitored optimizer and search framework</w:t>
      </w:r>
    </w:p>
    <w:p>
      <w:pPr>
        <w:keepNext w:val="0"/>
        <w:spacing w:line="480" w:lineRule="auto"/>
        <w:ind w:firstLine="317"/>
        <w:jc w:val="both"/>
      </w:pPr>
      <w:r>
        <w:rPr>
          <w:rFonts w:ascii="Times New Roman" w:hAnsi="Times New Roman"/>
          <w:b w:val="0"/>
          <w:i w:val="0"/>
          <w:color w:val="000000"/>
          <w:sz w:val="22"/>
        </w:rPr>
        <w:t>A temporal residual monitor is used as the representative audited mechanism. For a selected point xₜ, the standardized signed residual is rₜ=[yₜ-μₜ(xₜ)]/sₜ, where sₜ is the standard deviation of the current training labels and is replaced by one if it is zero. Historical residuals retain their prediction-time models and scales. For candidate x, the monitor forms Hₜ(x)=μₜ(x)+sₜ qₜ(x), where qₜ(x) is the nonnegative weighted 0.9 quantile of at most the latest 100 residuals. Temporal weights have a half-life of 25 evaluations; spatial variants use a Gaussian kernel and an effective-sample-size support guard of 20.</w:t>
      </w:r>
    </w:p>
    <w:p>
      <w:pPr>
        <w:keepNext w:val="0"/>
        <w:spacing w:line="480" w:lineRule="auto"/>
        <w:ind w:firstLine="317"/>
        <w:jc w:val="both"/>
      </w:pPr>
      <w:r>
        <w:rPr>
          <w:rFonts w:ascii="Times New Roman" w:hAnsi="Times New Roman"/>
          <w:b w:val="0"/>
          <w:i w:val="0"/>
          <w:color w:val="000000"/>
          <w:sz w:val="22"/>
        </w:rPr>
        <w:t>The prediction-error-monitoring prototype with temporal weighting (PEM-T) converts recent failures, normalized bound width, and evaluations without incumbent improvement into an exploration probability between 0.1 and 0.8. Exploration selects the candidate with the largest minimum distance to the archive. Otherwise, the smallest supported upper value is used when an improvement declaration is available and the monitor is not alarmed; the smallest predicted mean is used in the remaining cases. fixed 0.1 retains the same model and candidate process with exploration probability 0.1. Under the temporal bound, qₜ and sₜ are common to supported candidates, so Lemma 1 predicts that the upper-value and mean exploitation rankings coincide.</w:t>
      </w:r>
    </w:p>
    <w:p>
      <w:pPr>
        <w:keepNext w:val="0"/>
        <w:spacing w:line="480" w:lineRule="auto"/>
        <w:ind w:firstLine="317"/>
        <w:jc w:val="both"/>
      </w:pPr>
      <w:r>
        <w:rPr>
          <w:rFonts w:ascii="Times New Roman" w:hAnsi="Times New Roman"/>
          <w:b w:val="0"/>
          <w:i w:val="0"/>
          <w:color w:val="000000"/>
          <w:sz w:val="22"/>
        </w:rPr>
        <w:t>The internal optimizer uses a randomized Latin hypercube with 2D+20 initialization points, where D denotes the problem dimension. The first D+10 points train the initial model; the remaining D+10 are predicted before labeling and create startup residuals. Inputs are scaled to the unit cube. A regularized Gaussian radial-basis-function (RBF) surrogate uses distance divided by the square root of D, length scale 0.25, ridge 10^-6, and standardized labels. At most 256 observations are retained through an elite-plus-farthest-point rule.</w:t>
      </w:r>
    </w:p>
    <w:p>
      <w:pPr>
        <w:keepNext w:val="0"/>
        <w:spacing w:line="480" w:lineRule="auto"/>
        <w:ind w:firstLine="317"/>
        <w:jc w:val="both"/>
      </w:pPr>
      <w:r>
        <w:rPr>
          <w:rFonts w:ascii="Times New Roman" w:hAnsi="Times New Roman"/>
          <w:b w:val="0"/>
          <w:i w:val="0"/>
          <w:color w:val="000000"/>
          <w:sz w:val="22"/>
        </w:rPr>
        <w:t>Each iteration proposes 256 candidates: 128 reflected differential-evolution proposals and 128 scrambled Sobol points. Duplicates and candidates within 10^-10 of evaluated points are replaced. Purpose-specific random streams depend on seed and evaluation index rather than the total budget.</w:t>
      </w:r>
    </w:p>
    <w:p>
      <w:pPr>
        <w:pStyle w:val="Heading2"/>
        <w:keepNext/>
        <w:spacing w:line="480" w:lineRule="auto"/>
        <w:jc w:val="left"/>
      </w:pPr>
      <w:r>
        <w:rPr>
          <w:rFonts w:ascii="Times New Roman" w:hAnsi="Times New Roman"/>
          <w:b/>
          <w:i/>
          <w:color w:val="000000"/>
          <w:sz w:val="22"/>
        </w:rPr>
        <w:t>4.2 Development and independent validation</w:t>
      </w:r>
    </w:p>
    <w:p>
      <w:pPr>
        <w:keepNext w:val="0"/>
        <w:spacing w:line="480" w:lineRule="auto"/>
        <w:ind w:firstLine="317"/>
        <w:jc w:val="both"/>
      </w:pPr>
      <w:r>
        <w:rPr>
          <w:rFonts w:ascii="Times New Roman" w:hAnsi="Times New Roman"/>
          <w:b w:val="0"/>
          <w:i w:val="0"/>
          <w:color w:val="000000"/>
          <w:sz w:val="22"/>
        </w:rPr>
        <w:t>Development uses eight prespecified Black-Box Optimization Benchmarking (BBOB) functions, dimensions 10 and 20, instances 1-3, and three repeats. Thirteen internal configurations separate exploration, residual weighting, and feedback components. The budget is 10D. The required gate compares PEM-T with a fixed exploration control selected only within the development protocol. Failure of the gate prevents any optimization-superiority claim.</w:t>
      </w:r>
    </w:p>
    <w:p>
      <w:pPr>
        <w:keepNext w:val="0"/>
        <w:spacing w:line="480" w:lineRule="auto"/>
        <w:ind w:firstLine="317"/>
        <w:jc w:val="both"/>
      </w:pPr>
      <w:r>
        <w:rPr>
          <w:rFonts w:ascii="Times New Roman" w:hAnsi="Times New Roman"/>
          <w:b w:val="0"/>
          <w:i w:val="0"/>
          <w:color w:val="000000"/>
          <w:sz w:val="22"/>
        </w:rPr>
        <w:t>After the gate fails, the unchanged mechanism is frozen on all 24 noiseless BBOB functions, dimensions 10, 20, and 40, instances 11-13, and three repeats. Six internal configurations produce 3,888 runs and 907,200 paid evaluations. Three history policies produce 7,776 frozen states and 1,990,656 diagnostic labels. Development and validation estimates are never pooled.</w:t>
      </w:r>
    </w:p>
    <w:p>
      <w:pPr>
        <w:keepNext w:val="0"/>
        <w:spacing w:line="480" w:lineRule="auto"/>
        <w:ind w:firstLine="317"/>
        <w:jc w:val="both"/>
      </w:pPr>
      <w:r>
        <w:rPr>
          <w:rFonts w:ascii="Times New Roman" w:hAnsi="Times New Roman"/>
          <w:b w:val="0"/>
          <w:i w:val="0"/>
          <w:color w:val="000000"/>
          <w:sz w:val="22"/>
        </w:rPr>
        <w:t>The endpoint is the base-10 logarithm of final error relative to common initialization error, with numerical flooring at 10^-12. Repeats are summarized within function-instance cells, instances are averaged, and functions receive equal weight. Nine prespecified validation contrasts form one Holm family. Paired hierarchical bootstrap intervals resample functions, instances, and common repeat indices. These intervals summarize suite heterogeneity and are not presented as a population theorem for all black-box tasks.</w:t>
      </w:r>
    </w:p>
    <w:p>
      <w:pPr>
        <w:pStyle w:val="Heading2"/>
        <w:keepNext/>
        <w:spacing w:line="480" w:lineRule="auto"/>
        <w:jc w:val="left"/>
      </w:pPr>
      <w:r>
        <w:rPr>
          <w:rFonts w:ascii="Times New Roman" w:hAnsi="Times New Roman"/>
          <w:b/>
          <w:i/>
          <w:color w:val="000000"/>
          <w:sz w:val="22"/>
        </w:rPr>
        <w:t>4.3 External and application evidence</w:t>
      </w:r>
    </w:p>
    <w:p>
      <w:pPr>
        <w:keepNext w:val="0"/>
        <w:spacing w:line="480" w:lineRule="auto"/>
        <w:ind w:firstLine="317"/>
        <w:jc w:val="both"/>
      </w:pPr>
      <w:r>
        <w:rPr>
          <w:rFonts w:ascii="Times New Roman" w:hAnsi="Times New Roman"/>
          <w:b w:val="0"/>
          <w:i w:val="0"/>
          <w:color w:val="000000"/>
          <w:sz w:val="22"/>
        </w:rPr>
        <w:t>Sobol, covariance matrix adaptation evolution strategy (CMA-ES), classical GP expected improvement, and trust-region Bayesian optimization (TuRBO-1) provide budget-matched descriptive references [25]. They retain their own initialization and search mechanisms, so these comparisons are not same-history causal effects. In the finite-element application, GP expected improvement (GP-EI), GP probability of improvement (GP-PI), and the lower-confidence-bound form of GP upper confidence bound (GP-UCB) are additionally run from the same initial observations as the internal methods. All three acquisitions use the same Matérn-5/2 Gaussian process, candidate pool, and local-search budget; GP-PI uses a margin equal to 0.01 times the observed response standard deviation, and GP-UCB uses a fixed confidence multiplier of 2.0. DRSO uses the authors' public relation-model-assisted evolutionary implementation at commit 03c19d4 [30]. The population size is set to 58 solely to accept the common initial archive; its relation models, unevaluated-population update, reproduction, training cap, and remaining defaults are unchanged. Three LassoBench tasks provide application transfer under fixed data and splits [24]. The BBOB implementation and reporting follow the Comparing Continuous Optimizers (COCO) framework [26]. Complete tables, the 300-dimensional extension, resource measurements, sensitivity studies, interruption accounting, and file-level audits appear in the Supplementary Materials.</w:t>
      </w:r>
    </w:p>
    <w:p>
      <w:pPr>
        <w:pStyle w:val="Heading1"/>
        <w:keepNext/>
        <w:spacing w:line="480" w:lineRule="auto"/>
        <w:jc w:val="left"/>
      </w:pPr>
      <w:r>
        <w:rPr>
          <w:rFonts w:ascii="Times New Roman" w:hAnsi="Times New Roman"/>
          <w:b/>
          <w:i w:val="0"/>
          <w:color w:val="000000"/>
          <w:sz w:val="22"/>
        </w:rPr>
        <w:t>5 Mechanism Results</w:t>
      </w:r>
    </w:p>
    <w:p>
      <w:pPr>
        <w:pStyle w:val="Heading2"/>
        <w:keepNext/>
        <w:spacing w:line="480" w:lineRule="auto"/>
        <w:jc w:val="left"/>
      </w:pPr>
      <w:r>
        <w:rPr>
          <w:rFonts w:ascii="Times New Roman" w:hAnsi="Times New Roman"/>
          <w:b/>
          <w:i/>
          <w:color w:val="000000"/>
          <w:sz w:val="22"/>
        </w:rPr>
        <w:t>5.1 Development gate and implementation invariants</w:t>
      </w:r>
    </w:p>
    <w:p>
      <w:pPr>
        <w:keepNext w:val="0"/>
        <w:spacing w:line="480" w:lineRule="auto"/>
        <w:ind w:firstLine="317"/>
        <w:jc w:val="both"/>
      </w:pPr>
      <w:r>
        <w:rPr>
          <w:rFonts w:ascii="Times New Roman" w:hAnsi="Times New Roman"/>
          <w:b w:val="0"/>
          <w:i w:val="0"/>
          <w:color w:val="000000"/>
          <w:sz w:val="22"/>
        </w:rPr>
        <w:t>All 1,872 development optimization runs and 432 common-history runs complete without exceptions. PEM-T and the configuration that removes its upper-value mode have identical trajectories in all 144 matched pairs. Temporal monitoring with fixed 0.3 management likewise matches fixed 0.3 mixing in all 144 pairs. These are implementation confirmations of Lemma 1 and Corollary 1, rather than independent effective components.</w:t>
      </w:r>
    </w:p>
    <w:p>
      <w:pPr>
        <w:keepNext w:val="0"/>
        <w:spacing w:line="480" w:lineRule="auto"/>
        <w:ind w:firstLine="317"/>
        <w:jc w:val="both"/>
      </w:pPr>
      <w:r>
        <w:rPr>
          <w:rFonts w:ascii="Times New Roman" w:hAnsi="Times New Roman"/>
          <w:b w:val="0"/>
          <w:i w:val="0"/>
          <w:color w:val="000000"/>
          <w:sz w:val="22"/>
        </w:rPr>
        <w:t>The development-selected control is fixed 0.1. PEM-T is worse on all eight development functions in both dimensions. Its function-weighted log-relative endpoint difference is +0.2831 in D=10 and +0.1810 in D=20, where positive values favor fixed 0.1. The required optimization-benefit gate is therefore unmet before the independent validation begins.</w:t>
      </w:r>
    </w:p>
    <w:p>
      <w:pPr>
        <w:pStyle w:val="Heading2"/>
        <w:keepNext/>
        <w:spacing w:line="480" w:lineRule="auto"/>
        <w:jc w:val="left"/>
      </w:pPr>
      <w:r>
        <w:rPr>
          <w:rFonts w:ascii="Times New Roman" w:hAnsi="Times New Roman"/>
          <w:b/>
          <w:i/>
          <w:color w:val="000000"/>
          <w:sz w:val="22"/>
        </w:rPr>
        <w:t>5.2 Independent endpoint and immediate decision effects</w:t>
      </w:r>
    </w:p>
    <w:p>
      <w:pPr>
        <w:keepNext w:val="0"/>
        <w:spacing w:line="480" w:lineRule="auto"/>
        <w:ind w:firstLine="317"/>
        <w:jc w:val="both"/>
      </w:pPr>
      <w:r>
        <w:rPr>
          <w:rFonts w:ascii="Times New Roman" w:hAnsi="Times New Roman"/>
          <w:b w:val="0"/>
          <w:i w:val="0"/>
          <w:color w:val="000000"/>
          <w:sz w:val="22"/>
        </w:rPr>
        <w:t>Table 3 reports the nine prespecified validation comparisons. PEM-T increases final relative error in all three dimensions. The base-10 differences correspond to geometric error ratios of 1.468, 1.258, and 1.159 for dimensions 10, 20, and 40. The effect decreases with dimension but remains in the unfavorable direction for 60 of 72 function-level comparisons. Common-state feedback decisions also have lower true immediate improvement than mean-greedy decisions in every dimension.</w:t>
      </w:r>
    </w:p>
    <w:p>
      <w:pPr>
        <w:keepNext/>
        <w:spacing w:line="480" w:lineRule="auto"/>
        <w:jc w:val="center"/>
      </w:pPr>
      <w:r>
        <w:rPr>
          <w:rFonts w:ascii="Times New Roman" w:hAnsi="Times New Roman"/>
          <w:color w:val="000000"/>
          <w:sz w:val="20"/>
        </w:rPr>
        <w:t>Table 3: Prespecified independent validation contrasts. Endpoint values above zero favor fixed 0.1; immediate values below zero favor mean-greedy selection. History-interaction values are selected-point minus pool failure differences, so positive values mean the policy's selected points fail more often than its own candidate pool. Direction counts give positive and negative repeat-level outcomes; the denominator is 24 for the endpoint and history-interaction rows and 19, 21 and 21 for the immediate-improvement rows, where exact ties are excluded.</w:t>
      </w:r>
    </w:p>
    <w:tbl>
      <w:tblPr>
        <w:tblW w:type="auto" w:w="0"/>
        <w:jc w:val="center"/>
        <w:tblLayout w:type="autofit"/>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Pr>
      <w:tblGrid>
        <w:gridCol w:w="1560"/>
        <w:gridCol w:w="1560"/>
        <w:gridCol w:w="1560"/>
        <w:gridCol w:w="1560"/>
        <w:gridCol w:w="1560"/>
        <w:gridCol w:w="1560"/>
      </w:tblGrid>
      <w:tr>
        <w:trPr>
          <w:tblHeader w:val="true"/>
          <w:cantSplit/>
        </w:trPr>
        <w:tc>
          <w:tcPr>
            <w:tcW w:type="dxa" w:w="1560"/>
            <w:vAlign w:val="center"/>
            <w:tcMar>
              <w:top w:w="80" w:type="dxa"/>
              <w:start w:w="90" w:type="dxa"/>
              <w:bottom w:w="80" w:type="dxa"/>
              <w:end w:w="90" w:type="dxa"/>
            </w:tcMar>
            <w:shd w:fill="1F4E78"/>
          </w:tcPr>
          <w:p>
            <w:pPr>
              <w:spacing w:after="0" w:line="480" w:lineRule="auto"/>
              <w:jc w:val="left"/>
            </w:pPr>
            <w:r/>
            <w:r>
              <w:rPr>
                <w:rFonts w:ascii="Times New Roman" w:hAnsi="Times New Roman"/>
                <w:b/>
                <w:color w:val="FFFFFF"/>
                <w:sz w:val="17"/>
              </w:rPr>
              <w:t>Dimension</w:t>
            </w:r>
          </w:p>
        </w:tc>
        <w:tc>
          <w:tcPr>
            <w:tcW w:type="dxa" w:w="1560"/>
            <w:vAlign w:val="center"/>
            <w:tcMar>
              <w:top w:w="80" w:type="dxa"/>
              <w:start w:w="90" w:type="dxa"/>
              <w:bottom w:w="80" w:type="dxa"/>
              <w:end w:w="90" w:type="dxa"/>
            </w:tcMar>
            <w:shd w:fill="1F4E78"/>
          </w:tcPr>
          <w:p>
            <w:pPr>
              <w:spacing w:after="0" w:line="480" w:lineRule="auto"/>
              <w:jc w:val="center"/>
            </w:pPr>
            <w:r/>
            <w:r>
              <w:rPr>
                <w:rFonts w:ascii="Times New Roman" w:hAnsi="Times New Roman"/>
                <w:b/>
                <w:color w:val="FFFFFF"/>
                <w:sz w:val="17"/>
              </w:rPr>
              <w:t>Contrast</w:t>
            </w:r>
          </w:p>
        </w:tc>
        <w:tc>
          <w:tcPr>
            <w:tcW w:type="dxa" w:w="1560"/>
            <w:vAlign w:val="center"/>
            <w:tcMar>
              <w:top w:w="80" w:type="dxa"/>
              <w:start w:w="90" w:type="dxa"/>
              <w:bottom w:w="80" w:type="dxa"/>
              <w:end w:w="90" w:type="dxa"/>
            </w:tcMar>
            <w:shd w:fill="1F4E78"/>
          </w:tcPr>
          <w:p>
            <w:pPr>
              <w:spacing w:after="0" w:line="480" w:lineRule="auto"/>
              <w:jc w:val="center"/>
            </w:pPr>
            <w:r/>
            <w:r>
              <w:rPr>
                <w:rFonts w:ascii="Times New Roman" w:hAnsi="Times New Roman"/>
                <w:b/>
                <w:color w:val="FFFFFF"/>
                <w:sz w:val="17"/>
              </w:rPr>
              <w:t>Estimate</w:t>
            </w:r>
          </w:p>
        </w:tc>
        <w:tc>
          <w:tcPr>
            <w:tcW w:type="dxa" w:w="1560"/>
            <w:vAlign w:val="center"/>
            <w:tcMar>
              <w:top w:w="80" w:type="dxa"/>
              <w:start w:w="90" w:type="dxa"/>
              <w:bottom w:w="80" w:type="dxa"/>
              <w:end w:w="90" w:type="dxa"/>
            </w:tcMar>
            <w:shd w:fill="1F4E78"/>
          </w:tcPr>
          <w:p>
            <w:pPr>
              <w:spacing w:after="0" w:line="480" w:lineRule="auto"/>
              <w:jc w:val="center"/>
            </w:pPr>
            <w:r/>
            <w:r>
              <w:rPr>
                <w:rFonts w:ascii="Times New Roman" w:hAnsi="Times New Roman"/>
                <w:b/>
                <w:color w:val="FFFFFF"/>
                <w:sz w:val="17"/>
              </w:rPr>
              <w:t>95% bootstrap interval</w:t>
            </w:r>
          </w:p>
        </w:tc>
        <w:tc>
          <w:tcPr>
            <w:tcW w:type="dxa" w:w="1560"/>
            <w:vAlign w:val="center"/>
            <w:tcMar>
              <w:top w:w="80" w:type="dxa"/>
              <w:start w:w="90" w:type="dxa"/>
              <w:bottom w:w="80" w:type="dxa"/>
              <w:end w:w="90" w:type="dxa"/>
            </w:tcMar>
            <w:shd w:fill="1F4E78"/>
          </w:tcPr>
          <w:p>
            <w:pPr>
              <w:spacing w:after="0" w:line="480" w:lineRule="auto"/>
              <w:jc w:val="center"/>
            </w:pPr>
            <w:r/>
            <w:r>
              <w:rPr>
                <w:rFonts w:ascii="Times New Roman" w:hAnsi="Times New Roman"/>
                <w:b/>
                <w:color w:val="FFFFFF"/>
                <w:sz w:val="17"/>
              </w:rPr>
              <w:t>Direction count</w:t>
            </w:r>
          </w:p>
        </w:tc>
        <w:tc>
          <w:tcPr>
            <w:tcW w:type="dxa" w:w="1560"/>
            <w:vAlign w:val="center"/>
            <w:tcMar>
              <w:top w:w="80" w:type="dxa"/>
              <w:start w:w="90" w:type="dxa"/>
              <w:bottom w:w="80" w:type="dxa"/>
              <w:end w:w="90" w:type="dxa"/>
            </w:tcMar>
            <w:shd w:fill="1F4E78"/>
          </w:tcPr>
          <w:p>
            <w:pPr>
              <w:spacing w:after="0" w:line="480" w:lineRule="auto"/>
              <w:jc w:val="center"/>
            </w:pPr>
            <w:r/>
            <w:r>
              <w:rPr>
                <w:rFonts w:ascii="Times New Roman" w:hAnsi="Times New Roman"/>
                <w:b/>
                <w:color w:val="FFFFFF"/>
                <w:sz w:val="17"/>
              </w:rPr>
              <w:t>Holm p</w:t>
            </w:r>
          </w:p>
        </w:tc>
      </w:tr>
      <w:tr>
        <w:trPr>
          <w:cantSplit/>
        </w:trPr>
        <w:tc>
          <w:tcPr>
            <w:tcW w:type="dxa" w:w="1560"/>
            <w:vAlign w:val="center"/>
            <w:tcMar>
              <w:top w:w="80" w:type="dxa"/>
              <w:start w:w="90" w:type="dxa"/>
              <w:bottom w:w="80" w:type="dxa"/>
              <w:end w:w="90" w:type="dxa"/>
            </w:tcMar>
          </w:tcPr>
          <w:p>
            <w:pPr>
              <w:spacing w:after="0" w:line="480" w:lineRule="auto"/>
              <w:jc w:val="left"/>
            </w:pPr>
            <w:r/>
            <w:r>
              <w:rPr>
                <w:rFonts w:ascii="Times New Roman" w:hAnsi="Times New Roman"/>
                <w:b w:val="0"/>
                <w:color w:val="000000"/>
                <w:sz w:val="17"/>
              </w:rPr>
              <w:t>10</w:t>
            </w:r>
          </w:p>
        </w:tc>
        <w:tc>
          <w:tcPr>
            <w:tcW w:type="dxa" w:w="1560"/>
            <w:vAlign w:val="center"/>
            <w:tcMar>
              <w:top w:w="80" w:type="dxa"/>
              <w:start w:w="90" w:type="dxa"/>
              <w:bottom w:w="80" w:type="dxa"/>
              <w:end w:w="90" w:type="dxa"/>
            </w:tcMar>
          </w:tcPr>
          <w:p>
            <w:pPr>
              <w:spacing w:after="0" w:line="480" w:lineRule="auto"/>
              <w:jc w:val="center"/>
            </w:pPr>
            <w:r/>
            <w:r>
              <w:rPr>
                <w:rFonts w:ascii="Times New Roman" w:hAnsi="Times New Roman"/>
                <w:b w:val="0"/>
                <w:color w:val="000000"/>
                <w:sz w:val="17"/>
              </w:rPr>
              <w:t>PEM-T minus fixed 0.1 endpoint</w:t>
            </w:r>
          </w:p>
        </w:tc>
        <w:tc>
          <w:tcPr>
            <w:tcW w:type="dxa" w:w="1560"/>
            <w:vAlign w:val="center"/>
            <w:tcMar>
              <w:top w:w="80" w:type="dxa"/>
              <w:start w:w="90" w:type="dxa"/>
              <w:bottom w:w="80" w:type="dxa"/>
              <w:end w:w="90" w:type="dxa"/>
            </w:tcMar>
          </w:tcPr>
          <w:p>
            <w:pPr>
              <w:spacing w:after="0" w:line="480" w:lineRule="auto"/>
              <w:jc w:val="center"/>
            </w:pPr>
            <w:r/>
            <w:r>
              <w:rPr>
                <w:rFonts w:ascii="Times New Roman" w:hAnsi="Times New Roman"/>
                <w:b w:val="0"/>
                <w:color w:val="000000"/>
                <w:sz w:val="17"/>
              </w:rPr>
              <w:t>0.1668</w:t>
            </w:r>
          </w:p>
        </w:tc>
        <w:tc>
          <w:tcPr>
            <w:tcW w:type="dxa" w:w="1560"/>
            <w:vAlign w:val="center"/>
            <w:tcMar>
              <w:top w:w="80" w:type="dxa"/>
              <w:start w:w="90" w:type="dxa"/>
              <w:bottom w:w="80" w:type="dxa"/>
              <w:end w:w="90" w:type="dxa"/>
            </w:tcMar>
          </w:tcPr>
          <w:p>
            <w:pPr>
              <w:spacing w:after="0" w:line="480" w:lineRule="auto"/>
              <w:jc w:val="center"/>
            </w:pPr>
            <w:r/>
            <w:r>
              <w:rPr>
                <w:rFonts w:ascii="Times New Roman" w:hAnsi="Times New Roman"/>
                <w:b w:val="0"/>
                <w:color w:val="000000"/>
                <w:sz w:val="17"/>
              </w:rPr>
              <w:t>[0.0749, 0.2391]</w:t>
            </w:r>
          </w:p>
        </w:tc>
        <w:tc>
          <w:tcPr>
            <w:tcW w:type="dxa" w:w="1560"/>
            <w:vAlign w:val="center"/>
            <w:tcMar>
              <w:top w:w="80" w:type="dxa"/>
              <w:start w:w="90" w:type="dxa"/>
              <w:bottom w:w="80" w:type="dxa"/>
              <w:end w:w="90" w:type="dxa"/>
            </w:tcMar>
          </w:tcPr>
          <w:p>
            <w:pPr>
              <w:spacing w:after="0" w:line="480" w:lineRule="auto"/>
              <w:jc w:val="center"/>
            </w:pPr>
            <w:r/>
            <w:r>
              <w:rPr>
                <w:rFonts w:ascii="Times New Roman" w:hAnsi="Times New Roman"/>
                <w:b w:val="0"/>
                <w:color w:val="000000"/>
                <w:sz w:val="17"/>
              </w:rPr>
              <w:t>22 positive, 2 negative</w:t>
            </w:r>
          </w:p>
        </w:tc>
        <w:tc>
          <w:tcPr>
            <w:tcW w:type="dxa" w:w="1560"/>
            <w:vAlign w:val="center"/>
            <w:tcMar>
              <w:top w:w="80" w:type="dxa"/>
              <w:start w:w="90" w:type="dxa"/>
              <w:bottom w:w="80" w:type="dxa"/>
              <w:end w:w="90" w:type="dxa"/>
            </w:tcMar>
          </w:tcPr>
          <w:p>
            <w:pPr>
              <w:spacing w:after="0" w:line="480" w:lineRule="auto"/>
              <w:jc w:val="center"/>
            </w:pPr>
            <w:r/>
            <w:r>
              <w:rPr>
                <w:rFonts w:ascii="Times New Roman" w:hAnsi="Times New Roman"/>
                <w:b w:val="0"/>
                <w:color w:val="000000"/>
                <w:sz w:val="17"/>
              </w:rPr>
              <w:t>5.36e-6</w:t>
            </w:r>
          </w:p>
        </w:tc>
      </w:tr>
      <w:tr>
        <w:trPr>
          <w:cantSplit/>
        </w:trPr>
        <w:tc>
          <w:tcPr>
            <w:tcW w:type="dxa" w:w="1560"/>
            <w:vAlign w:val="center"/>
            <w:tcMar>
              <w:top w:w="80" w:type="dxa"/>
              <w:start w:w="90" w:type="dxa"/>
              <w:bottom w:w="80" w:type="dxa"/>
              <w:end w:w="90" w:type="dxa"/>
            </w:tcMar>
            <w:shd w:fill="EAF2F8"/>
          </w:tcPr>
          <w:p>
            <w:pPr>
              <w:spacing w:after="0" w:line="480" w:lineRule="auto"/>
              <w:jc w:val="left"/>
            </w:pPr>
            <w:r/>
            <w:r>
              <w:rPr>
                <w:rFonts w:ascii="Times New Roman" w:hAnsi="Times New Roman"/>
                <w:b w:val="0"/>
                <w:color w:val="000000"/>
                <w:sz w:val="17"/>
              </w:rPr>
              <w:t>20</w:t>
            </w:r>
          </w:p>
        </w:tc>
        <w:tc>
          <w:tcPr>
            <w:tcW w:type="dxa" w:w="1560"/>
            <w:vAlign w:val="center"/>
            <w:tcMar>
              <w:top w:w="80" w:type="dxa"/>
              <w:start w:w="90" w:type="dxa"/>
              <w:bottom w:w="80" w:type="dxa"/>
              <w:end w:w="90" w:type="dxa"/>
            </w:tcMar>
            <w:shd w:fill="EAF2F8"/>
          </w:tcPr>
          <w:p>
            <w:pPr>
              <w:spacing w:after="0" w:line="480" w:lineRule="auto"/>
              <w:jc w:val="center"/>
            </w:pPr>
            <w:r/>
            <w:r>
              <w:rPr>
                <w:rFonts w:ascii="Times New Roman" w:hAnsi="Times New Roman"/>
                <w:b w:val="0"/>
                <w:color w:val="000000"/>
                <w:sz w:val="17"/>
              </w:rPr>
              <w:t>PEM-T minus fixed 0.1 endpoint</w:t>
            </w:r>
          </w:p>
        </w:tc>
        <w:tc>
          <w:tcPr>
            <w:tcW w:type="dxa" w:w="1560"/>
            <w:vAlign w:val="center"/>
            <w:tcMar>
              <w:top w:w="80" w:type="dxa"/>
              <w:start w:w="90" w:type="dxa"/>
              <w:bottom w:w="80" w:type="dxa"/>
              <w:end w:w="90" w:type="dxa"/>
            </w:tcMar>
            <w:shd w:fill="EAF2F8"/>
          </w:tcPr>
          <w:p>
            <w:pPr>
              <w:spacing w:after="0" w:line="480" w:lineRule="auto"/>
              <w:jc w:val="center"/>
            </w:pPr>
            <w:r/>
            <w:r>
              <w:rPr>
                <w:rFonts w:ascii="Times New Roman" w:hAnsi="Times New Roman"/>
                <w:b w:val="0"/>
                <w:color w:val="000000"/>
                <w:sz w:val="17"/>
              </w:rPr>
              <w:t>0.0998</w:t>
            </w:r>
          </w:p>
        </w:tc>
        <w:tc>
          <w:tcPr>
            <w:tcW w:type="dxa" w:w="1560"/>
            <w:vAlign w:val="center"/>
            <w:tcMar>
              <w:top w:w="80" w:type="dxa"/>
              <w:start w:w="90" w:type="dxa"/>
              <w:bottom w:w="80" w:type="dxa"/>
              <w:end w:w="90" w:type="dxa"/>
            </w:tcMar>
            <w:shd w:fill="EAF2F8"/>
          </w:tcPr>
          <w:p>
            <w:pPr>
              <w:spacing w:after="0" w:line="480" w:lineRule="auto"/>
              <w:jc w:val="center"/>
            </w:pPr>
            <w:r/>
            <w:r>
              <w:rPr>
                <w:rFonts w:ascii="Times New Roman" w:hAnsi="Times New Roman"/>
                <w:b w:val="0"/>
                <w:color w:val="000000"/>
                <w:sz w:val="17"/>
              </w:rPr>
              <w:t>[0.0467, 0.1905]</w:t>
            </w:r>
          </w:p>
        </w:tc>
        <w:tc>
          <w:tcPr>
            <w:tcW w:type="dxa" w:w="1560"/>
            <w:vAlign w:val="center"/>
            <w:tcMar>
              <w:top w:w="80" w:type="dxa"/>
              <w:start w:w="90" w:type="dxa"/>
              <w:bottom w:w="80" w:type="dxa"/>
              <w:end w:w="90" w:type="dxa"/>
            </w:tcMar>
            <w:shd w:fill="EAF2F8"/>
          </w:tcPr>
          <w:p>
            <w:pPr>
              <w:spacing w:after="0" w:line="480" w:lineRule="auto"/>
              <w:jc w:val="center"/>
            </w:pPr>
            <w:r/>
            <w:r>
              <w:rPr>
                <w:rFonts w:ascii="Times New Roman" w:hAnsi="Times New Roman"/>
                <w:b w:val="0"/>
                <w:color w:val="000000"/>
                <w:sz w:val="17"/>
              </w:rPr>
              <w:t>19 positive, 5 negative</w:t>
            </w:r>
          </w:p>
        </w:tc>
        <w:tc>
          <w:tcPr>
            <w:tcW w:type="dxa" w:w="1560"/>
            <w:vAlign w:val="center"/>
            <w:tcMar>
              <w:top w:w="80" w:type="dxa"/>
              <w:start w:w="90" w:type="dxa"/>
              <w:bottom w:w="80" w:type="dxa"/>
              <w:end w:w="90" w:type="dxa"/>
            </w:tcMar>
            <w:shd w:fill="EAF2F8"/>
          </w:tcPr>
          <w:p>
            <w:pPr>
              <w:spacing w:after="0" w:line="480" w:lineRule="auto"/>
              <w:jc w:val="center"/>
            </w:pPr>
            <w:r/>
            <w:r>
              <w:rPr>
                <w:rFonts w:ascii="Times New Roman" w:hAnsi="Times New Roman"/>
                <w:b w:val="0"/>
                <w:color w:val="000000"/>
                <w:sz w:val="17"/>
              </w:rPr>
              <w:t>0.00170</w:t>
            </w:r>
          </w:p>
        </w:tc>
      </w:tr>
      <w:tr>
        <w:trPr>
          <w:cantSplit/>
        </w:trPr>
        <w:tc>
          <w:tcPr>
            <w:tcW w:type="dxa" w:w="1560"/>
            <w:vAlign w:val="center"/>
            <w:tcMar>
              <w:top w:w="80" w:type="dxa"/>
              <w:start w:w="90" w:type="dxa"/>
              <w:bottom w:w="80" w:type="dxa"/>
              <w:end w:w="90" w:type="dxa"/>
            </w:tcMar>
          </w:tcPr>
          <w:p>
            <w:pPr>
              <w:spacing w:after="0" w:line="480" w:lineRule="auto"/>
              <w:jc w:val="left"/>
            </w:pPr>
            <w:r/>
            <w:r>
              <w:rPr>
                <w:rFonts w:ascii="Times New Roman" w:hAnsi="Times New Roman"/>
                <w:b w:val="0"/>
                <w:color w:val="000000"/>
                <w:sz w:val="17"/>
              </w:rPr>
              <w:t>40</w:t>
            </w:r>
          </w:p>
        </w:tc>
        <w:tc>
          <w:tcPr>
            <w:tcW w:type="dxa" w:w="1560"/>
            <w:vAlign w:val="center"/>
            <w:tcMar>
              <w:top w:w="80" w:type="dxa"/>
              <w:start w:w="90" w:type="dxa"/>
              <w:bottom w:w="80" w:type="dxa"/>
              <w:end w:w="90" w:type="dxa"/>
            </w:tcMar>
          </w:tcPr>
          <w:p>
            <w:pPr>
              <w:spacing w:after="0" w:line="480" w:lineRule="auto"/>
              <w:jc w:val="center"/>
            </w:pPr>
            <w:r/>
            <w:r>
              <w:rPr>
                <w:rFonts w:ascii="Times New Roman" w:hAnsi="Times New Roman"/>
                <w:b w:val="0"/>
                <w:color w:val="000000"/>
                <w:sz w:val="17"/>
              </w:rPr>
              <w:t>PEM-T minus fixed 0.1 endpoint</w:t>
            </w:r>
          </w:p>
        </w:tc>
        <w:tc>
          <w:tcPr>
            <w:tcW w:type="dxa" w:w="1560"/>
            <w:vAlign w:val="center"/>
            <w:tcMar>
              <w:top w:w="80" w:type="dxa"/>
              <w:start w:w="90" w:type="dxa"/>
              <w:bottom w:w="80" w:type="dxa"/>
              <w:end w:w="90" w:type="dxa"/>
            </w:tcMar>
          </w:tcPr>
          <w:p>
            <w:pPr>
              <w:spacing w:after="0" w:line="480" w:lineRule="auto"/>
              <w:jc w:val="center"/>
            </w:pPr>
            <w:r/>
            <w:r>
              <w:rPr>
                <w:rFonts w:ascii="Times New Roman" w:hAnsi="Times New Roman"/>
                <w:b w:val="0"/>
                <w:color w:val="000000"/>
                <w:sz w:val="17"/>
              </w:rPr>
              <w:t>0.0639</w:t>
            </w:r>
          </w:p>
        </w:tc>
        <w:tc>
          <w:tcPr>
            <w:tcW w:type="dxa" w:w="1560"/>
            <w:vAlign w:val="center"/>
            <w:tcMar>
              <w:top w:w="80" w:type="dxa"/>
              <w:start w:w="90" w:type="dxa"/>
              <w:bottom w:w="80" w:type="dxa"/>
              <w:end w:w="90" w:type="dxa"/>
            </w:tcMar>
          </w:tcPr>
          <w:p>
            <w:pPr>
              <w:spacing w:after="0" w:line="480" w:lineRule="auto"/>
              <w:jc w:val="center"/>
            </w:pPr>
            <w:r/>
            <w:r>
              <w:rPr>
                <w:rFonts w:ascii="Times New Roman" w:hAnsi="Times New Roman"/>
                <w:b w:val="0"/>
                <w:color w:val="000000"/>
                <w:sz w:val="17"/>
              </w:rPr>
              <w:t>[0.0130, 0.1123]</w:t>
            </w:r>
          </w:p>
        </w:tc>
        <w:tc>
          <w:tcPr>
            <w:tcW w:type="dxa" w:w="1560"/>
            <w:vAlign w:val="center"/>
            <w:tcMar>
              <w:top w:w="80" w:type="dxa"/>
              <w:start w:w="90" w:type="dxa"/>
              <w:bottom w:w="80" w:type="dxa"/>
              <w:end w:w="90" w:type="dxa"/>
            </w:tcMar>
          </w:tcPr>
          <w:p>
            <w:pPr>
              <w:spacing w:after="0" w:line="480" w:lineRule="auto"/>
              <w:jc w:val="center"/>
            </w:pPr>
            <w:r/>
            <w:r>
              <w:rPr>
                <w:rFonts w:ascii="Times New Roman" w:hAnsi="Times New Roman"/>
                <w:b w:val="0"/>
                <w:color w:val="000000"/>
                <w:sz w:val="17"/>
              </w:rPr>
              <w:t>19 positive, 5 negative</w:t>
            </w:r>
          </w:p>
        </w:tc>
        <w:tc>
          <w:tcPr>
            <w:tcW w:type="dxa" w:w="1560"/>
            <w:vAlign w:val="center"/>
            <w:tcMar>
              <w:top w:w="80" w:type="dxa"/>
              <w:start w:w="90" w:type="dxa"/>
              <w:bottom w:w="80" w:type="dxa"/>
              <w:end w:w="90" w:type="dxa"/>
            </w:tcMar>
          </w:tcPr>
          <w:p>
            <w:pPr>
              <w:spacing w:after="0" w:line="480" w:lineRule="auto"/>
              <w:jc w:val="center"/>
            </w:pPr>
            <w:r/>
            <w:r>
              <w:rPr>
                <w:rFonts w:ascii="Times New Roman" w:hAnsi="Times New Roman"/>
                <w:b w:val="0"/>
                <w:color w:val="000000"/>
                <w:sz w:val="17"/>
              </w:rPr>
              <w:t>0.00170</w:t>
            </w:r>
          </w:p>
        </w:tc>
      </w:tr>
      <w:tr>
        <w:trPr>
          <w:cantSplit/>
        </w:trPr>
        <w:tc>
          <w:tcPr>
            <w:tcW w:type="dxa" w:w="1560"/>
            <w:vAlign w:val="center"/>
            <w:tcMar>
              <w:top w:w="80" w:type="dxa"/>
              <w:start w:w="90" w:type="dxa"/>
              <w:bottom w:w="80" w:type="dxa"/>
              <w:end w:w="90" w:type="dxa"/>
            </w:tcMar>
            <w:shd w:fill="EAF2F8"/>
          </w:tcPr>
          <w:p>
            <w:pPr>
              <w:spacing w:after="0" w:line="480" w:lineRule="auto"/>
              <w:jc w:val="left"/>
            </w:pPr>
            <w:r/>
            <w:r>
              <w:rPr>
                <w:rFonts w:ascii="Times New Roman" w:hAnsi="Times New Roman"/>
                <w:b w:val="0"/>
                <w:color w:val="000000"/>
                <w:sz w:val="17"/>
              </w:rPr>
              <w:t>10</w:t>
            </w:r>
          </w:p>
        </w:tc>
        <w:tc>
          <w:tcPr>
            <w:tcW w:type="dxa" w:w="1560"/>
            <w:vAlign w:val="center"/>
            <w:tcMar>
              <w:top w:w="80" w:type="dxa"/>
              <w:start w:w="90" w:type="dxa"/>
              <w:bottom w:w="80" w:type="dxa"/>
              <w:end w:w="90" w:type="dxa"/>
            </w:tcMar>
            <w:shd w:fill="EAF2F8"/>
          </w:tcPr>
          <w:p>
            <w:pPr>
              <w:spacing w:after="0" w:line="480" w:lineRule="auto"/>
              <w:jc w:val="center"/>
            </w:pPr>
            <w:r/>
            <w:r>
              <w:rPr>
                <w:rFonts w:ascii="Times New Roman" w:hAnsi="Times New Roman"/>
                <w:b w:val="0"/>
                <w:color w:val="000000"/>
                <w:sz w:val="17"/>
              </w:rPr>
              <w:t>History interaction (selected minus pool failure)</w:t>
            </w:r>
          </w:p>
        </w:tc>
        <w:tc>
          <w:tcPr>
            <w:tcW w:type="dxa" w:w="1560"/>
            <w:vAlign w:val="center"/>
            <w:tcMar>
              <w:top w:w="80" w:type="dxa"/>
              <w:start w:w="90" w:type="dxa"/>
              <w:bottom w:w="80" w:type="dxa"/>
              <w:end w:w="90" w:type="dxa"/>
            </w:tcMar>
            <w:shd w:fill="EAF2F8"/>
          </w:tcPr>
          <w:p>
            <w:pPr>
              <w:spacing w:after="0" w:line="480" w:lineRule="auto"/>
              <w:jc w:val="center"/>
            </w:pPr>
            <w:r/>
            <w:r>
              <w:rPr>
                <w:rFonts w:ascii="Times New Roman" w:hAnsi="Times New Roman"/>
                <w:b w:val="0"/>
                <w:color w:val="000000"/>
                <w:sz w:val="17"/>
              </w:rPr>
              <w:t>0.0851</w:t>
            </w:r>
          </w:p>
        </w:tc>
        <w:tc>
          <w:tcPr>
            <w:tcW w:type="dxa" w:w="1560"/>
            <w:vAlign w:val="center"/>
            <w:tcMar>
              <w:top w:w="80" w:type="dxa"/>
              <w:start w:w="90" w:type="dxa"/>
              <w:bottom w:w="80" w:type="dxa"/>
              <w:end w:w="90" w:type="dxa"/>
            </w:tcMar>
            <w:shd w:fill="EAF2F8"/>
          </w:tcPr>
          <w:p>
            <w:pPr>
              <w:spacing w:after="0" w:line="480" w:lineRule="auto"/>
              <w:jc w:val="center"/>
            </w:pPr>
            <w:r/>
            <w:r>
              <w:rPr>
                <w:rFonts w:ascii="Times New Roman" w:hAnsi="Times New Roman"/>
                <w:b w:val="0"/>
                <w:color w:val="000000"/>
                <w:sz w:val="17"/>
              </w:rPr>
              <w:t>[0.0311, 0.1234]</w:t>
            </w:r>
          </w:p>
        </w:tc>
        <w:tc>
          <w:tcPr>
            <w:tcW w:type="dxa" w:w="1560"/>
            <w:vAlign w:val="center"/>
            <w:tcMar>
              <w:top w:w="80" w:type="dxa"/>
              <w:start w:w="90" w:type="dxa"/>
              <w:bottom w:w="80" w:type="dxa"/>
              <w:end w:w="90" w:type="dxa"/>
            </w:tcMar>
            <w:shd w:fill="EAF2F8"/>
          </w:tcPr>
          <w:p>
            <w:pPr>
              <w:spacing w:after="0" w:line="480" w:lineRule="auto"/>
              <w:jc w:val="center"/>
            </w:pPr>
            <w:r/>
            <w:r>
              <w:rPr>
                <w:rFonts w:ascii="Times New Roman" w:hAnsi="Times New Roman"/>
                <w:b w:val="0"/>
                <w:color w:val="000000"/>
                <w:sz w:val="17"/>
              </w:rPr>
              <w:t>20 positive, 4 negative</w:t>
            </w:r>
          </w:p>
        </w:tc>
        <w:tc>
          <w:tcPr>
            <w:tcW w:type="dxa" w:w="1560"/>
            <w:vAlign w:val="center"/>
            <w:tcMar>
              <w:top w:w="80" w:type="dxa"/>
              <w:start w:w="90" w:type="dxa"/>
              <w:bottom w:w="80" w:type="dxa"/>
              <w:end w:w="90" w:type="dxa"/>
            </w:tcMar>
            <w:shd w:fill="EAF2F8"/>
          </w:tcPr>
          <w:p>
            <w:pPr>
              <w:spacing w:after="0" w:line="480" w:lineRule="auto"/>
              <w:jc w:val="center"/>
            </w:pPr>
            <w:r/>
            <w:r>
              <w:rPr>
                <w:rFonts w:ascii="Times New Roman" w:hAnsi="Times New Roman"/>
                <w:b w:val="0"/>
                <w:color w:val="000000"/>
                <w:sz w:val="17"/>
              </w:rPr>
              <w:t>0.00149</w:t>
            </w:r>
          </w:p>
        </w:tc>
      </w:tr>
      <w:tr>
        <w:trPr>
          <w:cantSplit/>
        </w:trPr>
        <w:tc>
          <w:tcPr>
            <w:tcW w:type="dxa" w:w="1560"/>
            <w:vAlign w:val="center"/>
            <w:tcMar>
              <w:top w:w="80" w:type="dxa"/>
              <w:start w:w="90" w:type="dxa"/>
              <w:bottom w:w="80" w:type="dxa"/>
              <w:end w:w="90" w:type="dxa"/>
            </w:tcMar>
          </w:tcPr>
          <w:p>
            <w:pPr>
              <w:spacing w:after="0" w:line="480" w:lineRule="auto"/>
              <w:jc w:val="left"/>
            </w:pPr>
            <w:r/>
            <w:r>
              <w:rPr>
                <w:rFonts w:ascii="Times New Roman" w:hAnsi="Times New Roman"/>
                <w:b w:val="0"/>
                <w:color w:val="000000"/>
                <w:sz w:val="17"/>
              </w:rPr>
              <w:t>20</w:t>
            </w:r>
          </w:p>
        </w:tc>
        <w:tc>
          <w:tcPr>
            <w:tcW w:type="dxa" w:w="1560"/>
            <w:vAlign w:val="center"/>
            <w:tcMar>
              <w:top w:w="80" w:type="dxa"/>
              <w:start w:w="90" w:type="dxa"/>
              <w:bottom w:w="80" w:type="dxa"/>
              <w:end w:w="90" w:type="dxa"/>
            </w:tcMar>
          </w:tcPr>
          <w:p>
            <w:pPr>
              <w:spacing w:after="0" w:line="480" w:lineRule="auto"/>
              <w:jc w:val="center"/>
            </w:pPr>
            <w:r/>
            <w:r>
              <w:rPr>
                <w:rFonts w:ascii="Times New Roman" w:hAnsi="Times New Roman"/>
                <w:b w:val="0"/>
                <w:color w:val="000000"/>
                <w:sz w:val="17"/>
              </w:rPr>
              <w:t>History interaction (selected minus pool failure)</w:t>
            </w:r>
          </w:p>
        </w:tc>
        <w:tc>
          <w:tcPr>
            <w:tcW w:type="dxa" w:w="1560"/>
            <w:vAlign w:val="center"/>
            <w:tcMar>
              <w:top w:w="80" w:type="dxa"/>
              <w:start w:w="90" w:type="dxa"/>
              <w:bottom w:w="80" w:type="dxa"/>
              <w:end w:w="90" w:type="dxa"/>
            </w:tcMar>
          </w:tcPr>
          <w:p>
            <w:pPr>
              <w:spacing w:after="0" w:line="480" w:lineRule="auto"/>
              <w:jc w:val="center"/>
            </w:pPr>
            <w:r/>
            <w:r>
              <w:rPr>
                <w:rFonts w:ascii="Times New Roman" w:hAnsi="Times New Roman"/>
                <w:b w:val="0"/>
                <w:color w:val="000000"/>
                <w:sz w:val="17"/>
              </w:rPr>
              <w:t>0.1225</w:t>
            </w:r>
          </w:p>
        </w:tc>
        <w:tc>
          <w:tcPr>
            <w:tcW w:type="dxa" w:w="1560"/>
            <w:vAlign w:val="center"/>
            <w:tcMar>
              <w:top w:w="80" w:type="dxa"/>
              <w:start w:w="90" w:type="dxa"/>
              <w:bottom w:w="80" w:type="dxa"/>
              <w:end w:w="90" w:type="dxa"/>
            </w:tcMar>
          </w:tcPr>
          <w:p>
            <w:pPr>
              <w:spacing w:after="0" w:line="480" w:lineRule="auto"/>
              <w:jc w:val="center"/>
            </w:pPr>
            <w:r/>
            <w:r>
              <w:rPr>
                <w:rFonts w:ascii="Times New Roman" w:hAnsi="Times New Roman"/>
                <w:b w:val="0"/>
                <w:color w:val="000000"/>
                <w:sz w:val="17"/>
              </w:rPr>
              <w:t>[0.0696, 0.1948]</w:t>
            </w:r>
          </w:p>
        </w:tc>
        <w:tc>
          <w:tcPr>
            <w:tcW w:type="dxa" w:w="1560"/>
            <w:vAlign w:val="center"/>
            <w:tcMar>
              <w:top w:w="80" w:type="dxa"/>
              <w:start w:w="90" w:type="dxa"/>
              <w:bottom w:w="80" w:type="dxa"/>
              <w:end w:w="90" w:type="dxa"/>
            </w:tcMar>
          </w:tcPr>
          <w:p>
            <w:pPr>
              <w:spacing w:after="0" w:line="480" w:lineRule="auto"/>
              <w:jc w:val="center"/>
            </w:pPr>
            <w:r/>
            <w:r>
              <w:rPr>
                <w:rFonts w:ascii="Times New Roman" w:hAnsi="Times New Roman"/>
                <w:b w:val="0"/>
                <w:color w:val="000000"/>
                <w:sz w:val="17"/>
              </w:rPr>
              <w:t>21 positive, 3 negative</w:t>
            </w:r>
          </w:p>
        </w:tc>
        <w:tc>
          <w:tcPr>
            <w:tcW w:type="dxa" w:w="1560"/>
            <w:vAlign w:val="center"/>
            <w:tcMar>
              <w:top w:w="80" w:type="dxa"/>
              <w:start w:w="90" w:type="dxa"/>
              <w:bottom w:w="80" w:type="dxa"/>
              <w:end w:w="90" w:type="dxa"/>
            </w:tcMar>
          </w:tcPr>
          <w:p>
            <w:pPr>
              <w:spacing w:after="0" w:line="480" w:lineRule="auto"/>
              <w:jc w:val="center"/>
            </w:pPr>
            <w:r/>
            <w:r>
              <w:rPr>
                <w:rFonts w:ascii="Times New Roman" w:hAnsi="Times New Roman"/>
                <w:b w:val="0"/>
                <w:color w:val="000000"/>
                <w:sz w:val="17"/>
              </w:rPr>
              <w:t>0.00065</w:t>
            </w:r>
          </w:p>
        </w:tc>
      </w:tr>
      <w:tr>
        <w:trPr>
          <w:cantSplit/>
        </w:trPr>
        <w:tc>
          <w:tcPr>
            <w:tcW w:type="dxa" w:w="1560"/>
            <w:vAlign w:val="center"/>
            <w:tcMar>
              <w:top w:w="80" w:type="dxa"/>
              <w:start w:w="90" w:type="dxa"/>
              <w:bottom w:w="80" w:type="dxa"/>
              <w:end w:w="90" w:type="dxa"/>
            </w:tcMar>
            <w:shd w:fill="EAF2F8"/>
          </w:tcPr>
          <w:p>
            <w:pPr>
              <w:spacing w:after="0" w:line="480" w:lineRule="auto"/>
              <w:jc w:val="left"/>
            </w:pPr>
            <w:r/>
            <w:r>
              <w:rPr>
                <w:rFonts w:ascii="Times New Roman" w:hAnsi="Times New Roman"/>
                <w:b w:val="0"/>
                <w:color w:val="000000"/>
                <w:sz w:val="17"/>
              </w:rPr>
              <w:t>40</w:t>
            </w:r>
          </w:p>
        </w:tc>
        <w:tc>
          <w:tcPr>
            <w:tcW w:type="dxa" w:w="1560"/>
            <w:vAlign w:val="center"/>
            <w:tcMar>
              <w:top w:w="80" w:type="dxa"/>
              <w:start w:w="90" w:type="dxa"/>
              <w:bottom w:w="80" w:type="dxa"/>
              <w:end w:w="90" w:type="dxa"/>
            </w:tcMar>
            <w:shd w:fill="EAF2F8"/>
          </w:tcPr>
          <w:p>
            <w:pPr>
              <w:spacing w:after="0" w:line="480" w:lineRule="auto"/>
              <w:jc w:val="center"/>
            </w:pPr>
            <w:r/>
            <w:r>
              <w:rPr>
                <w:rFonts w:ascii="Times New Roman" w:hAnsi="Times New Roman"/>
                <w:b w:val="0"/>
                <w:color w:val="000000"/>
                <w:sz w:val="17"/>
              </w:rPr>
              <w:t>History interaction (selected minus pool failure)</w:t>
            </w:r>
          </w:p>
        </w:tc>
        <w:tc>
          <w:tcPr>
            <w:tcW w:type="dxa" w:w="1560"/>
            <w:vAlign w:val="center"/>
            <w:tcMar>
              <w:top w:w="80" w:type="dxa"/>
              <w:start w:w="90" w:type="dxa"/>
              <w:bottom w:w="80" w:type="dxa"/>
              <w:end w:w="90" w:type="dxa"/>
            </w:tcMar>
            <w:shd w:fill="EAF2F8"/>
          </w:tcPr>
          <w:p>
            <w:pPr>
              <w:spacing w:after="0" w:line="480" w:lineRule="auto"/>
              <w:jc w:val="center"/>
            </w:pPr>
            <w:r/>
            <w:r>
              <w:rPr>
                <w:rFonts w:ascii="Times New Roman" w:hAnsi="Times New Roman"/>
                <w:b w:val="0"/>
                <w:color w:val="000000"/>
                <w:sz w:val="17"/>
              </w:rPr>
              <w:t>0.1449</w:t>
            </w:r>
          </w:p>
        </w:tc>
        <w:tc>
          <w:tcPr>
            <w:tcW w:type="dxa" w:w="1560"/>
            <w:vAlign w:val="center"/>
            <w:tcMar>
              <w:top w:w="80" w:type="dxa"/>
              <w:start w:w="90" w:type="dxa"/>
              <w:bottom w:w="80" w:type="dxa"/>
              <w:end w:w="90" w:type="dxa"/>
            </w:tcMar>
            <w:shd w:fill="EAF2F8"/>
          </w:tcPr>
          <w:p>
            <w:pPr>
              <w:spacing w:after="0" w:line="480" w:lineRule="auto"/>
              <w:jc w:val="center"/>
            </w:pPr>
            <w:r/>
            <w:r>
              <w:rPr>
                <w:rFonts w:ascii="Times New Roman" w:hAnsi="Times New Roman"/>
                <w:b w:val="0"/>
                <w:color w:val="000000"/>
                <w:sz w:val="17"/>
              </w:rPr>
              <w:t>[0.0941, 0.2244]</w:t>
            </w:r>
          </w:p>
        </w:tc>
        <w:tc>
          <w:tcPr>
            <w:tcW w:type="dxa" w:w="1560"/>
            <w:vAlign w:val="center"/>
            <w:tcMar>
              <w:top w:w="80" w:type="dxa"/>
              <w:start w:w="90" w:type="dxa"/>
              <w:bottom w:w="80" w:type="dxa"/>
              <w:end w:w="90" w:type="dxa"/>
            </w:tcMar>
            <w:shd w:fill="EAF2F8"/>
          </w:tcPr>
          <w:p>
            <w:pPr>
              <w:spacing w:after="0" w:line="480" w:lineRule="auto"/>
              <w:jc w:val="center"/>
            </w:pPr>
            <w:r/>
            <w:r>
              <w:rPr>
                <w:rFonts w:ascii="Times New Roman" w:hAnsi="Times New Roman"/>
                <w:b w:val="0"/>
                <w:color w:val="000000"/>
                <w:sz w:val="17"/>
              </w:rPr>
              <w:t>17 positive, 7 negative</w:t>
            </w:r>
          </w:p>
        </w:tc>
        <w:tc>
          <w:tcPr>
            <w:tcW w:type="dxa" w:w="1560"/>
            <w:vAlign w:val="center"/>
            <w:tcMar>
              <w:top w:w="80" w:type="dxa"/>
              <w:start w:w="90" w:type="dxa"/>
              <w:bottom w:w="80" w:type="dxa"/>
              <w:end w:w="90" w:type="dxa"/>
            </w:tcMar>
            <w:shd w:fill="EAF2F8"/>
          </w:tcPr>
          <w:p>
            <w:pPr>
              <w:spacing w:after="0" w:line="480" w:lineRule="auto"/>
              <w:jc w:val="center"/>
            </w:pPr>
            <w:r/>
            <w:r>
              <w:rPr>
                <w:rFonts w:ascii="Times New Roman" w:hAnsi="Times New Roman"/>
                <w:b w:val="0"/>
                <w:color w:val="000000"/>
                <w:sz w:val="17"/>
              </w:rPr>
              <w:t>0.00170</w:t>
            </w:r>
          </w:p>
        </w:tc>
      </w:tr>
      <w:tr>
        <w:trPr>
          <w:cantSplit/>
        </w:trPr>
        <w:tc>
          <w:tcPr>
            <w:tcW w:type="dxa" w:w="1560"/>
            <w:vAlign w:val="center"/>
            <w:tcMar>
              <w:top w:w="80" w:type="dxa"/>
              <w:start w:w="90" w:type="dxa"/>
              <w:bottom w:w="80" w:type="dxa"/>
              <w:end w:w="90" w:type="dxa"/>
            </w:tcMar>
          </w:tcPr>
          <w:p>
            <w:pPr>
              <w:spacing w:after="0" w:line="480" w:lineRule="auto"/>
              <w:jc w:val="left"/>
            </w:pPr>
            <w:r/>
            <w:r>
              <w:rPr>
                <w:rFonts w:ascii="Times New Roman" w:hAnsi="Times New Roman"/>
                <w:b w:val="0"/>
                <w:color w:val="000000"/>
                <w:sz w:val="17"/>
              </w:rPr>
              <w:t>10</w:t>
            </w:r>
          </w:p>
        </w:tc>
        <w:tc>
          <w:tcPr>
            <w:tcW w:type="dxa" w:w="1560"/>
            <w:vAlign w:val="center"/>
            <w:tcMar>
              <w:top w:w="80" w:type="dxa"/>
              <w:start w:w="90" w:type="dxa"/>
              <w:bottom w:w="80" w:type="dxa"/>
              <w:end w:w="90" w:type="dxa"/>
            </w:tcMar>
          </w:tcPr>
          <w:p>
            <w:pPr>
              <w:spacing w:after="0" w:line="480" w:lineRule="auto"/>
              <w:jc w:val="center"/>
            </w:pPr>
            <w:r/>
            <w:r>
              <w:rPr>
                <w:rFonts w:ascii="Times New Roman" w:hAnsi="Times New Roman"/>
                <w:b w:val="0"/>
                <w:color w:val="000000"/>
                <w:sz w:val="17"/>
              </w:rPr>
              <w:t>Feedback minus mean immediate improvement</w:t>
            </w:r>
          </w:p>
        </w:tc>
        <w:tc>
          <w:tcPr>
            <w:tcW w:type="dxa" w:w="1560"/>
            <w:vAlign w:val="center"/>
            <w:tcMar>
              <w:top w:w="80" w:type="dxa"/>
              <w:start w:w="90" w:type="dxa"/>
              <w:bottom w:w="80" w:type="dxa"/>
              <w:end w:w="90" w:type="dxa"/>
            </w:tcMar>
          </w:tcPr>
          <w:p>
            <w:pPr>
              <w:spacing w:after="0" w:line="480" w:lineRule="auto"/>
              <w:jc w:val="center"/>
            </w:pPr>
            <w:r/>
            <w:r>
              <w:rPr>
                <w:rFonts w:ascii="Times New Roman" w:hAnsi="Times New Roman"/>
                <w:b w:val="0"/>
                <w:color w:val="000000"/>
                <w:sz w:val="17"/>
              </w:rPr>
              <w:t>-0.0170</w:t>
            </w:r>
          </w:p>
        </w:tc>
        <w:tc>
          <w:tcPr>
            <w:tcW w:type="dxa" w:w="1560"/>
            <w:vAlign w:val="center"/>
            <w:tcMar>
              <w:top w:w="80" w:type="dxa"/>
              <w:start w:w="90" w:type="dxa"/>
              <w:bottom w:w="80" w:type="dxa"/>
              <w:end w:w="90" w:type="dxa"/>
            </w:tcMar>
          </w:tcPr>
          <w:p>
            <w:pPr>
              <w:spacing w:after="0" w:line="480" w:lineRule="auto"/>
              <w:jc w:val="center"/>
            </w:pPr>
            <w:r/>
            <w:r>
              <w:rPr>
                <w:rFonts w:ascii="Times New Roman" w:hAnsi="Times New Roman"/>
                <w:b w:val="0"/>
                <w:color w:val="000000"/>
                <w:sz w:val="17"/>
              </w:rPr>
              <w:t>[-0.0431, -0.0067]</w:t>
            </w:r>
          </w:p>
        </w:tc>
        <w:tc>
          <w:tcPr>
            <w:tcW w:type="dxa" w:w="1560"/>
            <w:vAlign w:val="center"/>
            <w:tcMar>
              <w:top w:w="80" w:type="dxa"/>
              <w:start w:w="90" w:type="dxa"/>
              <w:bottom w:w="80" w:type="dxa"/>
              <w:end w:w="90" w:type="dxa"/>
            </w:tcMar>
          </w:tcPr>
          <w:p>
            <w:pPr>
              <w:spacing w:after="0" w:line="480" w:lineRule="auto"/>
              <w:jc w:val="center"/>
            </w:pPr>
            <w:r/>
            <w:r>
              <w:rPr>
                <w:rFonts w:ascii="Times New Roman" w:hAnsi="Times New Roman"/>
                <w:b w:val="0"/>
                <w:color w:val="000000"/>
                <w:sz w:val="17"/>
              </w:rPr>
              <w:t>1 positive, 18 negative</w:t>
            </w:r>
          </w:p>
        </w:tc>
        <w:tc>
          <w:tcPr>
            <w:tcW w:type="dxa" w:w="1560"/>
            <w:vAlign w:val="center"/>
            <w:tcMar>
              <w:top w:w="80" w:type="dxa"/>
              <w:start w:w="90" w:type="dxa"/>
              <w:bottom w:w="80" w:type="dxa"/>
              <w:end w:w="90" w:type="dxa"/>
            </w:tcMar>
          </w:tcPr>
          <w:p>
            <w:pPr>
              <w:spacing w:after="0" w:line="480" w:lineRule="auto"/>
              <w:jc w:val="center"/>
            </w:pPr>
            <w:r/>
            <w:r>
              <w:rPr>
                <w:rFonts w:ascii="Times New Roman" w:hAnsi="Times New Roman"/>
                <w:b w:val="0"/>
                <w:color w:val="000000"/>
                <w:sz w:val="17"/>
              </w:rPr>
              <w:t>0.00078</w:t>
            </w:r>
          </w:p>
        </w:tc>
      </w:tr>
      <w:tr>
        <w:trPr>
          <w:cantSplit/>
        </w:trPr>
        <w:tc>
          <w:tcPr>
            <w:tcW w:type="dxa" w:w="1560"/>
            <w:vAlign w:val="center"/>
            <w:tcMar>
              <w:top w:w="80" w:type="dxa"/>
              <w:start w:w="90" w:type="dxa"/>
              <w:bottom w:w="80" w:type="dxa"/>
              <w:end w:w="90" w:type="dxa"/>
            </w:tcMar>
            <w:shd w:fill="EAF2F8"/>
          </w:tcPr>
          <w:p>
            <w:pPr>
              <w:spacing w:after="0" w:line="480" w:lineRule="auto"/>
              <w:jc w:val="left"/>
            </w:pPr>
            <w:r/>
            <w:r>
              <w:rPr>
                <w:rFonts w:ascii="Times New Roman" w:hAnsi="Times New Roman"/>
                <w:b w:val="0"/>
                <w:color w:val="000000"/>
                <w:sz w:val="17"/>
              </w:rPr>
              <w:t>20</w:t>
            </w:r>
          </w:p>
        </w:tc>
        <w:tc>
          <w:tcPr>
            <w:tcW w:type="dxa" w:w="1560"/>
            <w:vAlign w:val="center"/>
            <w:tcMar>
              <w:top w:w="80" w:type="dxa"/>
              <w:start w:w="90" w:type="dxa"/>
              <w:bottom w:w="80" w:type="dxa"/>
              <w:end w:w="90" w:type="dxa"/>
            </w:tcMar>
            <w:shd w:fill="EAF2F8"/>
          </w:tcPr>
          <w:p>
            <w:pPr>
              <w:spacing w:after="0" w:line="480" w:lineRule="auto"/>
              <w:jc w:val="center"/>
            </w:pPr>
            <w:r/>
            <w:r>
              <w:rPr>
                <w:rFonts w:ascii="Times New Roman" w:hAnsi="Times New Roman"/>
                <w:b w:val="0"/>
                <w:color w:val="000000"/>
                <w:sz w:val="17"/>
              </w:rPr>
              <w:t>Feedback minus mean immediate improvement</w:t>
            </w:r>
          </w:p>
        </w:tc>
        <w:tc>
          <w:tcPr>
            <w:tcW w:type="dxa" w:w="1560"/>
            <w:vAlign w:val="center"/>
            <w:tcMar>
              <w:top w:w="80" w:type="dxa"/>
              <w:start w:w="90" w:type="dxa"/>
              <w:bottom w:w="80" w:type="dxa"/>
              <w:end w:w="90" w:type="dxa"/>
            </w:tcMar>
            <w:shd w:fill="EAF2F8"/>
          </w:tcPr>
          <w:p>
            <w:pPr>
              <w:spacing w:after="0" w:line="480" w:lineRule="auto"/>
              <w:jc w:val="center"/>
            </w:pPr>
            <w:r/>
            <w:r>
              <w:rPr>
                <w:rFonts w:ascii="Times New Roman" w:hAnsi="Times New Roman"/>
                <w:b w:val="0"/>
                <w:color w:val="000000"/>
                <w:sz w:val="17"/>
              </w:rPr>
              <w:t>-0.0158</w:t>
            </w:r>
          </w:p>
        </w:tc>
        <w:tc>
          <w:tcPr>
            <w:tcW w:type="dxa" w:w="1560"/>
            <w:vAlign w:val="center"/>
            <w:tcMar>
              <w:top w:w="80" w:type="dxa"/>
              <w:start w:w="90" w:type="dxa"/>
              <w:bottom w:w="80" w:type="dxa"/>
              <w:end w:w="90" w:type="dxa"/>
            </w:tcMar>
            <w:shd w:fill="EAF2F8"/>
          </w:tcPr>
          <w:p>
            <w:pPr>
              <w:spacing w:after="0" w:line="480" w:lineRule="auto"/>
              <w:jc w:val="center"/>
            </w:pPr>
            <w:r/>
            <w:r>
              <w:rPr>
                <w:rFonts w:ascii="Times New Roman" w:hAnsi="Times New Roman"/>
                <w:b w:val="0"/>
                <w:color w:val="000000"/>
                <w:sz w:val="17"/>
              </w:rPr>
              <w:t>[-0.0352, -0.0079]</w:t>
            </w:r>
          </w:p>
        </w:tc>
        <w:tc>
          <w:tcPr>
            <w:tcW w:type="dxa" w:w="1560"/>
            <w:vAlign w:val="center"/>
            <w:tcMar>
              <w:top w:w="80" w:type="dxa"/>
              <w:start w:w="90" w:type="dxa"/>
              <w:bottom w:w="80" w:type="dxa"/>
              <w:end w:w="90" w:type="dxa"/>
            </w:tcMar>
            <w:shd w:fill="EAF2F8"/>
          </w:tcPr>
          <w:p>
            <w:pPr>
              <w:spacing w:after="0" w:line="480" w:lineRule="auto"/>
              <w:jc w:val="center"/>
            </w:pPr>
            <w:r/>
            <w:r>
              <w:rPr>
                <w:rFonts w:ascii="Times New Roman" w:hAnsi="Times New Roman"/>
                <w:b w:val="0"/>
                <w:color w:val="000000"/>
                <w:sz w:val="17"/>
              </w:rPr>
              <w:t>0 positive, 21 negative</w:t>
            </w:r>
          </w:p>
        </w:tc>
        <w:tc>
          <w:tcPr>
            <w:tcW w:type="dxa" w:w="1560"/>
            <w:vAlign w:val="center"/>
            <w:tcMar>
              <w:top w:w="80" w:type="dxa"/>
              <w:start w:w="90" w:type="dxa"/>
              <w:bottom w:w="80" w:type="dxa"/>
              <w:end w:w="90" w:type="dxa"/>
            </w:tcMar>
            <w:shd w:fill="EAF2F8"/>
          </w:tcPr>
          <w:p>
            <w:pPr>
              <w:spacing w:after="0" w:line="480" w:lineRule="auto"/>
              <w:jc w:val="center"/>
            </w:pPr>
            <w:r/>
            <w:r>
              <w:rPr>
                <w:rFonts w:ascii="Times New Roman" w:hAnsi="Times New Roman"/>
                <w:b w:val="0"/>
                <w:color w:val="000000"/>
                <w:sz w:val="17"/>
              </w:rPr>
              <w:t>0.00048</w:t>
            </w:r>
          </w:p>
        </w:tc>
      </w:tr>
      <w:tr>
        <w:trPr>
          <w:cantSplit/>
        </w:trPr>
        <w:tc>
          <w:tcPr>
            <w:tcW w:type="dxa" w:w="1560"/>
            <w:vAlign w:val="center"/>
            <w:tcMar>
              <w:top w:w="80" w:type="dxa"/>
              <w:start w:w="90" w:type="dxa"/>
              <w:bottom w:w="80" w:type="dxa"/>
              <w:end w:w="90" w:type="dxa"/>
            </w:tcMar>
          </w:tcPr>
          <w:p>
            <w:pPr>
              <w:spacing w:after="0" w:line="480" w:lineRule="auto"/>
              <w:jc w:val="left"/>
            </w:pPr>
            <w:r/>
            <w:r>
              <w:rPr>
                <w:rFonts w:ascii="Times New Roman" w:hAnsi="Times New Roman"/>
                <w:b w:val="0"/>
                <w:color w:val="000000"/>
                <w:sz w:val="17"/>
              </w:rPr>
              <w:t>40</w:t>
            </w:r>
          </w:p>
        </w:tc>
        <w:tc>
          <w:tcPr>
            <w:tcW w:type="dxa" w:w="1560"/>
            <w:vAlign w:val="center"/>
            <w:tcMar>
              <w:top w:w="80" w:type="dxa"/>
              <w:start w:w="90" w:type="dxa"/>
              <w:bottom w:w="80" w:type="dxa"/>
              <w:end w:w="90" w:type="dxa"/>
            </w:tcMar>
          </w:tcPr>
          <w:p>
            <w:pPr>
              <w:spacing w:after="0" w:line="480" w:lineRule="auto"/>
              <w:jc w:val="center"/>
            </w:pPr>
            <w:r/>
            <w:r>
              <w:rPr>
                <w:rFonts w:ascii="Times New Roman" w:hAnsi="Times New Roman"/>
                <w:b w:val="0"/>
                <w:color w:val="000000"/>
                <w:sz w:val="17"/>
              </w:rPr>
              <w:t>Feedback minus mean immediate improvement</w:t>
            </w:r>
          </w:p>
        </w:tc>
        <w:tc>
          <w:tcPr>
            <w:tcW w:type="dxa" w:w="1560"/>
            <w:vAlign w:val="center"/>
            <w:tcMar>
              <w:top w:w="80" w:type="dxa"/>
              <w:start w:w="90" w:type="dxa"/>
              <w:bottom w:w="80" w:type="dxa"/>
              <w:end w:w="90" w:type="dxa"/>
            </w:tcMar>
          </w:tcPr>
          <w:p>
            <w:pPr>
              <w:spacing w:after="0" w:line="480" w:lineRule="auto"/>
              <w:jc w:val="center"/>
            </w:pPr>
            <w:r/>
            <w:r>
              <w:rPr>
                <w:rFonts w:ascii="Times New Roman" w:hAnsi="Times New Roman"/>
                <w:b w:val="0"/>
                <w:color w:val="000000"/>
                <w:sz w:val="17"/>
              </w:rPr>
              <w:t>-0.0344</w:t>
            </w:r>
          </w:p>
        </w:tc>
        <w:tc>
          <w:tcPr>
            <w:tcW w:type="dxa" w:w="1560"/>
            <w:vAlign w:val="center"/>
            <w:tcMar>
              <w:top w:w="80" w:type="dxa"/>
              <w:start w:w="90" w:type="dxa"/>
              <w:bottom w:w="80" w:type="dxa"/>
              <w:end w:w="90" w:type="dxa"/>
            </w:tcMar>
          </w:tcPr>
          <w:p>
            <w:pPr>
              <w:spacing w:after="0" w:line="480" w:lineRule="auto"/>
              <w:jc w:val="center"/>
            </w:pPr>
            <w:r/>
            <w:r>
              <w:rPr>
                <w:rFonts w:ascii="Times New Roman" w:hAnsi="Times New Roman"/>
                <w:b w:val="0"/>
                <w:color w:val="000000"/>
                <w:sz w:val="17"/>
              </w:rPr>
              <w:t>[-0.0630, -0.0100]</w:t>
            </w:r>
          </w:p>
        </w:tc>
        <w:tc>
          <w:tcPr>
            <w:tcW w:type="dxa" w:w="1560"/>
            <w:vAlign w:val="center"/>
            <w:tcMar>
              <w:top w:w="80" w:type="dxa"/>
              <w:start w:w="90" w:type="dxa"/>
              <w:bottom w:w="80" w:type="dxa"/>
              <w:end w:w="90" w:type="dxa"/>
            </w:tcMar>
          </w:tcPr>
          <w:p>
            <w:pPr>
              <w:spacing w:after="0" w:line="480" w:lineRule="auto"/>
              <w:jc w:val="center"/>
            </w:pPr>
            <w:r/>
            <w:r>
              <w:rPr>
                <w:rFonts w:ascii="Times New Roman" w:hAnsi="Times New Roman"/>
                <w:b w:val="0"/>
                <w:color w:val="000000"/>
                <w:sz w:val="17"/>
              </w:rPr>
              <w:t>1 positive, 20 negative</w:t>
            </w:r>
          </w:p>
        </w:tc>
        <w:tc>
          <w:tcPr>
            <w:tcW w:type="dxa" w:w="1560"/>
            <w:vAlign w:val="center"/>
            <w:tcMar>
              <w:top w:w="80" w:type="dxa"/>
              <w:start w:w="90" w:type="dxa"/>
              <w:bottom w:w="80" w:type="dxa"/>
              <w:end w:w="90" w:type="dxa"/>
            </w:tcMar>
          </w:tcPr>
          <w:p>
            <w:pPr>
              <w:spacing w:after="0" w:line="480" w:lineRule="auto"/>
              <w:jc w:val="center"/>
            </w:pPr>
            <w:r/>
            <w:r>
              <w:rPr>
                <w:rFonts w:ascii="Times New Roman" w:hAnsi="Times New Roman"/>
                <w:b w:val="0"/>
                <w:color w:val="000000"/>
                <w:sz w:val="17"/>
              </w:rPr>
              <w:t>0.00048</w:t>
            </w:r>
          </w:p>
        </w:tc>
      </w:tr>
    </w:tbl>
    <w:p>
      <w:pPr>
        <w:spacing w:line="480" w:lineRule="auto"/>
      </w:pPr>
    </w:p>
    <w:p>
      <w:pPr>
        <w:keepNext w:val="0"/>
        <w:spacing w:line="480" w:lineRule="auto"/>
        <w:ind w:firstLine="317"/>
        <w:jc w:val="both"/>
      </w:pPr>
      <w:r>
        <w:rPr>
          <w:rFonts w:ascii="Times New Roman" w:hAnsi="Times New Roman"/>
          <w:b w:val="0"/>
          <w:i w:val="0"/>
          <w:color w:val="000000"/>
          <w:sz w:val="22"/>
        </w:rPr>
        <w:t>The nine contrasts and the 72 function-level contrasts they aggregate are released with the retained validation records (see Data availability). The function-level distribution underlying the aggregate endpoint contrasts is shown in Figure 2.</w:t>
      </w:r>
    </w:p>
    <w:p>
      <w:pPr>
        <w:keepNext/>
        <w:spacing w:line="480" w:lineRule="auto"/>
        <w:jc w:val="center"/>
      </w:pPr>
      <w:r>
        <w:drawing>
          <wp:inline xmlns:a="http://schemas.openxmlformats.org/drawingml/2006/main" xmlns:pic="http://schemas.openxmlformats.org/drawingml/2006/picture">
            <wp:extent cx="5760720" cy="1880557"/>
            <wp:docPr id="2" name="Picture 2" descr="Function-level endpoint effects in the independent BBOB validation. Positive values indicate larger PEM-T errors."/>
            <wp:cNvGraphicFramePr>
              <a:graphicFrameLocks noChangeAspect="1"/>
            </wp:cNvGraphicFramePr>
            <a:graphic>
              <a:graphicData uri="http://schemas.openxmlformats.org/drawingml/2006/picture">
                <pic:pic>
                  <pic:nvPicPr>
                    <pic:cNvPr id="0" name="endpoint_function_effects.png"/>
                    <pic:cNvPicPr/>
                  </pic:nvPicPr>
                  <pic:blipFill>
                    <a:blip r:embed="rId11"/>
                    <a:stretch>
                      <a:fillRect/>
                    </a:stretch>
                  </pic:blipFill>
                  <pic:spPr>
                    <a:xfrm>
                      <a:off x="0" y="0"/>
                      <a:ext cx="5760720" cy="1880557"/>
                    </a:xfrm>
                    <a:prstGeom prst="rect"/>
                  </pic:spPr>
                </pic:pic>
              </a:graphicData>
            </a:graphic>
          </wp:inline>
        </w:drawing>
      </w:r>
    </w:p>
    <w:p>
      <w:pPr>
        <w:keepNext w:val="0"/>
        <w:spacing w:line="480" w:lineRule="auto"/>
        <w:jc w:val="center"/>
      </w:pPr>
      <w:r>
        <w:rPr>
          <w:rFonts w:ascii="Times New Roman" w:hAnsi="Times New Roman"/>
          <w:color w:val="000000"/>
          <w:sz w:val="20"/>
        </w:rPr>
        <w:t>Figure 2: Function-level endpoint effects in the independent BBOB validation. Positive values indicate larger PEM-T errors.</w:t>
      </w:r>
    </w:p>
    <w:p>
      <w:pPr>
        <w:keepNext w:val="0"/>
        <w:spacing w:line="480" w:lineRule="auto"/>
        <w:ind w:firstLine="317"/>
        <w:jc w:val="both"/>
      </w:pPr>
      <w:r>
        <w:rPr>
          <w:rFonts w:ascii="Times New Roman" w:hAnsi="Times New Roman"/>
          <w:b w:val="0"/>
          <w:i w:val="0"/>
          <w:color w:val="000000"/>
          <w:sz w:val="22"/>
        </w:rPr>
        <w:t>Figure 2 displays all 24 function-level effects separately for each dimension rather than only the suite average. Each panel covers functions 1 to 24 on the horizontal axis against the difference in base-10 log-relative error on the vertical axis; bars above the zero line are drawn in orange and the few below it in blue. Most bars lie above the zero line: 22 of 24 in dimension 10 and 19 of 24 in both dimensions 20 and 40. The few negative bars show that the result is not pointwise uniform, while the shrinking bar heights across panels agree with the smaller aggregate effect at higher dimension. The conclusion is therefore based on a broad directional pattern with disclosed exceptions, not on one dominant benchmark function.</w:t>
      </w:r>
    </w:p>
    <w:p>
      <w:pPr>
        <w:pStyle w:val="Heading2"/>
        <w:keepNext/>
        <w:spacing w:line="480" w:lineRule="auto"/>
        <w:jc w:val="left"/>
      </w:pPr>
      <w:r>
        <w:rPr>
          <w:rFonts w:ascii="Times New Roman" w:hAnsi="Times New Roman"/>
          <w:b/>
          <w:i/>
          <w:color w:val="000000"/>
          <w:sz w:val="22"/>
        </w:rPr>
        <w:t>5.3 Calibration does not identify optimization utility</w:t>
      </w:r>
    </w:p>
    <w:p>
      <w:pPr>
        <w:keepNext w:val="0"/>
        <w:spacing w:line="480" w:lineRule="auto"/>
        <w:ind w:firstLine="317"/>
        <w:jc w:val="both"/>
      </w:pPr>
      <w:r>
        <w:rPr>
          <w:rFonts w:ascii="Times New Roman" w:hAnsi="Times New Roman"/>
          <w:b w:val="0"/>
          <w:i w:val="0"/>
          <w:color w:val="000000"/>
          <w:sz w:val="22"/>
        </w:rPr>
        <w:t>PEM-T explores 39.7%, 36.4%, and 34.4% of post-initialization evaluations in dimensions 10, 20, and 40, compared with approximately 10% for fixed 0.1. Its observed selected-point upper-bound failure fractions are 0.1008, 0.0942, and 0.0964, close to the nominal monitoring level. Nevertheless, its endpoints and common-state decisions are worse. A near-target aggregate failure fraction therefore does not imply efficient budget allocation.</w:t>
      </w:r>
    </w:p>
    <w:p>
      <w:pPr>
        <w:keepNext w:val="0"/>
        <w:spacing w:line="480" w:lineRule="auto"/>
        <w:ind w:firstLine="317"/>
        <w:jc w:val="both"/>
      </w:pPr>
      <w:r>
        <w:rPr>
          <w:rFonts w:ascii="Times New Roman" w:hAnsi="Times New Roman"/>
          <w:b w:val="0"/>
          <w:i w:val="0"/>
          <w:color w:val="000000"/>
          <w:sz w:val="22"/>
        </w:rPr>
        <w:t>Improvement declarations provide a second example. PEM-T makes 31, 34, and 155 declarations across the three dimensions; 20, 27, and 30 are false. The corresponding pooled false-declaration fractions are 0.645, 0.794, and 0.194. A one-sided failure rate near 0.1 cannot control the conditional error among the small subset declared to improve the incumbent.</w:t>
      </w:r>
    </w:p>
    <w:p>
      <w:pPr>
        <w:keepNext w:val="0"/>
        <w:spacing w:line="480" w:lineRule="auto"/>
        <w:ind w:firstLine="317"/>
        <w:jc w:val="both"/>
      </w:pPr>
      <w:r>
        <w:rPr>
          <w:rFonts w:ascii="Times New Roman" w:hAnsi="Times New Roman"/>
          <w:b w:val="0"/>
          <w:i w:val="0"/>
          <w:color w:val="000000"/>
          <w:sz w:val="22"/>
        </w:rPr>
        <w:t>History also changes the object being monitored. Under fixed 0.3 mixing, selected-point failures exceed pool failures, whereas under greedy histories the relationship reverses. The prespecified interaction is positive in all three dimensions (0.0851, 0.1225 and 0.1449) and passes Holm adjustment (p=0.00149, 0.00065 and 0.00170; Table 3). Selection-induced differences should therefore be attributed to the coupled history and policy, not treated as a universal direction of undercoverage.</w:t>
      </w:r>
    </w:p>
    <w:p>
      <w:pPr>
        <w:keepNext w:val="0"/>
        <w:spacing w:line="480" w:lineRule="auto"/>
        <w:ind w:firstLine="317"/>
        <w:jc w:val="both"/>
      </w:pPr>
      <w:r>
        <w:rPr>
          <w:rFonts w:ascii="Times New Roman" w:hAnsi="Times New Roman"/>
          <w:b w:val="0"/>
          <w:i w:val="0"/>
          <w:color w:val="000000"/>
          <w:sz w:val="22"/>
        </w:rPr>
        <w:t>The reversal of selected-point and pool failure differences across frozen history policies is shown in Figure 3.</w:t>
      </w:r>
    </w:p>
    <w:p>
      <w:pPr>
        <w:keepNext/>
        <w:spacing w:line="480" w:lineRule="auto"/>
        <w:jc w:val="center"/>
      </w:pPr>
      <w:r>
        <w:drawing>
          <wp:inline xmlns:a="http://schemas.openxmlformats.org/drawingml/2006/main" xmlns:pic="http://schemas.openxmlformats.org/drawingml/2006/picture">
            <wp:extent cx="5760720" cy="1649984"/>
            <wp:docPr id="3" name="Picture 3" descr="Selected-point minus pool failure differences under frozen history policies."/>
            <wp:cNvGraphicFramePr>
              <a:graphicFrameLocks noChangeAspect="1"/>
            </wp:cNvGraphicFramePr>
            <a:graphic>
              <a:graphicData uri="http://schemas.openxmlformats.org/drawingml/2006/picture">
                <pic:pic>
                  <pic:nvPicPr>
                    <pic:cNvPr id="0" name="history_object_differences.png"/>
                    <pic:cNvPicPr/>
                  </pic:nvPicPr>
                  <pic:blipFill>
                    <a:blip r:embed="rId12"/>
                    <a:stretch>
                      <a:fillRect/>
                    </a:stretch>
                  </pic:blipFill>
                  <pic:spPr>
                    <a:xfrm>
                      <a:off x="0" y="0"/>
                      <a:ext cx="5760720" cy="1649984"/>
                    </a:xfrm>
                    <a:prstGeom prst="rect"/>
                  </pic:spPr>
                </pic:pic>
              </a:graphicData>
            </a:graphic>
          </wp:inline>
        </w:drawing>
      </w:r>
    </w:p>
    <w:p>
      <w:pPr>
        <w:keepNext w:val="0"/>
        <w:spacing w:line="480" w:lineRule="auto"/>
        <w:jc w:val="center"/>
      </w:pPr>
      <w:r>
        <w:rPr>
          <w:rFonts w:ascii="Times New Roman" w:hAnsi="Times New Roman"/>
          <w:color w:val="000000"/>
          <w:sz w:val="20"/>
        </w:rPr>
        <w:t>Figure 3: Selected-point minus pool failure differences under frozen history policies.</w:t>
      </w:r>
    </w:p>
    <w:p>
      <w:pPr>
        <w:keepNext w:val="0"/>
        <w:spacing w:line="480" w:lineRule="auto"/>
        <w:ind w:firstLine="317"/>
        <w:jc w:val="both"/>
      </w:pPr>
      <w:r>
        <w:rPr>
          <w:rFonts w:ascii="Times New Roman" w:hAnsi="Times New Roman"/>
          <w:b w:val="0"/>
          <w:i w:val="0"/>
          <w:color w:val="000000"/>
          <w:sz w:val="22"/>
        </w:rPr>
        <w:t>Figure 3 makes the history dependence visible. Each panel, one per dimension, plots the selected-point minus pool failure fraction on the vertical axis for the three frozen history policies on the horizontal axis, and the zero line marks identical failure fractions for the two monitored objects. Fixed 0.3 histories place the selected-point failure fraction above the pool value in all three dimensions, whereas greedy histories place it below the pool value. Random-pool histories remain closer to zero and are negative in each panel. Because the sign changes with the policy that generated the frozen state, a single universal “selection penalty” would misrepresent the monitored process.</w:t>
      </w:r>
    </w:p>
    <w:p>
      <w:pPr>
        <w:keepNext w:val="0"/>
        <w:spacing w:line="480" w:lineRule="auto"/>
        <w:ind w:firstLine="317"/>
        <w:jc w:val="both"/>
      </w:pPr>
      <w:r>
        <w:rPr>
          <w:rFonts w:ascii="Times New Roman" w:hAnsi="Times New Roman"/>
          <w:b w:val="0"/>
          <w:i w:val="0"/>
          <w:color w:val="000000"/>
          <w:sz w:val="22"/>
        </w:rPr>
        <w:t>Spatial-temporal weighting lowers selected-point quantile loss in the prespecified diagnostic comparisons, yet its closed-loop endpoint remains worse than fixed 0.1 in each dimension. This is the central empirical separation: a better residual estimate can still direct evaluations toward candidates with low optimization value.</w:t>
      </w:r>
    </w:p>
    <w:p>
      <w:pPr>
        <w:keepNext w:val="0"/>
        <w:spacing w:line="480" w:lineRule="auto"/>
        <w:ind w:firstLine="317"/>
        <w:jc w:val="both"/>
      </w:pPr>
      <w:r>
        <w:rPr>
          <w:rFonts w:ascii="Times New Roman" w:hAnsi="Times New Roman"/>
          <w:b w:val="0"/>
          <w:i w:val="0"/>
          <w:color w:val="000000"/>
          <w:sz w:val="22"/>
        </w:rPr>
        <w:t>To isolate the evidential role of each audit stage, a stage-omission ablation is constructed from the frozen records. Unlike an optimizer-component ablation, omitting an audit stage does not alter the evaluated trajectory; it removes the corresponding basis for inference. Table 4 states the strongest conclusion still supported at each stopping point and the evidence that would be lost.</w:t>
      </w:r>
    </w:p>
    <w:p>
      <w:pPr>
        <w:keepNext/>
        <w:spacing w:line="480" w:lineRule="auto"/>
        <w:jc w:val="center"/>
      </w:pPr>
      <w:r>
        <w:rPr>
          <w:rFonts w:ascii="Times New Roman" w:hAnsi="Times New Roman"/>
          <w:color w:val="000000"/>
          <w:sz w:val="20"/>
        </w:rPr>
        <w:t>Table 4: Stage-omission ablation and the resulting loss of evidence.</w:t>
      </w:r>
    </w:p>
    <w:tbl>
      <w:tblPr>
        <w:tblW w:type="auto" w:w="0"/>
        <w:jc w:val="center"/>
        <w:tblLayout w:type="autofit"/>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Pr>
      <w:tblGrid>
        <w:gridCol w:w="3120"/>
        <w:gridCol w:w="3120"/>
        <w:gridCol w:w="3120"/>
      </w:tblGrid>
      <w:tr>
        <w:trPr>
          <w:tblHeader w:val="true"/>
          <w:cantSplit/>
        </w:trPr>
        <w:tc>
          <w:tcPr>
            <w:tcW w:type="dxa" w:w="3120"/>
            <w:vAlign w:val="center"/>
            <w:tcMar>
              <w:top w:w="80" w:type="dxa"/>
              <w:start w:w="90" w:type="dxa"/>
              <w:bottom w:w="80" w:type="dxa"/>
              <w:end w:w="90" w:type="dxa"/>
            </w:tcMar>
            <w:shd w:fill="1F4E78"/>
          </w:tcPr>
          <w:p>
            <w:pPr>
              <w:spacing w:after="0" w:line="480" w:lineRule="auto"/>
              <w:jc w:val="left"/>
            </w:pPr>
            <w:r/>
            <w:r>
              <w:rPr>
                <w:rFonts w:ascii="Times New Roman" w:hAnsi="Times New Roman"/>
                <w:b/>
                <w:color w:val="FFFFFF"/>
                <w:sz w:val="18"/>
              </w:rPr>
              <w:t>Available audit evidence</w:t>
            </w:r>
          </w:p>
        </w:tc>
        <w:tc>
          <w:tcPr>
            <w:tcW w:type="dxa" w:w="3120"/>
            <w:vAlign w:val="center"/>
            <w:tcMar>
              <w:top w:w="80" w:type="dxa"/>
              <w:start w:w="90" w:type="dxa"/>
              <w:bottom w:w="80" w:type="dxa"/>
              <w:end w:w="90" w:type="dxa"/>
            </w:tcMar>
            <w:shd w:fill="1F4E78"/>
          </w:tcPr>
          <w:p>
            <w:pPr>
              <w:spacing w:after="0" w:line="480" w:lineRule="auto"/>
              <w:jc w:val="center"/>
            </w:pPr>
            <w:r/>
            <w:r>
              <w:rPr>
                <w:rFonts w:ascii="Times New Roman" w:hAnsi="Times New Roman"/>
                <w:b/>
                <w:color w:val="FFFFFF"/>
                <w:sz w:val="18"/>
              </w:rPr>
              <w:t>Apparent conclusion for the representative monitor</w:t>
            </w:r>
          </w:p>
        </w:tc>
        <w:tc>
          <w:tcPr>
            <w:tcW w:type="dxa" w:w="3120"/>
            <w:vAlign w:val="center"/>
            <w:tcMar>
              <w:top w:w="80" w:type="dxa"/>
              <w:start w:w="90" w:type="dxa"/>
              <w:bottom w:w="80" w:type="dxa"/>
              <w:end w:w="90" w:type="dxa"/>
            </w:tcMar>
            <w:shd w:fill="1F4E78"/>
          </w:tcPr>
          <w:p>
            <w:pPr>
              <w:spacing w:after="0" w:line="480" w:lineRule="auto"/>
              <w:jc w:val="center"/>
            </w:pPr>
            <w:r/>
            <w:r>
              <w:rPr>
                <w:rFonts w:ascii="Times New Roman" w:hAnsi="Times New Roman"/>
                <w:b/>
                <w:color w:val="FFFFFF"/>
                <w:sz w:val="18"/>
              </w:rPr>
              <w:t>Information lost if the audit stops here</w:t>
            </w:r>
          </w:p>
        </w:tc>
      </w:tr>
      <w:tr>
        <w:trPr>
          <w:cantSplit/>
        </w:trPr>
        <w:tc>
          <w:tcPr>
            <w:tcW w:type="dxa" w:w="3120"/>
            <w:vAlign w:val="center"/>
            <w:tcMar>
              <w:top w:w="80" w:type="dxa"/>
              <w:start w:w="90" w:type="dxa"/>
              <w:bottom w:w="80" w:type="dxa"/>
              <w:end w:w="90" w:type="dxa"/>
            </w:tcMar>
          </w:tcPr>
          <w:p>
            <w:pPr>
              <w:spacing w:after="0" w:line="480" w:lineRule="auto"/>
              <w:jc w:val="left"/>
            </w:pPr>
            <w:r/>
            <w:r>
              <w:rPr>
                <w:rFonts w:ascii="Times New Roman" w:hAnsi="Times New Roman"/>
                <w:b w:val="0"/>
                <w:color w:val="000000"/>
                <w:sz w:val="18"/>
              </w:rPr>
              <w:t>Calibration only</w:t>
            </w:r>
          </w:p>
        </w:tc>
        <w:tc>
          <w:tcPr>
            <w:tcW w:type="dxa" w:w="3120"/>
            <w:vAlign w:val="center"/>
            <w:tcMar>
              <w:top w:w="80" w:type="dxa"/>
              <w:start w:w="90" w:type="dxa"/>
              <w:bottom w:w="80" w:type="dxa"/>
              <w:end w:w="90" w:type="dxa"/>
            </w:tcMar>
          </w:tcPr>
          <w:p>
            <w:pPr>
              <w:spacing w:after="0" w:line="480" w:lineRule="auto"/>
              <w:jc w:val="center"/>
            </w:pPr>
            <w:r/>
            <w:r>
              <w:rPr>
                <w:rFonts w:ascii="Times New Roman" w:hAnsi="Times New Roman"/>
                <w:b w:val="0"/>
                <w:color w:val="000000"/>
                <w:sz w:val="18"/>
              </w:rPr>
              <w:t>Selected-point failure is close to 0.1 and may appear satisfactory.</w:t>
            </w:r>
          </w:p>
        </w:tc>
        <w:tc>
          <w:tcPr>
            <w:tcW w:type="dxa" w:w="3120"/>
            <w:vAlign w:val="center"/>
            <w:tcMar>
              <w:top w:w="80" w:type="dxa"/>
              <w:start w:w="90" w:type="dxa"/>
              <w:bottom w:w="80" w:type="dxa"/>
              <w:end w:w="90" w:type="dxa"/>
            </w:tcMar>
          </w:tcPr>
          <w:p>
            <w:pPr>
              <w:spacing w:after="0" w:line="480" w:lineRule="auto"/>
              <w:jc w:val="center"/>
            </w:pPr>
            <w:r/>
            <w:r>
              <w:rPr>
                <w:rFonts w:ascii="Times New Roman" w:hAnsi="Times New Roman"/>
                <w:b w:val="0"/>
                <w:color w:val="000000"/>
                <w:sz w:val="18"/>
              </w:rPr>
              <w:t>No evidence that exploitation ranking changes or that selected actions are useful.</w:t>
            </w:r>
          </w:p>
        </w:tc>
      </w:tr>
      <w:tr>
        <w:trPr>
          <w:cantSplit/>
        </w:trPr>
        <w:tc>
          <w:tcPr>
            <w:tcW w:type="dxa" w:w="3120"/>
            <w:vAlign w:val="center"/>
            <w:tcMar>
              <w:top w:w="80" w:type="dxa"/>
              <w:start w:w="90" w:type="dxa"/>
              <w:bottom w:w="80" w:type="dxa"/>
              <w:end w:w="90" w:type="dxa"/>
            </w:tcMar>
            <w:shd w:fill="EAF2F8"/>
          </w:tcPr>
          <w:p>
            <w:pPr>
              <w:spacing w:after="0" w:line="480" w:lineRule="auto"/>
              <w:jc w:val="left"/>
            </w:pPr>
            <w:r/>
            <w:r>
              <w:rPr>
                <w:rFonts w:ascii="Times New Roman" w:hAnsi="Times New Roman"/>
                <w:b w:val="0"/>
                <w:color w:val="000000"/>
                <w:sz w:val="18"/>
              </w:rPr>
              <w:t>Calibration plus ordering analysis</w:t>
            </w:r>
          </w:p>
        </w:tc>
        <w:tc>
          <w:tcPr>
            <w:tcW w:type="dxa" w:w="3120"/>
            <w:vAlign w:val="center"/>
            <w:tcMar>
              <w:top w:w="80" w:type="dxa"/>
              <w:start w:w="90" w:type="dxa"/>
              <w:bottom w:w="80" w:type="dxa"/>
              <w:end w:w="90" w:type="dxa"/>
            </w:tcMar>
            <w:shd w:fill="EAF2F8"/>
          </w:tcPr>
          <w:p>
            <w:pPr>
              <w:spacing w:after="0" w:line="480" w:lineRule="auto"/>
              <w:jc w:val="center"/>
            </w:pPr>
            <w:r/>
            <w:r>
              <w:rPr>
                <w:rFonts w:ascii="Times New Roman" w:hAnsi="Times New Roman"/>
                <w:b w:val="0"/>
                <w:color w:val="000000"/>
                <w:sz w:val="18"/>
              </w:rPr>
              <w:t>The temporal additive correction is exploitation-redundant; feedback can act through exploration.</w:t>
            </w:r>
          </w:p>
        </w:tc>
        <w:tc>
          <w:tcPr>
            <w:tcW w:type="dxa" w:w="3120"/>
            <w:vAlign w:val="center"/>
            <w:tcMar>
              <w:top w:w="80" w:type="dxa"/>
              <w:start w:w="90" w:type="dxa"/>
              <w:bottom w:w="80" w:type="dxa"/>
              <w:end w:w="90" w:type="dxa"/>
            </w:tcMar>
            <w:shd w:fill="EAF2F8"/>
          </w:tcPr>
          <w:p>
            <w:pPr>
              <w:spacing w:after="0" w:line="480" w:lineRule="auto"/>
              <w:jc w:val="center"/>
            </w:pPr>
            <w:r/>
            <w:r>
              <w:rPr>
                <w:rFonts w:ascii="Times New Roman" w:hAnsi="Times New Roman"/>
                <w:b w:val="0"/>
                <w:color w:val="000000"/>
                <w:sz w:val="18"/>
              </w:rPr>
              <w:t>The utility of the changed exploration decisions remains unknown.</w:t>
            </w:r>
          </w:p>
        </w:tc>
      </w:tr>
      <w:tr>
        <w:trPr>
          <w:cantSplit/>
        </w:trPr>
        <w:tc>
          <w:tcPr>
            <w:tcW w:type="dxa" w:w="3120"/>
            <w:vAlign w:val="center"/>
            <w:tcMar>
              <w:top w:w="80" w:type="dxa"/>
              <w:start w:w="90" w:type="dxa"/>
              <w:bottom w:w="80" w:type="dxa"/>
              <w:end w:w="90" w:type="dxa"/>
            </w:tcMar>
          </w:tcPr>
          <w:p>
            <w:pPr>
              <w:spacing w:after="0" w:line="480" w:lineRule="auto"/>
              <w:jc w:val="left"/>
            </w:pPr>
            <w:r/>
            <w:r>
              <w:rPr>
                <w:rFonts w:ascii="Times New Roman" w:hAnsi="Times New Roman"/>
                <w:b w:val="0"/>
                <w:color w:val="000000"/>
                <w:sz w:val="18"/>
              </w:rPr>
              <w:t>Ordering plus common-state utility</w:t>
            </w:r>
          </w:p>
        </w:tc>
        <w:tc>
          <w:tcPr>
            <w:tcW w:type="dxa" w:w="3120"/>
            <w:vAlign w:val="center"/>
            <w:tcMar>
              <w:top w:w="80" w:type="dxa"/>
              <w:start w:w="90" w:type="dxa"/>
              <w:bottom w:w="80" w:type="dxa"/>
              <w:end w:w="90" w:type="dxa"/>
            </w:tcMar>
          </w:tcPr>
          <w:p>
            <w:pPr>
              <w:spacing w:after="0" w:line="480" w:lineRule="auto"/>
              <w:jc w:val="center"/>
            </w:pPr>
            <w:r/>
            <w:r>
              <w:rPr>
                <w:rFonts w:ascii="Times New Roman" w:hAnsi="Times New Roman"/>
                <w:b w:val="0"/>
                <w:color w:val="000000"/>
                <w:sz w:val="18"/>
              </w:rPr>
              <w:t>Feedback changes actions, but those actions have lower immediate improvement than mean-greedy choices.</w:t>
            </w:r>
          </w:p>
        </w:tc>
        <w:tc>
          <w:tcPr>
            <w:tcW w:type="dxa" w:w="3120"/>
            <w:vAlign w:val="center"/>
            <w:tcMar>
              <w:top w:w="80" w:type="dxa"/>
              <w:start w:w="90" w:type="dxa"/>
              <w:bottom w:w="80" w:type="dxa"/>
              <w:end w:w="90" w:type="dxa"/>
            </w:tcMar>
          </w:tcPr>
          <w:p>
            <w:pPr>
              <w:spacing w:after="0" w:line="480" w:lineRule="auto"/>
              <w:jc w:val="center"/>
            </w:pPr>
            <w:r/>
            <w:r>
              <w:rPr>
                <w:rFonts w:ascii="Times New Roman" w:hAnsi="Times New Roman"/>
                <w:b w:val="0"/>
                <w:color w:val="000000"/>
                <w:sz w:val="18"/>
              </w:rPr>
              <w:t>Delayed effects after histories diverge remain untested.</w:t>
            </w:r>
          </w:p>
        </w:tc>
      </w:tr>
      <w:tr>
        <w:trPr>
          <w:cantSplit/>
        </w:trPr>
        <w:tc>
          <w:tcPr>
            <w:tcW w:type="dxa" w:w="3120"/>
            <w:vAlign w:val="center"/>
            <w:tcMar>
              <w:top w:w="80" w:type="dxa"/>
              <w:start w:w="90" w:type="dxa"/>
              <w:bottom w:w="80" w:type="dxa"/>
              <w:end w:w="90" w:type="dxa"/>
            </w:tcMar>
            <w:shd w:fill="EAF2F8"/>
          </w:tcPr>
          <w:p>
            <w:pPr>
              <w:spacing w:after="0" w:line="480" w:lineRule="auto"/>
              <w:jc w:val="left"/>
            </w:pPr>
            <w:r/>
            <w:r>
              <w:rPr>
                <w:rFonts w:ascii="Times New Roman" w:hAnsi="Times New Roman"/>
                <w:b w:val="0"/>
                <w:color w:val="000000"/>
                <w:sz w:val="18"/>
              </w:rPr>
              <w:t>Full audit including closed loop</w:t>
            </w:r>
          </w:p>
        </w:tc>
        <w:tc>
          <w:tcPr>
            <w:tcW w:type="dxa" w:w="3120"/>
            <w:vAlign w:val="center"/>
            <w:tcMar>
              <w:top w:w="80" w:type="dxa"/>
              <w:start w:w="90" w:type="dxa"/>
              <w:bottom w:w="80" w:type="dxa"/>
              <w:end w:w="90" w:type="dxa"/>
            </w:tcMar>
            <w:shd w:fill="EAF2F8"/>
          </w:tcPr>
          <w:p>
            <w:pPr>
              <w:spacing w:after="0" w:line="480" w:lineRule="auto"/>
              <w:jc w:val="center"/>
            </w:pPr>
            <w:r/>
            <w:r>
              <w:rPr>
                <w:rFonts w:ascii="Times New Roman" w:hAnsi="Times New Roman"/>
                <w:b w:val="0"/>
                <w:color w:val="000000"/>
                <w:sz w:val="18"/>
              </w:rPr>
              <w:t>The controller does not pass the held-out optimization-benefit gate under the tested budgets.</w:t>
            </w:r>
          </w:p>
        </w:tc>
        <w:tc>
          <w:tcPr>
            <w:tcW w:type="dxa" w:w="3120"/>
            <w:vAlign w:val="center"/>
            <w:tcMar>
              <w:top w:w="80" w:type="dxa"/>
              <w:start w:w="90" w:type="dxa"/>
              <w:bottom w:w="80" w:type="dxa"/>
              <w:end w:w="90" w:type="dxa"/>
            </w:tcMar>
            <w:shd w:fill="EAF2F8"/>
          </w:tcPr>
          <w:p>
            <w:pPr>
              <w:spacing w:after="0" w:line="480" w:lineRule="auto"/>
              <w:jc w:val="center"/>
            </w:pPr>
            <w:r/>
            <w:r>
              <w:rPr>
                <w:rFonts w:ascii="Times New Roman" w:hAnsi="Times New Roman"/>
                <w:b w:val="0"/>
                <w:color w:val="000000"/>
                <w:sz w:val="18"/>
              </w:rPr>
              <w:t>No omitted audit stage is used to claim deployment value.</w:t>
            </w:r>
          </w:p>
        </w:tc>
      </w:tr>
    </w:tbl>
    <w:p>
      <w:pPr>
        <w:spacing w:line="480" w:lineRule="auto"/>
      </w:pPr>
    </w:p>
    <w:p>
      <w:pPr>
        <w:keepNext w:val="0"/>
        <w:spacing w:line="480" w:lineRule="auto"/>
        <w:ind w:firstLine="317"/>
        <w:jc w:val="both"/>
      </w:pPr>
      <w:r>
        <w:rPr>
          <w:rFonts w:ascii="Times New Roman" w:hAnsi="Times New Roman"/>
          <w:b w:val="0"/>
          <w:i w:val="0"/>
          <w:color w:val="000000"/>
          <w:sz w:val="22"/>
        </w:rPr>
        <w:t>This evidence ablation uses the same frozen results rather than rerunning a modified optimizer because the ablated objects are inferential stages rather than search operators. It shows why a calibration-only assessment would have produced an incomplete reliability conclusion, why algebraic pathway analysis can identify redundancy without additional objective calls, and why common-state and closed-loop evidence answer distinct questions.</w:t>
      </w:r>
    </w:p>
    <w:p>
      <w:pPr>
        <w:pStyle w:val="Heading1"/>
        <w:keepNext/>
        <w:spacing w:line="480" w:lineRule="auto"/>
        <w:jc w:val="left"/>
      </w:pPr>
      <w:r>
        <w:rPr>
          <w:rFonts w:ascii="Times New Roman" w:hAnsi="Times New Roman"/>
          <w:b/>
          <w:i w:val="0"/>
          <w:color w:val="000000"/>
          <w:sz w:val="22"/>
        </w:rPr>
        <w:t>6 Engineering Application: Surrogate-Assisted Structural Optimization</w:t>
      </w:r>
    </w:p>
    <w:p>
      <w:pPr>
        <w:pStyle w:val="Heading2"/>
        <w:keepNext/>
        <w:spacing w:line="480" w:lineRule="auto"/>
        <w:jc w:val="left"/>
      </w:pPr>
      <w:r>
        <w:rPr>
          <w:rFonts w:ascii="Times New Roman" w:hAnsi="Times New Roman"/>
          <w:b/>
          <w:i/>
          <w:color w:val="000000"/>
          <w:sz w:val="22"/>
        </w:rPr>
        <w:t>6.1 Problem and parameterization</w:t>
      </w:r>
    </w:p>
    <w:p>
      <w:pPr>
        <w:keepNext w:val="0"/>
        <w:spacing w:line="480" w:lineRule="auto"/>
        <w:ind w:firstLine="317"/>
        <w:jc w:val="both"/>
      </w:pPr>
      <w:r>
        <w:rPr>
          <w:rFonts w:ascii="Times New Roman" w:hAnsi="Times New Roman"/>
          <w:b w:val="0"/>
          <w:i w:val="0"/>
          <w:color w:val="000000"/>
          <w:sz w:val="22"/>
        </w:rPr>
        <w:t>EngiBench Beams2D v1 supplies a density-based finite-element model of the right half of a symmetric Messerschmitt-Bolkow-Blohm beam [23]. Surrogate-assisted evolutionary optimization has previously been developed for expensive structural design [18], and uncertainty-guided reliable-region search has been studied for expensive engineering optimization [35]. Here, the beam provides engineering application validation of the audit framework within an expensive structural optimization workflow. The domain uses 100 by 50 bilinear elements. Horizontal degrees of freedom along the left symmetry boundary are fixed, the lower-right vertical degree of freedom is supported, and a unit downward load is applied at the top-left of the modeled half-beam. The material interpolation uses minimum stiffness 10^-9, unit maximum stiffness, penalization power 3, and Poisson ratio 0.3. The objective is structural compliance; lower values are better.</w:t>
      </w:r>
    </w:p>
    <w:p>
      <w:pPr>
        <w:keepNext w:val="0"/>
        <w:spacing w:line="480" w:lineRule="auto"/>
        <w:ind w:firstLine="317"/>
        <w:jc w:val="both"/>
      </w:pPr>
      <w:r>
        <w:rPr>
          <w:rFonts w:ascii="Times New Roman" w:hAnsi="Times New Roman"/>
          <w:b w:val="0"/>
          <w:i w:val="0"/>
          <w:color w:val="000000"/>
          <w:sz w:val="22"/>
        </w:rPr>
        <w:t>Direct optimization of all 5,000 element densities is outside the studied surrogate's budget and initialization regime. A constrained engineering family is defined in which 19 effective logits plus one fixed anchor form a 4 by 5 coarse field. Cubic interpolation expands the field to 50 by 100 elements. A scalar logistic shift is solved by bisection so that every design has mean density 0.35. The study therefore evaluates model management within this smooth 19-dimensional design family rather than claiming general topology-optimization performance.</w:t>
      </w:r>
    </w:p>
    <w:p>
      <w:pPr>
        <w:pStyle w:val="Heading2"/>
        <w:keepNext/>
        <w:spacing w:line="480" w:lineRule="auto"/>
        <w:jc w:val="left"/>
      </w:pPr>
      <w:r>
        <w:rPr>
          <w:rFonts w:ascii="Times New Roman" w:hAnsi="Times New Roman"/>
          <w:b/>
          <w:i/>
          <w:color w:val="000000"/>
          <w:sz w:val="22"/>
        </w:rPr>
        <w:t>6.2 Application protocol and audit results</w:t>
      </w:r>
    </w:p>
    <w:p>
      <w:pPr>
        <w:keepNext w:val="0"/>
        <w:spacing w:line="480" w:lineRule="auto"/>
        <w:ind w:firstLine="317"/>
        <w:jc w:val="both"/>
      </w:pPr>
      <w:r>
        <w:rPr>
          <w:rFonts w:ascii="Times New Roman" w:hAnsi="Times New Roman"/>
          <w:b w:val="0"/>
          <w:i w:val="0"/>
          <w:color w:val="000000"/>
          <w:sz w:val="22"/>
        </w:rPr>
        <w:t>Before formal labels, five methods, ten repeats, and 200 evaluations per run are frozen. The first batch keeps the native 38-point initialization of GP-EI and TuRBO-1 while Greedy, fixed 0.1, and PEM-T share a 58-point initialization. A prespecified sensitivity batch then reruns GP-EI and TuRBO-1 from exactly the same 58 points and deterministic labels as the internal methods. Two acquisition controls, GP-PI and GP-UCB, and the author-code DRSO SAEA are subsequently run from the same archive. Their subsequent searches retain their stated acquisition, trust-region, relation-model, evolutionary, and candidate-generation rules. The original 50 trajectories contain 10,000 paid finite-element evaluations. The five shared-initialization external controls add 10,000 algorithm-budget observations, reuse 2,900 initial labels, and make 7,100 additional finite-element calls. All 100 trajectories finish without failure or exact duplicate points. Independent endpoint diagnostics reproduce the original GP-EI and TuRBO-1 sensitivity endpoints within a maximum relative difference of 6.23e-12; event-level audits accept every GP-PI, GP-UCB, and DRSO trajectory.</w:t>
      </w:r>
    </w:p>
    <w:p>
      <w:pPr>
        <w:keepNext w:val="0"/>
        <w:spacing w:line="480" w:lineRule="auto"/>
        <w:ind w:firstLine="317"/>
        <w:jc w:val="both"/>
      </w:pPr>
      <w:r>
        <w:rPr>
          <w:rFonts w:ascii="Times New Roman" w:hAnsi="Times New Roman"/>
          <w:b w:val="0"/>
          <w:i w:val="0"/>
          <w:color w:val="000000"/>
          <w:sz w:val="22"/>
        </w:rPr>
        <w:t>The first and third quartiles are denoted by Q1 and Q3, respectively, in Table 5.</w:t>
      </w:r>
    </w:p>
    <w:p>
      <w:pPr>
        <w:keepNext/>
        <w:spacing w:line="480" w:lineRule="auto"/>
        <w:jc w:val="center"/>
      </w:pPr>
      <w:r>
        <w:rPr>
          <w:rFonts w:ascii="Times New Roman" w:hAnsi="Times New Roman"/>
          <w:color w:val="000000"/>
          <w:sz w:val="20"/>
        </w:rPr>
        <w:t>Table 5: Finite-element endpoint compliance over ten optimization repeats.</w:t>
      </w:r>
    </w:p>
    <w:tbl>
      <w:tblPr>
        <w:tblW w:type="auto" w:w="0"/>
        <w:jc w:val="center"/>
        <w:tblLayout w:type="autofit"/>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Pr>
      <w:tblGrid>
        <w:gridCol w:w="1872"/>
        <w:gridCol w:w="1872"/>
        <w:gridCol w:w="1872"/>
        <w:gridCol w:w="1872"/>
        <w:gridCol w:w="1872"/>
      </w:tblGrid>
      <w:tr>
        <w:trPr>
          <w:tblHeader w:val="true"/>
          <w:cantSplit/>
        </w:trPr>
        <w:tc>
          <w:tcPr>
            <w:tcW w:type="dxa" w:w="1872"/>
            <w:vAlign w:val="center"/>
            <w:tcMar>
              <w:top w:w="80" w:type="dxa"/>
              <w:start w:w="90" w:type="dxa"/>
              <w:bottom w:w="80" w:type="dxa"/>
              <w:end w:w="90" w:type="dxa"/>
            </w:tcMar>
            <w:shd w:fill="1F4E78"/>
          </w:tcPr>
          <w:p>
            <w:pPr>
              <w:spacing w:after="0" w:line="480" w:lineRule="auto"/>
              <w:jc w:val="left"/>
            </w:pPr>
            <w:r/>
            <w:r>
              <w:rPr>
                <w:rFonts w:ascii="Times New Roman" w:hAnsi="Times New Roman"/>
                <w:b/>
                <w:color w:val="FFFFFF"/>
                <w:sz w:val="17"/>
              </w:rPr>
              <w:t>Method</w:t>
            </w:r>
          </w:p>
        </w:tc>
        <w:tc>
          <w:tcPr>
            <w:tcW w:type="dxa" w:w="1872"/>
            <w:vAlign w:val="center"/>
            <w:tcMar>
              <w:top w:w="80" w:type="dxa"/>
              <w:start w:w="90" w:type="dxa"/>
              <w:bottom w:w="80" w:type="dxa"/>
              <w:end w:w="90" w:type="dxa"/>
            </w:tcMar>
            <w:shd w:fill="1F4E78"/>
          </w:tcPr>
          <w:p>
            <w:pPr>
              <w:spacing w:after="0" w:line="480" w:lineRule="auto"/>
              <w:jc w:val="center"/>
            </w:pPr>
            <w:r/>
            <w:r>
              <w:rPr>
                <w:rFonts w:ascii="Times New Roman" w:hAnsi="Times New Roman"/>
                <w:b/>
                <w:color w:val="FFFFFF"/>
                <w:sz w:val="17"/>
              </w:rPr>
              <w:t>Median</w:t>
            </w:r>
          </w:p>
        </w:tc>
        <w:tc>
          <w:tcPr>
            <w:tcW w:type="dxa" w:w="1872"/>
            <w:vAlign w:val="center"/>
            <w:tcMar>
              <w:top w:w="80" w:type="dxa"/>
              <w:start w:w="90" w:type="dxa"/>
              <w:bottom w:w="80" w:type="dxa"/>
              <w:end w:w="90" w:type="dxa"/>
            </w:tcMar>
            <w:shd w:fill="1F4E78"/>
          </w:tcPr>
          <w:p>
            <w:pPr>
              <w:spacing w:after="0" w:line="480" w:lineRule="auto"/>
              <w:jc w:val="center"/>
            </w:pPr>
            <w:r/>
            <w:r>
              <w:rPr>
                <w:rFonts w:ascii="Times New Roman" w:hAnsi="Times New Roman"/>
                <w:b/>
                <w:color w:val="FFFFFF"/>
                <w:sz w:val="17"/>
              </w:rPr>
              <w:t>Q1</w:t>
            </w:r>
          </w:p>
        </w:tc>
        <w:tc>
          <w:tcPr>
            <w:tcW w:type="dxa" w:w="1872"/>
            <w:vAlign w:val="center"/>
            <w:tcMar>
              <w:top w:w="80" w:type="dxa"/>
              <w:start w:w="90" w:type="dxa"/>
              <w:bottom w:w="80" w:type="dxa"/>
              <w:end w:w="90" w:type="dxa"/>
            </w:tcMar>
            <w:shd w:fill="1F4E78"/>
          </w:tcPr>
          <w:p>
            <w:pPr>
              <w:spacing w:after="0" w:line="480" w:lineRule="auto"/>
              <w:jc w:val="center"/>
            </w:pPr>
            <w:r/>
            <w:r>
              <w:rPr>
                <w:rFonts w:ascii="Times New Roman" w:hAnsi="Times New Roman"/>
                <w:b/>
                <w:color w:val="FFFFFF"/>
                <w:sz w:val="17"/>
              </w:rPr>
              <w:t>Q3</w:t>
            </w:r>
          </w:p>
        </w:tc>
        <w:tc>
          <w:tcPr>
            <w:tcW w:type="dxa" w:w="1872"/>
            <w:vAlign w:val="center"/>
            <w:tcMar>
              <w:top w:w="80" w:type="dxa"/>
              <w:start w:w="90" w:type="dxa"/>
              <w:bottom w:w="80" w:type="dxa"/>
              <w:end w:w="90" w:type="dxa"/>
            </w:tcMar>
            <w:shd w:fill="1F4E78"/>
          </w:tcPr>
          <w:p>
            <w:pPr>
              <w:spacing w:after="0" w:line="480" w:lineRule="auto"/>
              <w:jc w:val="center"/>
            </w:pPr>
            <w:r/>
            <w:r>
              <w:rPr>
                <w:rFonts w:ascii="Times New Roman" w:hAnsi="Times New Roman"/>
                <w:b/>
                <w:color w:val="FFFFFF"/>
                <w:sz w:val="17"/>
              </w:rPr>
              <w:t>Median improvement after shared initialization</w:t>
            </w:r>
          </w:p>
        </w:tc>
      </w:tr>
      <w:tr>
        <w:trPr>
          <w:cantSplit/>
        </w:trPr>
        <w:tc>
          <w:tcPr>
            <w:tcW w:type="dxa" w:w="1872"/>
            <w:vAlign w:val="center"/>
            <w:tcMar>
              <w:top w:w="80" w:type="dxa"/>
              <w:start w:w="90" w:type="dxa"/>
              <w:bottom w:w="80" w:type="dxa"/>
              <w:end w:w="90" w:type="dxa"/>
            </w:tcMar>
          </w:tcPr>
          <w:p>
            <w:pPr>
              <w:spacing w:after="0" w:line="480" w:lineRule="auto"/>
              <w:jc w:val="left"/>
            </w:pPr>
            <w:r/>
            <w:r>
              <w:rPr>
                <w:rFonts w:ascii="Times New Roman" w:hAnsi="Times New Roman"/>
                <w:b w:val="0"/>
                <w:color w:val="000000"/>
                <w:sz w:val="17"/>
              </w:rPr>
              <w:t>Greedy</w:t>
            </w:r>
          </w:p>
        </w:tc>
        <w:tc>
          <w:tcPr>
            <w:tcW w:type="dxa" w:w="1872"/>
            <w:vAlign w:val="center"/>
            <w:tcMar>
              <w:top w:w="80" w:type="dxa"/>
              <w:start w:w="90" w:type="dxa"/>
              <w:bottom w:w="80" w:type="dxa"/>
              <w:end w:w="90" w:type="dxa"/>
            </w:tcMar>
          </w:tcPr>
          <w:p>
            <w:pPr>
              <w:spacing w:after="0" w:line="480" w:lineRule="auto"/>
              <w:jc w:val="center"/>
            </w:pPr>
            <w:r/>
            <w:r>
              <w:rPr>
                <w:rFonts w:ascii="Times New Roman" w:hAnsi="Times New Roman"/>
                <w:b w:val="0"/>
                <w:color w:val="000000"/>
                <w:sz w:val="17"/>
              </w:rPr>
              <w:t>1445.1</w:t>
            </w:r>
          </w:p>
        </w:tc>
        <w:tc>
          <w:tcPr>
            <w:tcW w:type="dxa" w:w="1872"/>
            <w:vAlign w:val="center"/>
            <w:tcMar>
              <w:top w:w="80" w:type="dxa"/>
              <w:start w:w="90" w:type="dxa"/>
              <w:bottom w:w="80" w:type="dxa"/>
              <w:end w:w="90" w:type="dxa"/>
            </w:tcMar>
          </w:tcPr>
          <w:p>
            <w:pPr>
              <w:spacing w:after="0" w:line="480" w:lineRule="auto"/>
              <w:jc w:val="center"/>
            </w:pPr>
            <w:r/>
            <w:r>
              <w:rPr>
                <w:rFonts w:ascii="Times New Roman" w:hAnsi="Times New Roman"/>
                <w:b w:val="0"/>
                <w:color w:val="000000"/>
                <w:sz w:val="17"/>
              </w:rPr>
              <w:t>1300.8</w:t>
            </w:r>
          </w:p>
        </w:tc>
        <w:tc>
          <w:tcPr>
            <w:tcW w:type="dxa" w:w="1872"/>
            <w:vAlign w:val="center"/>
            <w:tcMar>
              <w:top w:w="80" w:type="dxa"/>
              <w:start w:w="90" w:type="dxa"/>
              <w:bottom w:w="80" w:type="dxa"/>
              <w:end w:w="90" w:type="dxa"/>
            </w:tcMar>
          </w:tcPr>
          <w:p>
            <w:pPr>
              <w:spacing w:after="0" w:line="480" w:lineRule="auto"/>
              <w:jc w:val="center"/>
            </w:pPr>
            <w:r/>
            <w:r>
              <w:rPr>
                <w:rFonts w:ascii="Times New Roman" w:hAnsi="Times New Roman"/>
                <w:b w:val="0"/>
                <w:color w:val="000000"/>
                <w:sz w:val="17"/>
              </w:rPr>
              <w:t>1694.9</w:t>
            </w:r>
          </w:p>
        </w:tc>
        <w:tc>
          <w:tcPr>
            <w:tcW w:type="dxa" w:w="1872"/>
            <w:vAlign w:val="center"/>
            <w:tcMar>
              <w:top w:w="80" w:type="dxa"/>
              <w:start w:w="90" w:type="dxa"/>
              <w:bottom w:w="80" w:type="dxa"/>
              <w:end w:w="90" w:type="dxa"/>
            </w:tcMar>
          </w:tcPr>
          <w:p>
            <w:pPr>
              <w:spacing w:after="0" w:line="480" w:lineRule="auto"/>
              <w:jc w:val="center"/>
            </w:pPr>
            <w:r/>
            <w:r>
              <w:rPr>
                <w:rFonts w:ascii="Times New Roman" w:hAnsi="Times New Roman"/>
                <w:b w:val="0"/>
                <w:color w:val="000000"/>
                <w:sz w:val="17"/>
              </w:rPr>
              <w:t>0.362</w:t>
            </w:r>
          </w:p>
        </w:tc>
      </w:tr>
      <w:tr>
        <w:trPr>
          <w:cantSplit/>
        </w:trPr>
        <w:tc>
          <w:tcPr>
            <w:tcW w:type="dxa" w:w="1872"/>
            <w:vAlign w:val="center"/>
            <w:tcMar>
              <w:top w:w="80" w:type="dxa"/>
              <w:start w:w="90" w:type="dxa"/>
              <w:bottom w:w="80" w:type="dxa"/>
              <w:end w:w="90" w:type="dxa"/>
            </w:tcMar>
            <w:shd w:fill="EAF2F8"/>
          </w:tcPr>
          <w:p>
            <w:pPr>
              <w:spacing w:after="0" w:line="480" w:lineRule="auto"/>
              <w:jc w:val="left"/>
            </w:pPr>
            <w:r/>
            <w:r>
              <w:rPr>
                <w:rFonts w:ascii="Times New Roman" w:hAnsi="Times New Roman"/>
                <w:b w:val="0"/>
                <w:color w:val="000000"/>
                <w:sz w:val="17"/>
              </w:rPr>
              <w:t>fixed 0.1</w:t>
            </w:r>
          </w:p>
        </w:tc>
        <w:tc>
          <w:tcPr>
            <w:tcW w:type="dxa" w:w="1872"/>
            <w:vAlign w:val="center"/>
            <w:tcMar>
              <w:top w:w="80" w:type="dxa"/>
              <w:start w:w="90" w:type="dxa"/>
              <w:bottom w:w="80" w:type="dxa"/>
              <w:end w:w="90" w:type="dxa"/>
            </w:tcMar>
            <w:shd w:fill="EAF2F8"/>
          </w:tcPr>
          <w:p>
            <w:pPr>
              <w:spacing w:after="0" w:line="480" w:lineRule="auto"/>
              <w:jc w:val="center"/>
            </w:pPr>
            <w:r/>
            <w:r>
              <w:rPr>
                <w:rFonts w:ascii="Times New Roman" w:hAnsi="Times New Roman"/>
                <w:b w:val="0"/>
                <w:color w:val="000000"/>
                <w:sz w:val="17"/>
              </w:rPr>
              <w:t>1435.6</w:t>
            </w:r>
          </w:p>
        </w:tc>
        <w:tc>
          <w:tcPr>
            <w:tcW w:type="dxa" w:w="1872"/>
            <w:vAlign w:val="center"/>
            <w:tcMar>
              <w:top w:w="80" w:type="dxa"/>
              <w:start w:w="90" w:type="dxa"/>
              <w:bottom w:w="80" w:type="dxa"/>
              <w:end w:w="90" w:type="dxa"/>
            </w:tcMar>
            <w:shd w:fill="EAF2F8"/>
          </w:tcPr>
          <w:p>
            <w:pPr>
              <w:spacing w:after="0" w:line="480" w:lineRule="auto"/>
              <w:jc w:val="center"/>
            </w:pPr>
            <w:r/>
            <w:r>
              <w:rPr>
                <w:rFonts w:ascii="Times New Roman" w:hAnsi="Times New Roman"/>
                <w:b w:val="0"/>
                <w:color w:val="000000"/>
                <w:sz w:val="17"/>
              </w:rPr>
              <w:t>1354.2</w:t>
            </w:r>
          </w:p>
        </w:tc>
        <w:tc>
          <w:tcPr>
            <w:tcW w:type="dxa" w:w="1872"/>
            <w:vAlign w:val="center"/>
            <w:tcMar>
              <w:top w:w="80" w:type="dxa"/>
              <w:start w:w="90" w:type="dxa"/>
              <w:bottom w:w="80" w:type="dxa"/>
              <w:end w:w="90" w:type="dxa"/>
            </w:tcMar>
            <w:shd w:fill="EAF2F8"/>
          </w:tcPr>
          <w:p>
            <w:pPr>
              <w:spacing w:after="0" w:line="480" w:lineRule="auto"/>
              <w:jc w:val="center"/>
            </w:pPr>
            <w:r/>
            <w:r>
              <w:rPr>
                <w:rFonts w:ascii="Times New Roman" w:hAnsi="Times New Roman"/>
                <w:b w:val="0"/>
                <w:color w:val="000000"/>
                <w:sz w:val="17"/>
              </w:rPr>
              <w:t>1580.7</w:t>
            </w:r>
          </w:p>
        </w:tc>
        <w:tc>
          <w:tcPr>
            <w:tcW w:type="dxa" w:w="1872"/>
            <w:vAlign w:val="center"/>
            <w:tcMar>
              <w:top w:w="80" w:type="dxa"/>
              <w:start w:w="90" w:type="dxa"/>
              <w:bottom w:w="80" w:type="dxa"/>
              <w:end w:w="90" w:type="dxa"/>
            </w:tcMar>
            <w:shd w:fill="EAF2F8"/>
          </w:tcPr>
          <w:p>
            <w:pPr>
              <w:spacing w:after="0" w:line="480" w:lineRule="auto"/>
              <w:jc w:val="center"/>
            </w:pPr>
            <w:r/>
            <w:r>
              <w:rPr>
                <w:rFonts w:ascii="Times New Roman" w:hAnsi="Times New Roman"/>
                <w:b w:val="0"/>
                <w:color w:val="000000"/>
                <w:sz w:val="17"/>
              </w:rPr>
              <w:t>0.383</w:t>
            </w:r>
          </w:p>
        </w:tc>
      </w:tr>
      <w:tr>
        <w:trPr>
          <w:cantSplit/>
        </w:trPr>
        <w:tc>
          <w:tcPr>
            <w:tcW w:type="dxa" w:w="1872"/>
            <w:vAlign w:val="center"/>
            <w:tcMar>
              <w:top w:w="80" w:type="dxa"/>
              <w:start w:w="90" w:type="dxa"/>
              <w:bottom w:w="80" w:type="dxa"/>
              <w:end w:w="90" w:type="dxa"/>
            </w:tcMar>
          </w:tcPr>
          <w:p>
            <w:pPr>
              <w:spacing w:after="0" w:line="480" w:lineRule="auto"/>
              <w:jc w:val="left"/>
            </w:pPr>
            <w:r/>
            <w:r>
              <w:rPr>
                <w:rFonts w:ascii="Times New Roman" w:hAnsi="Times New Roman"/>
                <w:b w:val="0"/>
                <w:color w:val="000000"/>
                <w:sz w:val="17"/>
              </w:rPr>
              <w:t>PEM-T</w:t>
            </w:r>
          </w:p>
        </w:tc>
        <w:tc>
          <w:tcPr>
            <w:tcW w:type="dxa" w:w="1872"/>
            <w:vAlign w:val="center"/>
            <w:tcMar>
              <w:top w:w="80" w:type="dxa"/>
              <w:start w:w="90" w:type="dxa"/>
              <w:bottom w:w="80" w:type="dxa"/>
              <w:end w:w="90" w:type="dxa"/>
            </w:tcMar>
          </w:tcPr>
          <w:p>
            <w:pPr>
              <w:spacing w:after="0" w:line="480" w:lineRule="auto"/>
              <w:jc w:val="center"/>
            </w:pPr>
            <w:r/>
            <w:r>
              <w:rPr>
                <w:rFonts w:ascii="Times New Roman" w:hAnsi="Times New Roman"/>
                <w:b w:val="0"/>
                <w:color w:val="000000"/>
                <w:sz w:val="17"/>
              </w:rPr>
              <w:t>1972.8</w:t>
            </w:r>
          </w:p>
        </w:tc>
        <w:tc>
          <w:tcPr>
            <w:tcW w:type="dxa" w:w="1872"/>
            <w:vAlign w:val="center"/>
            <w:tcMar>
              <w:top w:w="80" w:type="dxa"/>
              <w:start w:w="90" w:type="dxa"/>
              <w:bottom w:w="80" w:type="dxa"/>
              <w:end w:w="90" w:type="dxa"/>
            </w:tcMar>
          </w:tcPr>
          <w:p>
            <w:pPr>
              <w:spacing w:after="0" w:line="480" w:lineRule="auto"/>
              <w:jc w:val="center"/>
            </w:pPr>
            <w:r/>
            <w:r>
              <w:rPr>
                <w:rFonts w:ascii="Times New Roman" w:hAnsi="Times New Roman"/>
                <w:b w:val="0"/>
                <w:color w:val="000000"/>
                <w:sz w:val="17"/>
              </w:rPr>
              <w:t>1759.3</w:t>
            </w:r>
          </w:p>
        </w:tc>
        <w:tc>
          <w:tcPr>
            <w:tcW w:type="dxa" w:w="1872"/>
            <w:vAlign w:val="center"/>
            <w:tcMar>
              <w:top w:w="80" w:type="dxa"/>
              <w:start w:w="90" w:type="dxa"/>
              <w:bottom w:w="80" w:type="dxa"/>
              <w:end w:w="90" w:type="dxa"/>
            </w:tcMar>
          </w:tcPr>
          <w:p>
            <w:pPr>
              <w:spacing w:after="0" w:line="480" w:lineRule="auto"/>
              <w:jc w:val="center"/>
            </w:pPr>
            <w:r/>
            <w:r>
              <w:rPr>
                <w:rFonts w:ascii="Times New Roman" w:hAnsi="Times New Roman"/>
                <w:b w:val="0"/>
                <w:color w:val="000000"/>
                <w:sz w:val="17"/>
              </w:rPr>
              <w:t>2168.9</w:t>
            </w:r>
          </w:p>
        </w:tc>
        <w:tc>
          <w:tcPr>
            <w:tcW w:type="dxa" w:w="1872"/>
            <w:vAlign w:val="center"/>
            <w:tcMar>
              <w:top w:w="80" w:type="dxa"/>
              <w:start w:w="90" w:type="dxa"/>
              <w:bottom w:w="80" w:type="dxa"/>
              <w:end w:w="90" w:type="dxa"/>
            </w:tcMar>
          </w:tcPr>
          <w:p>
            <w:pPr>
              <w:spacing w:after="0" w:line="480" w:lineRule="auto"/>
              <w:jc w:val="center"/>
            </w:pPr>
            <w:r/>
            <w:r>
              <w:rPr>
                <w:rFonts w:ascii="Times New Roman" w:hAnsi="Times New Roman"/>
                <w:b w:val="0"/>
                <w:color w:val="000000"/>
                <w:sz w:val="17"/>
              </w:rPr>
              <w:t>0.251</w:t>
            </w:r>
          </w:p>
        </w:tc>
      </w:tr>
      <w:tr>
        <w:trPr>
          <w:cantSplit/>
        </w:trPr>
        <w:tc>
          <w:tcPr>
            <w:tcW w:type="dxa" w:w="1872"/>
            <w:vAlign w:val="center"/>
            <w:tcMar>
              <w:top w:w="80" w:type="dxa"/>
              <w:start w:w="90" w:type="dxa"/>
              <w:bottom w:w="80" w:type="dxa"/>
              <w:end w:w="90" w:type="dxa"/>
            </w:tcMar>
            <w:shd w:fill="EAF2F8"/>
          </w:tcPr>
          <w:p>
            <w:pPr>
              <w:spacing w:after="0" w:line="480" w:lineRule="auto"/>
              <w:jc w:val="left"/>
            </w:pPr>
            <w:r/>
            <w:r>
              <w:rPr>
                <w:rFonts w:ascii="Times New Roman" w:hAnsi="Times New Roman"/>
                <w:b w:val="0"/>
                <w:color w:val="000000"/>
                <w:sz w:val="17"/>
              </w:rPr>
              <w:t>GP-EI</w:t>
            </w:r>
          </w:p>
        </w:tc>
        <w:tc>
          <w:tcPr>
            <w:tcW w:type="dxa" w:w="1872"/>
            <w:vAlign w:val="center"/>
            <w:tcMar>
              <w:top w:w="80" w:type="dxa"/>
              <w:start w:w="90" w:type="dxa"/>
              <w:bottom w:w="80" w:type="dxa"/>
              <w:end w:w="90" w:type="dxa"/>
            </w:tcMar>
            <w:shd w:fill="EAF2F8"/>
          </w:tcPr>
          <w:p>
            <w:pPr>
              <w:spacing w:after="0" w:line="480" w:lineRule="auto"/>
              <w:jc w:val="center"/>
            </w:pPr>
            <w:r/>
            <w:r>
              <w:rPr>
                <w:rFonts w:ascii="Times New Roman" w:hAnsi="Times New Roman"/>
                <w:b w:val="0"/>
                <w:color w:val="000000"/>
                <w:sz w:val="17"/>
              </w:rPr>
              <w:t>2308.5</w:t>
            </w:r>
          </w:p>
        </w:tc>
        <w:tc>
          <w:tcPr>
            <w:tcW w:type="dxa" w:w="1872"/>
            <w:vAlign w:val="center"/>
            <w:tcMar>
              <w:top w:w="80" w:type="dxa"/>
              <w:start w:w="90" w:type="dxa"/>
              <w:bottom w:w="80" w:type="dxa"/>
              <w:end w:w="90" w:type="dxa"/>
            </w:tcMar>
            <w:shd w:fill="EAF2F8"/>
          </w:tcPr>
          <w:p>
            <w:pPr>
              <w:spacing w:after="0" w:line="480" w:lineRule="auto"/>
              <w:jc w:val="center"/>
            </w:pPr>
            <w:r/>
            <w:r>
              <w:rPr>
                <w:rFonts w:ascii="Times New Roman" w:hAnsi="Times New Roman"/>
                <w:b w:val="0"/>
                <w:color w:val="000000"/>
                <w:sz w:val="17"/>
              </w:rPr>
              <w:t>1989.4</w:t>
            </w:r>
          </w:p>
        </w:tc>
        <w:tc>
          <w:tcPr>
            <w:tcW w:type="dxa" w:w="1872"/>
            <w:vAlign w:val="center"/>
            <w:tcMar>
              <w:top w:w="80" w:type="dxa"/>
              <w:start w:w="90" w:type="dxa"/>
              <w:bottom w:w="80" w:type="dxa"/>
              <w:end w:w="90" w:type="dxa"/>
            </w:tcMar>
            <w:shd w:fill="EAF2F8"/>
          </w:tcPr>
          <w:p>
            <w:pPr>
              <w:spacing w:after="0" w:line="480" w:lineRule="auto"/>
              <w:jc w:val="center"/>
            </w:pPr>
            <w:r/>
            <w:r>
              <w:rPr>
                <w:rFonts w:ascii="Times New Roman" w:hAnsi="Times New Roman"/>
                <w:b w:val="0"/>
                <w:color w:val="000000"/>
                <w:sz w:val="17"/>
              </w:rPr>
              <w:t>2464.5</w:t>
            </w:r>
          </w:p>
        </w:tc>
        <w:tc>
          <w:tcPr>
            <w:tcW w:type="dxa" w:w="1872"/>
            <w:vAlign w:val="center"/>
            <w:tcMar>
              <w:top w:w="80" w:type="dxa"/>
              <w:start w:w="90" w:type="dxa"/>
              <w:bottom w:w="80" w:type="dxa"/>
              <w:end w:w="90" w:type="dxa"/>
            </w:tcMar>
            <w:shd w:fill="EAF2F8"/>
          </w:tcPr>
          <w:p>
            <w:pPr>
              <w:spacing w:after="0" w:line="480" w:lineRule="auto"/>
              <w:jc w:val="center"/>
            </w:pPr>
            <w:r/>
            <w:r>
              <w:rPr>
                <w:rFonts w:ascii="Times New Roman" w:hAnsi="Times New Roman"/>
                <w:b w:val="0"/>
                <w:color w:val="000000"/>
                <w:sz w:val="17"/>
              </w:rPr>
              <w:t>0.000</w:t>
            </w:r>
          </w:p>
        </w:tc>
      </w:tr>
      <w:tr>
        <w:trPr>
          <w:cantSplit/>
        </w:trPr>
        <w:tc>
          <w:tcPr>
            <w:tcW w:type="dxa" w:w="1872"/>
            <w:vAlign w:val="center"/>
            <w:tcMar>
              <w:top w:w="80" w:type="dxa"/>
              <w:start w:w="90" w:type="dxa"/>
              <w:bottom w:w="80" w:type="dxa"/>
              <w:end w:w="90" w:type="dxa"/>
            </w:tcMar>
          </w:tcPr>
          <w:p>
            <w:pPr>
              <w:spacing w:after="0" w:line="480" w:lineRule="auto"/>
              <w:jc w:val="left"/>
            </w:pPr>
            <w:r/>
            <w:r>
              <w:rPr>
                <w:rFonts w:ascii="Times New Roman" w:hAnsi="Times New Roman"/>
                <w:b w:val="0"/>
                <w:color w:val="000000"/>
                <w:sz w:val="17"/>
              </w:rPr>
              <w:t>GP-PI</w:t>
            </w:r>
          </w:p>
        </w:tc>
        <w:tc>
          <w:tcPr>
            <w:tcW w:type="dxa" w:w="1872"/>
            <w:vAlign w:val="center"/>
            <w:tcMar>
              <w:top w:w="80" w:type="dxa"/>
              <w:start w:w="90" w:type="dxa"/>
              <w:bottom w:w="80" w:type="dxa"/>
              <w:end w:w="90" w:type="dxa"/>
            </w:tcMar>
          </w:tcPr>
          <w:p>
            <w:pPr>
              <w:spacing w:after="0" w:line="480" w:lineRule="auto"/>
              <w:jc w:val="center"/>
            </w:pPr>
            <w:r/>
            <w:r>
              <w:rPr>
                <w:rFonts w:ascii="Times New Roman" w:hAnsi="Times New Roman"/>
                <w:b w:val="0"/>
                <w:color w:val="000000"/>
                <w:sz w:val="17"/>
              </w:rPr>
              <w:t>1233.1</w:t>
            </w:r>
          </w:p>
        </w:tc>
        <w:tc>
          <w:tcPr>
            <w:tcW w:type="dxa" w:w="1872"/>
            <w:vAlign w:val="center"/>
            <w:tcMar>
              <w:top w:w="80" w:type="dxa"/>
              <w:start w:w="90" w:type="dxa"/>
              <w:bottom w:w="80" w:type="dxa"/>
              <w:end w:w="90" w:type="dxa"/>
            </w:tcMar>
          </w:tcPr>
          <w:p>
            <w:pPr>
              <w:spacing w:after="0" w:line="480" w:lineRule="auto"/>
              <w:jc w:val="center"/>
            </w:pPr>
            <w:r/>
            <w:r>
              <w:rPr>
                <w:rFonts w:ascii="Times New Roman" w:hAnsi="Times New Roman"/>
                <w:b w:val="0"/>
                <w:color w:val="000000"/>
                <w:sz w:val="17"/>
              </w:rPr>
              <w:t>921.2</w:t>
            </w:r>
          </w:p>
        </w:tc>
        <w:tc>
          <w:tcPr>
            <w:tcW w:type="dxa" w:w="1872"/>
            <w:vAlign w:val="center"/>
            <w:tcMar>
              <w:top w:w="80" w:type="dxa"/>
              <w:start w:w="90" w:type="dxa"/>
              <w:bottom w:w="80" w:type="dxa"/>
              <w:end w:w="90" w:type="dxa"/>
            </w:tcMar>
          </w:tcPr>
          <w:p>
            <w:pPr>
              <w:spacing w:after="0" w:line="480" w:lineRule="auto"/>
              <w:jc w:val="center"/>
            </w:pPr>
            <w:r/>
            <w:r>
              <w:rPr>
                <w:rFonts w:ascii="Times New Roman" w:hAnsi="Times New Roman"/>
                <w:b w:val="0"/>
                <w:color w:val="000000"/>
                <w:sz w:val="17"/>
              </w:rPr>
              <w:t>1399.7</w:t>
            </w:r>
          </w:p>
        </w:tc>
        <w:tc>
          <w:tcPr>
            <w:tcW w:type="dxa" w:w="1872"/>
            <w:vAlign w:val="center"/>
            <w:tcMar>
              <w:top w:w="80" w:type="dxa"/>
              <w:start w:w="90" w:type="dxa"/>
              <w:bottom w:w="80" w:type="dxa"/>
              <w:end w:w="90" w:type="dxa"/>
            </w:tcMar>
          </w:tcPr>
          <w:p>
            <w:pPr>
              <w:spacing w:after="0" w:line="480" w:lineRule="auto"/>
              <w:jc w:val="center"/>
            </w:pPr>
            <w:r/>
            <w:r>
              <w:rPr>
                <w:rFonts w:ascii="Times New Roman" w:hAnsi="Times New Roman"/>
                <w:b w:val="0"/>
                <w:color w:val="000000"/>
                <w:sz w:val="17"/>
              </w:rPr>
              <w:t>0.517</w:t>
            </w:r>
          </w:p>
        </w:tc>
      </w:tr>
      <w:tr>
        <w:trPr>
          <w:cantSplit/>
        </w:trPr>
        <w:tc>
          <w:tcPr>
            <w:tcW w:type="dxa" w:w="1872"/>
            <w:vAlign w:val="center"/>
            <w:tcMar>
              <w:top w:w="80" w:type="dxa"/>
              <w:start w:w="90" w:type="dxa"/>
              <w:bottom w:w="80" w:type="dxa"/>
              <w:end w:w="90" w:type="dxa"/>
            </w:tcMar>
            <w:shd w:fill="EAF2F8"/>
          </w:tcPr>
          <w:p>
            <w:pPr>
              <w:spacing w:after="0" w:line="480" w:lineRule="auto"/>
              <w:jc w:val="left"/>
            </w:pPr>
            <w:r/>
            <w:r>
              <w:rPr>
                <w:rFonts w:ascii="Times New Roman" w:hAnsi="Times New Roman"/>
                <w:b w:val="0"/>
                <w:color w:val="000000"/>
                <w:sz w:val="17"/>
              </w:rPr>
              <w:t>GP-UCB</w:t>
            </w:r>
          </w:p>
        </w:tc>
        <w:tc>
          <w:tcPr>
            <w:tcW w:type="dxa" w:w="1872"/>
            <w:vAlign w:val="center"/>
            <w:tcMar>
              <w:top w:w="80" w:type="dxa"/>
              <w:start w:w="90" w:type="dxa"/>
              <w:bottom w:w="80" w:type="dxa"/>
              <w:end w:w="90" w:type="dxa"/>
            </w:tcMar>
            <w:shd w:fill="EAF2F8"/>
          </w:tcPr>
          <w:p>
            <w:pPr>
              <w:spacing w:after="0" w:line="480" w:lineRule="auto"/>
              <w:jc w:val="center"/>
            </w:pPr>
            <w:r/>
            <w:r>
              <w:rPr>
                <w:rFonts w:ascii="Times New Roman" w:hAnsi="Times New Roman"/>
                <w:b w:val="0"/>
                <w:color w:val="000000"/>
                <w:sz w:val="17"/>
              </w:rPr>
              <w:t>2308.7</w:t>
            </w:r>
          </w:p>
        </w:tc>
        <w:tc>
          <w:tcPr>
            <w:tcW w:type="dxa" w:w="1872"/>
            <w:vAlign w:val="center"/>
            <w:tcMar>
              <w:top w:w="80" w:type="dxa"/>
              <w:start w:w="90" w:type="dxa"/>
              <w:bottom w:w="80" w:type="dxa"/>
              <w:end w:w="90" w:type="dxa"/>
            </w:tcMar>
            <w:shd w:fill="EAF2F8"/>
          </w:tcPr>
          <w:p>
            <w:pPr>
              <w:spacing w:after="0" w:line="480" w:lineRule="auto"/>
              <w:jc w:val="center"/>
            </w:pPr>
            <w:r/>
            <w:r>
              <w:rPr>
                <w:rFonts w:ascii="Times New Roman" w:hAnsi="Times New Roman"/>
                <w:b w:val="0"/>
                <w:color w:val="000000"/>
                <w:sz w:val="17"/>
              </w:rPr>
              <w:t>2223.8</w:t>
            </w:r>
          </w:p>
        </w:tc>
        <w:tc>
          <w:tcPr>
            <w:tcW w:type="dxa" w:w="1872"/>
            <w:vAlign w:val="center"/>
            <w:tcMar>
              <w:top w:w="80" w:type="dxa"/>
              <w:start w:w="90" w:type="dxa"/>
              <w:bottom w:w="80" w:type="dxa"/>
              <w:end w:w="90" w:type="dxa"/>
            </w:tcMar>
            <w:shd w:fill="EAF2F8"/>
          </w:tcPr>
          <w:p>
            <w:pPr>
              <w:spacing w:after="0" w:line="480" w:lineRule="auto"/>
              <w:jc w:val="center"/>
            </w:pPr>
            <w:r/>
            <w:r>
              <w:rPr>
                <w:rFonts w:ascii="Times New Roman" w:hAnsi="Times New Roman"/>
                <w:b w:val="0"/>
                <w:color w:val="000000"/>
                <w:sz w:val="17"/>
              </w:rPr>
              <w:t>2827.3</w:t>
            </w:r>
          </w:p>
        </w:tc>
        <w:tc>
          <w:tcPr>
            <w:tcW w:type="dxa" w:w="1872"/>
            <w:vAlign w:val="center"/>
            <w:tcMar>
              <w:top w:w="80" w:type="dxa"/>
              <w:start w:w="90" w:type="dxa"/>
              <w:bottom w:w="80" w:type="dxa"/>
              <w:end w:w="90" w:type="dxa"/>
            </w:tcMar>
            <w:shd w:fill="EAF2F8"/>
          </w:tcPr>
          <w:p>
            <w:pPr>
              <w:spacing w:after="0" w:line="480" w:lineRule="auto"/>
              <w:jc w:val="center"/>
            </w:pPr>
            <w:r/>
            <w:r>
              <w:rPr>
                <w:rFonts w:ascii="Times New Roman" w:hAnsi="Times New Roman"/>
                <w:b w:val="0"/>
                <w:color w:val="000000"/>
                <w:sz w:val="17"/>
              </w:rPr>
              <w:t>0.000</w:t>
            </w:r>
          </w:p>
        </w:tc>
      </w:tr>
      <w:tr>
        <w:trPr>
          <w:cantSplit/>
        </w:trPr>
        <w:tc>
          <w:tcPr>
            <w:tcW w:type="dxa" w:w="1872"/>
            <w:vAlign w:val="center"/>
            <w:tcMar>
              <w:top w:w="80" w:type="dxa"/>
              <w:start w:w="90" w:type="dxa"/>
              <w:bottom w:w="80" w:type="dxa"/>
              <w:end w:w="90" w:type="dxa"/>
            </w:tcMar>
          </w:tcPr>
          <w:p>
            <w:pPr>
              <w:spacing w:after="0" w:line="480" w:lineRule="auto"/>
              <w:jc w:val="left"/>
            </w:pPr>
            <w:r/>
            <w:r>
              <w:rPr>
                <w:rFonts w:ascii="Times New Roman" w:hAnsi="Times New Roman"/>
                <w:b w:val="0"/>
                <w:color w:val="000000"/>
                <w:sz w:val="17"/>
              </w:rPr>
              <w:t>DRSO</w:t>
            </w:r>
          </w:p>
        </w:tc>
        <w:tc>
          <w:tcPr>
            <w:tcW w:type="dxa" w:w="1872"/>
            <w:vAlign w:val="center"/>
            <w:tcMar>
              <w:top w:w="80" w:type="dxa"/>
              <w:start w:w="90" w:type="dxa"/>
              <w:bottom w:w="80" w:type="dxa"/>
              <w:end w:w="90" w:type="dxa"/>
            </w:tcMar>
          </w:tcPr>
          <w:p>
            <w:pPr>
              <w:spacing w:after="0" w:line="480" w:lineRule="auto"/>
              <w:jc w:val="center"/>
            </w:pPr>
            <w:r/>
            <w:r>
              <w:rPr>
                <w:rFonts w:ascii="Times New Roman" w:hAnsi="Times New Roman"/>
                <w:b w:val="0"/>
                <w:color w:val="000000"/>
                <w:sz w:val="17"/>
              </w:rPr>
              <w:t>647.4</w:t>
            </w:r>
          </w:p>
        </w:tc>
        <w:tc>
          <w:tcPr>
            <w:tcW w:type="dxa" w:w="1872"/>
            <w:vAlign w:val="center"/>
            <w:tcMar>
              <w:top w:w="80" w:type="dxa"/>
              <w:start w:w="90" w:type="dxa"/>
              <w:bottom w:w="80" w:type="dxa"/>
              <w:end w:w="90" w:type="dxa"/>
            </w:tcMar>
          </w:tcPr>
          <w:p>
            <w:pPr>
              <w:spacing w:after="0" w:line="480" w:lineRule="auto"/>
              <w:jc w:val="center"/>
            </w:pPr>
            <w:r/>
            <w:r>
              <w:rPr>
                <w:rFonts w:ascii="Times New Roman" w:hAnsi="Times New Roman"/>
                <w:b w:val="0"/>
                <w:color w:val="000000"/>
                <w:sz w:val="17"/>
              </w:rPr>
              <w:t>580.4</w:t>
            </w:r>
          </w:p>
        </w:tc>
        <w:tc>
          <w:tcPr>
            <w:tcW w:type="dxa" w:w="1872"/>
            <w:vAlign w:val="center"/>
            <w:tcMar>
              <w:top w:w="80" w:type="dxa"/>
              <w:start w:w="90" w:type="dxa"/>
              <w:bottom w:w="80" w:type="dxa"/>
              <w:end w:w="90" w:type="dxa"/>
            </w:tcMar>
          </w:tcPr>
          <w:p>
            <w:pPr>
              <w:spacing w:after="0" w:line="480" w:lineRule="auto"/>
              <w:jc w:val="center"/>
            </w:pPr>
            <w:r/>
            <w:r>
              <w:rPr>
                <w:rFonts w:ascii="Times New Roman" w:hAnsi="Times New Roman"/>
                <w:b w:val="0"/>
                <w:color w:val="000000"/>
                <w:sz w:val="17"/>
              </w:rPr>
              <w:t>780.0</w:t>
            </w:r>
          </w:p>
        </w:tc>
        <w:tc>
          <w:tcPr>
            <w:tcW w:type="dxa" w:w="1872"/>
            <w:vAlign w:val="center"/>
            <w:tcMar>
              <w:top w:w="80" w:type="dxa"/>
              <w:start w:w="90" w:type="dxa"/>
              <w:bottom w:w="80" w:type="dxa"/>
              <w:end w:w="90" w:type="dxa"/>
            </w:tcMar>
          </w:tcPr>
          <w:p>
            <w:pPr>
              <w:spacing w:after="0" w:line="480" w:lineRule="auto"/>
              <w:jc w:val="center"/>
            </w:pPr>
            <w:r/>
            <w:r>
              <w:rPr>
                <w:rFonts w:ascii="Times New Roman" w:hAnsi="Times New Roman"/>
                <w:b w:val="0"/>
                <w:color w:val="000000"/>
                <w:sz w:val="17"/>
              </w:rPr>
              <w:t>0.747</w:t>
            </w:r>
          </w:p>
        </w:tc>
      </w:tr>
      <w:tr>
        <w:trPr>
          <w:cantSplit/>
        </w:trPr>
        <w:tc>
          <w:tcPr>
            <w:tcW w:type="dxa" w:w="1872"/>
            <w:vAlign w:val="center"/>
            <w:tcMar>
              <w:top w:w="80" w:type="dxa"/>
              <w:start w:w="90" w:type="dxa"/>
              <w:bottom w:w="80" w:type="dxa"/>
              <w:end w:w="90" w:type="dxa"/>
            </w:tcMar>
            <w:shd w:fill="EAF2F8"/>
          </w:tcPr>
          <w:p>
            <w:pPr>
              <w:spacing w:after="0" w:line="480" w:lineRule="auto"/>
              <w:jc w:val="left"/>
            </w:pPr>
            <w:r/>
            <w:r>
              <w:rPr>
                <w:rFonts w:ascii="Times New Roman" w:hAnsi="Times New Roman"/>
                <w:b w:val="0"/>
                <w:color w:val="000000"/>
                <w:sz w:val="17"/>
              </w:rPr>
              <w:t>TuRBO-1</w:t>
            </w:r>
          </w:p>
        </w:tc>
        <w:tc>
          <w:tcPr>
            <w:tcW w:type="dxa" w:w="1872"/>
            <w:vAlign w:val="center"/>
            <w:tcMar>
              <w:top w:w="80" w:type="dxa"/>
              <w:start w:w="90" w:type="dxa"/>
              <w:bottom w:w="80" w:type="dxa"/>
              <w:end w:w="90" w:type="dxa"/>
            </w:tcMar>
            <w:shd w:fill="EAF2F8"/>
          </w:tcPr>
          <w:p>
            <w:pPr>
              <w:spacing w:after="0" w:line="480" w:lineRule="auto"/>
              <w:jc w:val="center"/>
            </w:pPr>
            <w:r/>
            <w:r>
              <w:rPr>
                <w:rFonts w:ascii="Times New Roman" w:hAnsi="Times New Roman"/>
                <w:b w:val="0"/>
                <w:color w:val="000000"/>
                <w:sz w:val="17"/>
              </w:rPr>
              <w:t>574.0</w:t>
            </w:r>
          </w:p>
        </w:tc>
        <w:tc>
          <w:tcPr>
            <w:tcW w:type="dxa" w:w="1872"/>
            <w:vAlign w:val="center"/>
            <w:tcMar>
              <w:top w:w="80" w:type="dxa"/>
              <w:start w:w="90" w:type="dxa"/>
              <w:bottom w:w="80" w:type="dxa"/>
              <w:end w:w="90" w:type="dxa"/>
            </w:tcMar>
            <w:shd w:fill="EAF2F8"/>
          </w:tcPr>
          <w:p>
            <w:pPr>
              <w:spacing w:after="0" w:line="480" w:lineRule="auto"/>
              <w:jc w:val="center"/>
            </w:pPr>
            <w:r/>
            <w:r>
              <w:rPr>
                <w:rFonts w:ascii="Times New Roman" w:hAnsi="Times New Roman"/>
                <w:b w:val="0"/>
                <w:color w:val="000000"/>
                <w:sz w:val="17"/>
              </w:rPr>
              <w:t>534.7</w:t>
            </w:r>
          </w:p>
        </w:tc>
        <w:tc>
          <w:tcPr>
            <w:tcW w:type="dxa" w:w="1872"/>
            <w:vAlign w:val="center"/>
            <w:tcMar>
              <w:top w:w="80" w:type="dxa"/>
              <w:start w:w="90" w:type="dxa"/>
              <w:bottom w:w="80" w:type="dxa"/>
              <w:end w:w="90" w:type="dxa"/>
            </w:tcMar>
            <w:shd w:fill="EAF2F8"/>
          </w:tcPr>
          <w:p>
            <w:pPr>
              <w:spacing w:after="0" w:line="480" w:lineRule="auto"/>
              <w:jc w:val="center"/>
            </w:pPr>
            <w:r/>
            <w:r>
              <w:rPr>
                <w:rFonts w:ascii="Times New Roman" w:hAnsi="Times New Roman"/>
                <w:b w:val="0"/>
                <w:color w:val="000000"/>
                <w:sz w:val="17"/>
              </w:rPr>
              <w:t>665.3</w:t>
            </w:r>
          </w:p>
        </w:tc>
        <w:tc>
          <w:tcPr>
            <w:tcW w:type="dxa" w:w="1872"/>
            <w:vAlign w:val="center"/>
            <w:tcMar>
              <w:top w:w="80" w:type="dxa"/>
              <w:start w:w="90" w:type="dxa"/>
              <w:bottom w:w="80" w:type="dxa"/>
              <w:end w:w="90" w:type="dxa"/>
            </w:tcMar>
            <w:shd w:fill="EAF2F8"/>
          </w:tcPr>
          <w:p>
            <w:pPr>
              <w:spacing w:after="0" w:line="480" w:lineRule="auto"/>
              <w:jc w:val="center"/>
            </w:pPr>
            <w:r/>
            <w:r>
              <w:rPr>
                <w:rFonts w:ascii="Times New Roman" w:hAnsi="Times New Roman"/>
                <w:b w:val="0"/>
                <w:color w:val="000000"/>
                <w:sz w:val="17"/>
              </w:rPr>
              <w:t>0.751</w:t>
            </w:r>
          </w:p>
        </w:tc>
      </w:tr>
    </w:tbl>
    <w:p>
      <w:pPr>
        <w:spacing w:line="480" w:lineRule="auto"/>
      </w:pPr>
    </w:p>
    <w:p>
      <w:pPr>
        <w:keepNext w:val="0"/>
        <w:spacing w:line="480" w:lineRule="auto"/>
        <w:ind w:firstLine="317"/>
        <w:jc w:val="both"/>
      </w:pPr>
      <w:r>
        <w:rPr>
          <w:rFonts w:ascii="Times New Roman" w:hAnsi="Times New Roman"/>
          <w:b w:val="0"/>
          <w:i w:val="0"/>
          <w:color w:val="000000"/>
          <w:sz w:val="22"/>
        </w:rPr>
        <w:t>PEM-T minus fixed 0.1 has median paired compliance difference +488.7, with interquartile range +134.7 to +814.7; PEM-T is better in two repeats and worse in eight. These and the differences below are medians of the ten repeat-matched endpoint differences, not differences between the medians in Table 5; the repeat-level endpoints and all seven contrasts are released with the other measured records (see Data availability). The corresponding comparison with greedy has median difference +575.2 and the same direction count. Under matched initialization, GP-EI minus PEM-T has median difference +242.8; GP-EI is better once, tied three times, and worse six times (paired Wilcoxon Holm-adjusted p=0.0469). Within the three added-control family, GP-PI minus PEM-T has median difference -876.1 and nine wins (Holm-adjusted p=0.0117), GP-UCB has median difference +574.6 with two wins, two ties, and six losses (p=0.0391), and DRSO has median difference -1334.6 with nine wins and one loss (p=0.0117). TuRBO-1 minus PEM-T has median difference -1372.3 and is better in all ten repeats (Holm-adjusted p=0.00391 in the original sensitivity family). Changing from native to shared initialization produces no supported endpoint shift for GP-EI (Holm-adjusted p=0.320) or TuRBO-1 (p=0.695). The application therefore distinguishes a weak acquisition setting from successful Bayesian, evolutionary-surrogate, and trust-region controls under the same starting evidence.</w:t>
      </w:r>
    </w:p>
    <w:p>
      <w:pPr>
        <w:keepNext w:val="0"/>
        <w:spacing w:line="480" w:lineRule="auto"/>
        <w:ind w:firstLine="317"/>
        <w:jc w:val="both"/>
      </w:pPr>
      <w:r>
        <w:rPr>
          <w:rFonts w:ascii="Times New Roman" w:hAnsi="Times New Roman"/>
          <w:b w:val="0"/>
          <w:i w:val="0"/>
          <w:color w:val="000000"/>
          <w:sz w:val="22"/>
        </w:rPr>
        <w:t>The shared-initialization finite-element trajectories and their between-repeat dispersion are shown in Figure 4.</w:t>
      </w:r>
    </w:p>
    <w:p>
      <w:pPr>
        <w:keepNext/>
        <w:spacing w:line="480" w:lineRule="auto"/>
        <w:jc w:val="center"/>
      </w:pPr>
      <w:r>
        <w:drawing>
          <wp:inline xmlns:a="http://schemas.openxmlformats.org/drawingml/2006/main" xmlns:pic="http://schemas.openxmlformats.org/drawingml/2006/picture">
            <wp:extent cx="5760720" cy="3610051"/>
            <wp:docPr id="4" name="Picture 4" descr="Median and interquartile best-so-far finite-element compliance under a shared 58-point initialization; the dashed line marks the end of initialization."/>
            <wp:cNvGraphicFramePr>
              <a:graphicFrameLocks noChangeAspect="1"/>
            </wp:cNvGraphicFramePr>
            <a:graphic>
              <a:graphicData uri="http://schemas.openxmlformats.org/drawingml/2006/picture">
                <pic:pic>
                  <pic:nvPicPr>
                    <pic:cNvPr id="0" name="complete_shared_initialization_convergence.png"/>
                    <pic:cNvPicPr/>
                  </pic:nvPicPr>
                  <pic:blipFill>
                    <a:blip r:embed="rId13"/>
                    <a:stretch>
                      <a:fillRect/>
                    </a:stretch>
                  </pic:blipFill>
                  <pic:spPr>
                    <a:xfrm>
                      <a:off x="0" y="0"/>
                      <a:ext cx="5760720" cy="3610051"/>
                    </a:xfrm>
                    <a:prstGeom prst="rect"/>
                  </pic:spPr>
                </pic:pic>
              </a:graphicData>
            </a:graphic>
          </wp:inline>
        </w:drawing>
      </w:r>
    </w:p>
    <w:p>
      <w:pPr>
        <w:keepNext w:val="0"/>
        <w:spacing w:line="480" w:lineRule="auto"/>
        <w:jc w:val="center"/>
      </w:pPr>
      <w:r>
        <w:rPr>
          <w:rFonts w:ascii="Times New Roman" w:hAnsi="Times New Roman"/>
          <w:color w:val="000000"/>
          <w:sz w:val="20"/>
        </w:rPr>
        <w:t>Figure 4: Median and interquartile best-so-far finite-element compliance under a shared 58-point initialization; the dashed line marks the end of initialization.</w:t>
      </w:r>
    </w:p>
    <w:p>
      <w:pPr>
        <w:keepNext w:val="0"/>
        <w:spacing w:line="480" w:lineRule="auto"/>
        <w:ind w:firstLine="317"/>
        <w:jc w:val="both"/>
      </w:pPr>
      <w:r>
        <w:rPr>
          <w:rFonts w:ascii="Times New Roman" w:hAnsi="Times New Roman"/>
          <w:b w:val="0"/>
          <w:i w:val="0"/>
          <w:color w:val="000000"/>
          <w:sz w:val="22"/>
        </w:rPr>
        <w:t>Figure 4 separates the common initialization from method-specific search. Best compliance so far is plotted on a logarithmic vertical axis spanning 10^3 to 10^5, the horizontal axis counts finite-element evaluations up to 200, and the dashed vertical line marks the end of the 58-point initialization. One curve and one shaded interquartile band are drawn for each of the eight methods; the control is labelled Fixed-0.1 in the legend. All curves share the same values up to the dashed boundary. TuRBO-1 and DRSO then improve rapidly and reach the lowest endpoint group. GP-PI also produces sustained improvement and finishes below the three internal methods, whereas GP-EI and GP-UCB show little median improvement after initialization. Greedy and fixed 0.1 improve more gradually and remain below PEM-T near the endpoint. The shaded interquartile bands preserve between-repeat variability and show that the endpoint ordering is not produced by a single trajectory.</w:t>
      </w:r>
    </w:p>
    <w:p>
      <w:pPr>
        <w:keepNext w:val="0"/>
        <w:spacing w:line="480" w:lineRule="auto"/>
        <w:ind w:firstLine="317"/>
        <w:jc w:val="both"/>
      </w:pPr>
      <w:r>
        <w:rPr>
          <w:rFonts w:ascii="Times New Roman" w:hAnsi="Times New Roman"/>
          <w:b w:val="0"/>
          <w:i w:val="0"/>
          <w:color w:val="000000"/>
          <w:sz w:val="22"/>
        </w:rPr>
        <w:t>Representative endpoint density fields for all eight shared-initialization methods are shown on the common material-density scale in Figure 5.</w:t>
      </w:r>
    </w:p>
    <w:p>
      <w:pPr>
        <w:keepNext/>
        <w:spacing w:line="480" w:lineRule="auto"/>
        <w:jc w:val="center"/>
      </w:pPr>
      <w:r>
        <w:drawing>
          <wp:inline xmlns:a="http://schemas.openxmlformats.org/drawingml/2006/main" xmlns:pic="http://schemas.openxmlformats.org/drawingml/2006/picture">
            <wp:extent cx="5760720" cy="2743200"/>
            <wp:docPr id="5" name="Picture 5" descr="Representative median-run density fields for all eight methods under the shared-initialization comparison."/>
            <wp:cNvGraphicFramePr>
              <a:graphicFrameLocks noChangeAspect="1"/>
            </wp:cNvGraphicFramePr>
            <a:graphic>
              <a:graphicData uri="http://schemas.openxmlformats.org/drawingml/2006/picture">
                <pic:pic>
                  <pic:nvPicPr>
                    <pic:cNvPr id="0" name="complete_representative_designs.png"/>
                    <pic:cNvPicPr/>
                  </pic:nvPicPr>
                  <pic:blipFill>
                    <a:blip r:embed="rId14"/>
                    <a:stretch>
                      <a:fillRect/>
                    </a:stretch>
                  </pic:blipFill>
                  <pic:spPr>
                    <a:xfrm>
                      <a:off x="0" y="0"/>
                      <a:ext cx="5760720" cy="2743200"/>
                    </a:xfrm>
                    <a:prstGeom prst="rect"/>
                  </pic:spPr>
                </pic:pic>
              </a:graphicData>
            </a:graphic>
          </wp:inline>
        </w:drawing>
      </w:r>
    </w:p>
    <w:p>
      <w:pPr>
        <w:keepNext w:val="0"/>
        <w:spacing w:line="480" w:lineRule="auto"/>
        <w:jc w:val="center"/>
      </w:pPr>
      <w:r>
        <w:rPr>
          <w:rFonts w:ascii="Times New Roman" w:hAnsi="Times New Roman"/>
          <w:color w:val="000000"/>
          <w:sz w:val="20"/>
        </w:rPr>
        <w:t>Figure 5: Representative median-run density fields for all eight methods under the shared-initialization comparison.</w:t>
      </w:r>
    </w:p>
    <w:p>
      <w:pPr>
        <w:keepNext w:val="0"/>
        <w:spacing w:line="480" w:lineRule="auto"/>
        <w:ind w:firstLine="317"/>
        <w:jc w:val="both"/>
      </w:pPr>
      <w:r>
        <w:rPr>
          <w:rFonts w:ascii="Times New Roman" w:hAnsi="Times New Roman"/>
          <w:b w:val="0"/>
          <w:i w:val="0"/>
          <w:color w:val="000000"/>
          <w:sz w:val="22"/>
        </w:rPr>
        <w:t>Figure 5 shows the median-endpoint design from every method on the common density scale. Each panel is one method, labelled with the representative repeat and that repeat's endpoint compliance, and the grey scale on the right maps element density from 0 in white to 1 in black. Because every field satisfies the same mean-density constraint, the contrast concerns material placement rather than material quantity. TuRBO-1 and DRSO form concentrated high-density load paths and reach the lowest compliance group. GP-PI produces a stronger structural path than GP-EI or GP-UCB, whose diffuse fields remain close to their initial designs. The visual differences are consistent with the convergence pathways and endpoint ordering in Table 5.</w:t>
      </w:r>
    </w:p>
    <w:p>
      <w:pPr>
        <w:pStyle w:val="Heading2"/>
        <w:keepNext/>
        <w:spacing w:line="480" w:lineRule="auto"/>
        <w:jc w:val="left"/>
      </w:pPr>
      <w:r>
        <w:rPr>
          <w:rFonts w:ascii="Times New Roman" w:hAnsi="Times New Roman"/>
          <w:b/>
          <w:i/>
          <w:color w:val="000000"/>
          <w:sz w:val="22"/>
        </w:rPr>
        <w:t>6.3 Frozen-state intervention on GP acquisition policies</w:t>
      </w:r>
    </w:p>
    <w:p>
      <w:pPr>
        <w:keepNext w:val="0"/>
        <w:spacing w:line="480" w:lineRule="auto"/>
        <w:ind w:firstLine="317"/>
        <w:jc w:val="both"/>
      </w:pPr>
      <w:r>
        <w:rPr>
          <w:rFonts w:ascii="Times New Roman" w:hAnsi="Times New Roman"/>
          <w:b w:val="0"/>
          <w:i w:val="0"/>
          <w:color w:val="000000"/>
          <w:sz w:val="22"/>
        </w:rPr>
        <w:t>To test the audit beyond the residual controller, thirty archived Gaussian-process expected-improvement (GP-EI), GP probability-of-improvement (GP-PI), and GP upper-confidence-bound (GP-UCB) histories supply ten repeats per source policy. The states immediately before evaluations 59, 101, 151 and 200 are frozen, giving 120 interventions. Every fit uses only earlier labels. Logged automatic-relevance-determination (ARD) Matérn-5/2 parameters are replayed without refitting; all source-action means and standard deviations agree within the prespecified absolute and relative tolerance of 1e-8. Mean prediction, expected improvement (EI), probability of improvement (PI), and lower confidence bound (LCB) act on a shared 4,096-point Sobol pool augmented by the frozen source action. Here EI has zero improvement margin, PI uses 0.01 times training standard deviation, and LCB uses kappa=2. No intervention response is fed back into a source optimizer.</w:t>
      </w:r>
    </w:p>
    <w:p>
      <w:pPr>
        <w:keepNext w:val="0"/>
        <w:spacing w:line="480" w:lineRule="auto"/>
        <w:ind w:firstLine="317"/>
        <w:jc w:val="both"/>
      </w:pPr>
      <w:r>
        <w:rPr>
          <w:rFonts w:ascii="Times New Roman" w:hAnsi="Times New Roman"/>
          <w:b w:val="0"/>
          <w:i w:val="0"/>
          <w:color w:val="000000"/>
          <w:sz w:val="22"/>
        </w:rPr>
        <w:t>The 480 policy-state choices contain 261 distinct within-state actions. After choices have been frozen, 120 original action responses are legitimately reused; three further responses come from identical context-point pairs already evaluated in the diagnostic ledger. The audit therefore acquires 138 additional finite-element (FE) labels. A separate solver-compatibility check incurs 102 attempts, including an initial 42-call check whose numerical tolerance was found too strict. The final 60 retained comparisons pass the disclosed 1e-6 solver-relative tolerance, with maximum relative difference 4.929e-8. The 1e-8 GP replay tolerance is unchanged. Input hashes and choices were committed before additional diagnostic acquisition; see S9 for the archive transfer and verification boundary.</w:t>
      </w:r>
    </w:p>
    <w:p>
      <w:pPr>
        <w:keepNext/>
        <w:spacing w:line="480" w:lineRule="auto"/>
        <w:jc w:val="center"/>
      </w:pPr>
      <w:r>
        <w:rPr>
          <w:rFonts w:ascii="Times New Roman" w:hAnsi="Times New Roman"/>
          <w:color w:val="000000"/>
          <w:sz w:val="20"/>
        </w:rPr>
        <w:t>Table 6: Acquisition-only intervention at frozen GP states. Results are means over ten repeat-level summaries, each averaging four checkpoints. U=max(0,training incumbent minus diagnostic compliance)/training standard deviation. Utility and paired differences are displayed in units of 1e-6; action-change percentages are relative to mean selection.</w:t>
      </w:r>
    </w:p>
    <w:tbl>
      <w:tblPr>
        <w:tblW w:type="auto" w:w="0"/>
        <w:jc w:val="center"/>
        <w:tblLayout w:type="autofit"/>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Pr>
      <w:tblGrid>
        <w:gridCol w:w="1872"/>
        <w:gridCol w:w="1872"/>
        <w:gridCol w:w="1872"/>
        <w:gridCol w:w="1872"/>
        <w:gridCol w:w="1872"/>
      </w:tblGrid>
      <w:tr>
        <w:trPr>
          <w:tblHeader w:val="true"/>
          <w:cantSplit/>
        </w:trPr>
        <w:tc>
          <w:tcPr>
            <w:tcW w:type="dxa" w:w="1872"/>
            <w:vAlign w:val="center"/>
            <w:tcMar>
              <w:top w:w="80" w:type="dxa"/>
              <w:start w:w="90" w:type="dxa"/>
              <w:bottom w:w="80" w:type="dxa"/>
              <w:end w:w="90" w:type="dxa"/>
            </w:tcMar>
            <w:shd w:fill="1F4E78"/>
          </w:tcPr>
          <w:p>
            <w:pPr>
              <w:spacing w:after="0" w:line="480" w:lineRule="auto"/>
              <w:jc w:val="left"/>
            </w:pPr>
            <w:r/>
            <w:r>
              <w:rPr>
                <w:rFonts w:ascii="Times New Roman" w:hAnsi="Times New Roman"/>
                <w:b/>
                <w:color w:val="FFFFFF"/>
                <w:sz w:val="17"/>
              </w:rPr>
              <w:t>Frozen source</w:t>
            </w:r>
          </w:p>
        </w:tc>
        <w:tc>
          <w:tcPr>
            <w:tcW w:type="dxa" w:w="1872"/>
            <w:vAlign w:val="center"/>
            <w:tcMar>
              <w:top w:w="80" w:type="dxa"/>
              <w:start w:w="90" w:type="dxa"/>
              <w:bottom w:w="80" w:type="dxa"/>
              <w:end w:w="90" w:type="dxa"/>
            </w:tcMar>
            <w:shd w:fill="1F4E78"/>
          </w:tcPr>
          <w:p>
            <w:pPr>
              <w:spacing w:after="0" w:line="480" w:lineRule="auto"/>
              <w:jc w:val="center"/>
            </w:pPr>
            <w:r/>
            <w:r>
              <w:rPr>
                <w:rFonts w:ascii="Times New Roman" w:hAnsi="Times New Roman"/>
                <w:b/>
                <w:color w:val="FFFFFF"/>
                <w:sz w:val="17"/>
              </w:rPr>
              <w:t>Control</w:t>
            </w:r>
          </w:p>
        </w:tc>
        <w:tc>
          <w:tcPr>
            <w:tcW w:type="dxa" w:w="1872"/>
            <w:vAlign w:val="center"/>
            <w:tcMar>
              <w:top w:w="80" w:type="dxa"/>
              <w:start w:w="90" w:type="dxa"/>
              <w:bottom w:w="80" w:type="dxa"/>
              <w:end w:w="90" w:type="dxa"/>
            </w:tcMar>
            <w:shd w:fill="1F4E78"/>
          </w:tcPr>
          <w:p>
            <w:pPr>
              <w:spacing w:after="0" w:line="480" w:lineRule="auto"/>
              <w:jc w:val="center"/>
            </w:pPr>
            <w:r/>
            <w:r>
              <w:rPr>
                <w:rFonts w:ascii="Times New Roman" w:hAnsi="Times New Roman"/>
                <w:b/>
                <w:color w:val="FFFFFF"/>
                <w:sz w:val="17"/>
              </w:rPr>
              <w:t>Changed (%)</w:t>
            </w:r>
          </w:p>
        </w:tc>
        <w:tc>
          <w:tcPr>
            <w:tcW w:type="dxa" w:w="1872"/>
            <w:vAlign w:val="center"/>
            <w:tcMar>
              <w:top w:w="80" w:type="dxa"/>
              <w:start w:w="90" w:type="dxa"/>
              <w:bottom w:w="80" w:type="dxa"/>
              <w:end w:w="90" w:type="dxa"/>
            </w:tcMar>
            <w:shd w:fill="1F4E78"/>
          </w:tcPr>
          <w:p>
            <w:pPr>
              <w:spacing w:after="0" w:line="480" w:lineRule="auto"/>
              <w:jc w:val="center"/>
            </w:pPr>
            <w:r/>
            <w:r>
              <w:rPr>
                <w:rFonts w:ascii="Times New Roman" w:hAnsi="Times New Roman"/>
                <w:b/>
                <w:color w:val="FFFFFF"/>
                <w:sz w:val="17"/>
              </w:rPr>
              <w:t>Mean U (1e-6)</w:t>
            </w:r>
          </w:p>
        </w:tc>
        <w:tc>
          <w:tcPr>
            <w:tcW w:type="dxa" w:w="1872"/>
            <w:vAlign w:val="center"/>
            <w:tcMar>
              <w:top w:w="80" w:type="dxa"/>
              <w:start w:w="90" w:type="dxa"/>
              <w:bottom w:w="80" w:type="dxa"/>
              <w:end w:w="90" w:type="dxa"/>
            </w:tcMar>
            <w:shd w:fill="1F4E78"/>
          </w:tcPr>
          <w:p>
            <w:pPr>
              <w:spacing w:after="0" w:line="480" w:lineRule="auto"/>
              <w:jc w:val="center"/>
            </w:pPr>
            <w:r/>
            <w:r>
              <w:rPr>
                <w:rFonts w:ascii="Times New Roman" w:hAnsi="Times New Roman"/>
                <w:b/>
                <w:color w:val="FFFFFF"/>
                <w:sz w:val="17"/>
              </w:rPr>
              <w:t>Delta U vs mean (1e-6)</w:t>
            </w:r>
          </w:p>
        </w:tc>
      </w:tr>
      <w:tr>
        <w:trPr>
          <w:cantSplit/>
        </w:trPr>
        <w:tc>
          <w:tcPr>
            <w:tcW w:type="dxa" w:w="1872"/>
            <w:vAlign w:val="center"/>
            <w:tcMar>
              <w:top w:w="80" w:type="dxa"/>
              <w:start w:w="90" w:type="dxa"/>
              <w:bottom w:w="80" w:type="dxa"/>
              <w:end w:w="90" w:type="dxa"/>
            </w:tcMar>
          </w:tcPr>
          <w:p>
            <w:pPr>
              <w:spacing w:after="0" w:line="480" w:lineRule="auto"/>
              <w:jc w:val="left"/>
            </w:pPr>
            <w:r/>
            <w:r>
              <w:rPr>
                <w:rFonts w:ascii="Times New Roman" w:hAnsi="Times New Roman"/>
                <w:b w:val="0"/>
                <w:color w:val="000000"/>
                <w:sz w:val="17"/>
              </w:rPr>
              <w:t>EI history</w:t>
            </w:r>
          </w:p>
        </w:tc>
        <w:tc>
          <w:tcPr>
            <w:tcW w:type="dxa" w:w="1872"/>
            <w:vAlign w:val="center"/>
            <w:tcMar>
              <w:top w:w="80" w:type="dxa"/>
              <w:start w:w="90" w:type="dxa"/>
              <w:bottom w:w="80" w:type="dxa"/>
              <w:end w:w="90" w:type="dxa"/>
            </w:tcMar>
          </w:tcPr>
          <w:p>
            <w:pPr>
              <w:spacing w:after="0" w:line="480" w:lineRule="auto"/>
              <w:jc w:val="center"/>
            </w:pPr>
            <w:r/>
            <w:r>
              <w:rPr>
                <w:rFonts w:ascii="Times New Roman" w:hAnsi="Times New Roman"/>
                <w:b w:val="0"/>
                <w:color w:val="000000"/>
                <w:sz w:val="17"/>
              </w:rPr>
              <w:t>EI</w:t>
            </w:r>
          </w:p>
        </w:tc>
        <w:tc>
          <w:tcPr>
            <w:tcW w:type="dxa" w:w="1872"/>
            <w:vAlign w:val="center"/>
            <w:tcMar>
              <w:top w:w="80" w:type="dxa"/>
              <w:start w:w="90" w:type="dxa"/>
              <w:bottom w:w="80" w:type="dxa"/>
              <w:end w:w="90" w:type="dxa"/>
            </w:tcMar>
          </w:tcPr>
          <w:p>
            <w:pPr>
              <w:spacing w:after="0" w:line="480" w:lineRule="auto"/>
              <w:jc w:val="center"/>
            </w:pPr>
            <w:r/>
            <w:r>
              <w:rPr>
                <w:rFonts w:ascii="Times New Roman" w:hAnsi="Times New Roman"/>
                <w:b w:val="0"/>
                <w:color w:val="000000"/>
                <w:sz w:val="17"/>
              </w:rPr>
              <w:t>30.0</w:t>
            </w:r>
          </w:p>
        </w:tc>
        <w:tc>
          <w:tcPr>
            <w:tcW w:type="dxa" w:w="1872"/>
            <w:vAlign w:val="center"/>
            <w:tcMar>
              <w:top w:w="80" w:type="dxa"/>
              <w:start w:w="90" w:type="dxa"/>
              <w:bottom w:w="80" w:type="dxa"/>
              <w:end w:w="90" w:type="dxa"/>
            </w:tcMar>
          </w:tcPr>
          <w:p>
            <w:pPr>
              <w:spacing w:after="0" w:line="480" w:lineRule="auto"/>
              <w:jc w:val="center"/>
            </w:pPr>
            <w:r/>
            <w:r>
              <w:rPr>
                <w:rFonts w:ascii="Times New Roman" w:hAnsi="Times New Roman"/>
                <w:b w:val="0"/>
                <w:color w:val="000000"/>
                <w:sz w:val="17"/>
              </w:rPr>
              <w:t>0.899669</w:t>
            </w:r>
          </w:p>
        </w:tc>
        <w:tc>
          <w:tcPr>
            <w:tcW w:type="dxa" w:w="1872"/>
            <w:vAlign w:val="center"/>
            <w:tcMar>
              <w:top w:w="80" w:type="dxa"/>
              <w:start w:w="90" w:type="dxa"/>
              <w:bottom w:w="80" w:type="dxa"/>
              <w:end w:w="90" w:type="dxa"/>
            </w:tcMar>
          </w:tcPr>
          <w:p>
            <w:pPr>
              <w:spacing w:after="0" w:line="480" w:lineRule="auto"/>
              <w:jc w:val="center"/>
            </w:pPr>
            <w:r/>
            <w:r>
              <w:rPr>
                <w:rFonts w:ascii="Times New Roman" w:hAnsi="Times New Roman"/>
                <w:b w:val="0"/>
                <w:color w:val="000000"/>
                <w:sz w:val="17"/>
              </w:rPr>
              <w:t>+0.000000</w:t>
            </w:r>
          </w:p>
        </w:tc>
      </w:tr>
      <w:tr>
        <w:trPr>
          <w:cantSplit/>
        </w:trPr>
        <w:tc>
          <w:tcPr>
            <w:tcW w:type="dxa" w:w="1872"/>
            <w:vAlign w:val="center"/>
            <w:tcMar>
              <w:top w:w="80" w:type="dxa"/>
              <w:start w:w="90" w:type="dxa"/>
              <w:bottom w:w="80" w:type="dxa"/>
              <w:end w:w="90" w:type="dxa"/>
            </w:tcMar>
            <w:shd w:fill="EAF2F8"/>
          </w:tcPr>
          <w:p>
            <w:pPr>
              <w:spacing w:after="0" w:line="480" w:lineRule="auto"/>
              <w:jc w:val="left"/>
            </w:pPr>
            <w:r/>
            <w:r>
              <w:rPr>
                <w:rFonts w:ascii="Times New Roman" w:hAnsi="Times New Roman"/>
                <w:b w:val="0"/>
                <w:color w:val="000000"/>
                <w:sz w:val="17"/>
              </w:rPr>
              <w:t>EI history</w:t>
            </w:r>
          </w:p>
        </w:tc>
        <w:tc>
          <w:tcPr>
            <w:tcW w:type="dxa" w:w="1872"/>
            <w:vAlign w:val="center"/>
            <w:tcMar>
              <w:top w:w="80" w:type="dxa"/>
              <w:start w:w="90" w:type="dxa"/>
              <w:bottom w:w="80" w:type="dxa"/>
              <w:end w:w="90" w:type="dxa"/>
            </w:tcMar>
            <w:shd w:fill="EAF2F8"/>
          </w:tcPr>
          <w:p>
            <w:pPr>
              <w:spacing w:after="0" w:line="480" w:lineRule="auto"/>
              <w:jc w:val="center"/>
            </w:pPr>
            <w:r/>
            <w:r>
              <w:rPr>
                <w:rFonts w:ascii="Times New Roman" w:hAnsi="Times New Roman"/>
                <w:b w:val="0"/>
                <w:color w:val="000000"/>
                <w:sz w:val="17"/>
              </w:rPr>
              <w:t>PI</w:t>
            </w:r>
          </w:p>
        </w:tc>
        <w:tc>
          <w:tcPr>
            <w:tcW w:type="dxa" w:w="1872"/>
            <w:vAlign w:val="center"/>
            <w:tcMar>
              <w:top w:w="80" w:type="dxa"/>
              <w:start w:w="90" w:type="dxa"/>
              <w:bottom w:w="80" w:type="dxa"/>
              <w:end w:w="90" w:type="dxa"/>
            </w:tcMar>
            <w:shd w:fill="EAF2F8"/>
          </w:tcPr>
          <w:p>
            <w:pPr>
              <w:spacing w:after="0" w:line="480" w:lineRule="auto"/>
              <w:jc w:val="center"/>
            </w:pPr>
            <w:r/>
            <w:r>
              <w:rPr>
                <w:rFonts w:ascii="Times New Roman" w:hAnsi="Times New Roman"/>
                <w:b w:val="0"/>
                <w:color w:val="000000"/>
                <w:sz w:val="17"/>
              </w:rPr>
              <w:t>25.0</w:t>
            </w:r>
          </w:p>
        </w:tc>
        <w:tc>
          <w:tcPr>
            <w:tcW w:type="dxa" w:w="1872"/>
            <w:vAlign w:val="center"/>
            <w:tcMar>
              <w:top w:w="80" w:type="dxa"/>
              <w:start w:w="90" w:type="dxa"/>
              <w:bottom w:w="80" w:type="dxa"/>
              <w:end w:w="90" w:type="dxa"/>
            </w:tcMar>
            <w:shd w:fill="EAF2F8"/>
          </w:tcPr>
          <w:p>
            <w:pPr>
              <w:spacing w:after="0" w:line="480" w:lineRule="auto"/>
              <w:jc w:val="center"/>
            </w:pPr>
            <w:r/>
            <w:r>
              <w:rPr>
                <w:rFonts w:ascii="Times New Roman" w:hAnsi="Times New Roman"/>
                <w:b w:val="0"/>
                <w:color w:val="000000"/>
                <w:sz w:val="17"/>
              </w:rPr>
              <w:t>0.899669</w:t>
            </w:r>
          </w:p>
        </w:tc>
        <w:tc>
          <w:tcPr>
            <w:tcW w:type="dxa" w:w="1872"/>
            <w:vAlign w:val="center"/>
            <w:tcMar>
              <w:top w:w="80" w:type="dxa"/>
              <w:start w:w="90" w:type="dxa"/>
              <w:bottom w:w="80" w:type="dxa"/>
              <w:end w:w="90" w:type="dxa"/>
            </w:tcMar>
            <w:shd w:fill="EAF2F8"/>
          </w:tcPr>
          <w:p>
            <w:pPr>
              <w:spacing w:after="0" w:line="480" w:lineRule="auto"/>
              <w:jc w:val="center"/>
            </w:pPr>
            <w:r/>
            <w:r>
              <w:rPr>
                <w:rFonts w:ascii="Times New Roman" w:hAnsi="Times New Roman"/>
                <w:b w:val="0"/>
                <w:color w:val="000000"/>
                <w:sz w:val="17"/>
              </w:rPr>
              <w:t>+0.000000</w:t>
            </w:r>
          </w:p>
        </w:tc>
      </w:tr>
      <w:tr>
        <w:trPr>
          <w:cantSplit/>
        </w:trPr>
        <w:tc>
          <w:tcPr>
            <w:tcW w:type="dxa" w:w="1872"/>
            <w:vAlign w:val="center"/>
            <w:tcMar>
              <w:top w:w="80" w:type="dxa"/>
              <w:start w:w="90" w:type="dxa"/>
              <w:bottom w:w="80" w:type="dxa"/>
              <w:end w:w="90" w:type="dxa"/>
            </w:tcMar>
          </w:tcPr>
          <w:p>
            <w:pPr>
              <w:spacing w:after="0" w:line="480" w:lineRule="auto"/>
              <w:jc w:val="left"/>
            </w:pPr>
            <w:r/>
            <w:r>
              <w:rPr>
                <w:rFonts w:ascii="Times New Roman" w:hAnsi="Times New Roman"/>
                <w:b w:val="0"/>
                <w:color w:val="000000"/>
                <w:sz w:val="17"/>
              </w:rPr>
              <w:t>EI history</w:t>
            </w:r>
          </w:p>
        </w:tc>
        <w:tc>
          <w:tcPr>
            <w:tcW w:type="dxa" w:w="1872"/>
            <w:vAlign w:val="center"/>
            <w:tcMar>
              <w:top w:w="80" w:type="dxa"/>
              <w:start w:w="90" w:type="dxa"/>
              <w:bottom w:w="80" w:type="dxa"/>
              <w:end w:w="90" w:type="dxa"/>
            </w:tcMar>
          </w:tcPr>
          <w:p>
            <w:pPr>
              <w:spacing w:after="0" w:line="480" w:lineRule="auto"/>
              <w:jc w:val="center"/>
            </w:pPr>
            <w:r/>
            <w:r>
              <w:rPr>
                <w:rFonts w:ascii="Times New Roman" w:hAnsi="Times New Roman"/>
                <w:b w:val="0"/>
                <w:color w:val="000000"/>
                <w:sz w:val="17"/>
              </w:rPr>
              <w:t>LCB</w:t>
            </w:r>
          </w:p>
        </w:tc>
        <w:tc>
          <w:tcPr>
            <w:tcW w:type="dxa" w:w="1872"/>
            <w:vAlign w:val="center"/>
            <w:tcMar>
              <w:top w:w="80" w:type="dxa"/>
              <w:start w:w="90" w:type="dxa"/>
              <w:bottom w:w="80" w:type="dxa"/>
              <w:end w:w="90" w:type="dxa"/>
            </w:tcMar>
          </w:tcPr>
          <w:p>
            <w:pPr>
              <w:spacing w:after="0" w:line="480" w:lineRule="auto"/>
              <w:jc w:val="center"/>
            </w:pPr>
            <w:r/>
            <w:r>
              <w:rPr>
                <w:rFonts w:ascii="Times New Roman" w:hAnsi="Times New Roman"/>
                <w:b w:val="0"/>
                <w:color w:val="000000"/>
                <w:sz w:val="17"/>
              </w:rPr>
              <w:t>52.5</w:t>
            </w:r>
          </w:p>
        </w:tc>
        <w:tc>
          <w:tcPr>
            <w:tcW w:type="dxa" w:w="1872"/>
            <w:vAlign w:val="center"/>
            <w:tcMar>
              <w:top w:w="80" w:type="dxa"/>
              <w:start w:w="90" w:type="dxa"/>
              <w:bottom w:w="80" w:type="dxa"/>
              <w:end w:w="90" w:type="dxa"/>
            </w:tcMar>
          </w:tcPr>
          <w:p>
            <w:pPr>
              <w:spacing w:after="0" w:line="480" w:lineRule="auto"/>
              <w:jc w:val="center"/>
            </w:pPr>
            <w:r/>
            <w:r>
              <w:rPr>
                <w:rFonts w:ascii="Times New Roman" w:hAnsi="Times New Roman"/>
                <w:b w:val="0"/>
                <w:color w:val="000000"/>
                <w:sz w:val="17"/>
              </w:rPr>
              <w:t>0.000000</w:t>
            </w:r>
          </w:p>
        </w:tc>
        <w:tc>
          <w:tcPr>
            <w:tcW w:type="dxa" w:w="1872"/>
            <w:vAlign w:val="center"/>
            <w:tcMar>
              <w:top w:w="80" w:type="dxa"/>
              <w:start w:w="90" w:type="dxa"/>
              <w:bottom w:w="80" w:type="dxa"/>
              <w:end w:w="90" w:type="dxa"/>
            </w:tcMar>
          </w:tcPr>
          <w:p>
            <w:pPr>
              <w:spacing w:after="0" w:line="480" w:lineRule="auto"/>
              <w:jc w:val="center"/>
            </w:pPr>
            <w:r/>
            <w:r>
              <w:rPr>
                <w:rFonts w:ascii="Times New Roman" w:hAnsi="Times New Roman"/>
                <w:b w:val="0"/>
                <w:color w:val="000000"/>
                <w:sz w:val="17"/>
              </w:rPr>
              <w:t>-0.899669</w:t>
            </w:r>
          </w:p>
        </w:tc>
      </w:tr>
      <w:tr>
        <w:trPr>
          <w:cantSplit/>
        </w:trPr>
        <w:tc>
          <w:tcPr>
            <w:tcW w:type="dxa" w:w="1872"/>
            <w:vAlign w:val="center"/>
            <w:tcMar>
              <w:top w:w="80" w:type="dxa"/>
              <w:start w:w="90" w:type="dxa"/>
              <w:bottom w:w="80" w:type="dxa"/>
              <w:end w:w="90" w:type="dxa"/>
            </w:tcMar>
            <w:shd w:fill="EAF2F8"/>
          </w:tcPr>
          <w:p>
            <w:pPr>
              <w:spacing w:after="0" w:line="480" w:lineRule="auto"/>
              <w:jc w:val="left"/>
            </w:pPr>
            <w:r/>
            <w:r>
              <w:rPr>
                <w:rFonts w:ascii="Times New Roman" w:hAnsi="Times New Roman"/>
                <w:b w:val="0"/>
                <w:color w:val="000000"/>
                <w:sz w:val="17"/>
              </w:rPr>
              <w:t>PI history</w:t>
            </w:r>
          </w:p>
        </w:tc>
        <w:tc>
          <w:tcPr>
            <w:tcW w:type="dxa" w:w="1872"/>
            <w:vAlign w:val="center"/>
            <w:tcMar>
              <w:top w:w="80" w:type="dxa"/>
              <w:start w:w="90" w:type="dxa"/>
              <w:bottom w:w="80" w:type="dxa"/>
              <w:end w:w="90" w:type="dxa"/>
            </w:tcMar>
            <w:shd w:fill="EAF2F8"/>
          </w:tcPr>
          <w:p>
            <w:pPr>
              <w:spacing w:after="0" w:line="480" w:lineRule="auto"/>
              <w:jc w:val="center"/>
            </w:pPr>
            <w:r/>
            <w:r>
              <w:rPr>
                <w:rFonts w:ascii="Times New Roman" w:hAnsi="Times New Roman"/>
                <w:b w:val="0"/>
                <w:color w:val="000000"/>
                <w:sz w:val="17"/>
              </w:rPr>
              <w:t>EI</w:t>
            </w:r>
          </w:p>
        </w:tc>
        <w:tc>
          <w:tcPr>
            <w:tcW w:type="dxa" w:w="1872"/>
            <w:vAlign w:val="center"/>
            <w:tcMar>
              <w:top w:w="80" w:type="dxa"/>
              <w:start w:w="90" w:type="dxa"/>
              <w:bottom w:w="80" w:type="dxa"/>
              <w:end w:w="90" w:type="dxa"/>
            </w:tcMar>
            <w:shd w:fill="EAF2F8"/>
          </w:tcPr>
          <w:p>
            <w:pPr>
              <w:spacing w:after="0" w:line="480" w:lineRule="auto"/>
              <w:jc w:val="center"/>
            </w:pPr>
            <w:r/>
            <w:r>
              <w:rPr>
                <w:rFonts w:ascii="Times New Roman" w:hAnsi="Times New Roman"/>
                <w:b w:val="0"/>
                <w:color w:val="000000"/>
                <w:sz w:val="17"/>
              </w:rPr>
              <w:t>95.0</w:t>
            </w:r>
          </w:p>
        </w:tc>
        <w:tc>
          <w:tcPr>
            <w:tcW w:type="dxa" w:w="1872"/>
            <w:vAlign w:val="center"/>
            <w:tcMar>
              <w:top w:w="80" w:type="dxa"/>
              <w:start w:w="90" w:type="dxa"/>
              <w:bottom w:w="80" w:type="dxa"/>
              <w:end w:w="90" w:type="dxa"/>
            </w:tcMar>
            <w:shd w:fill="EAF2F8"/>
          </w:tcPr>
          <w:p>
            <w:pPr>
              <w:spacing w:after="0" w:line="480" w:lineRule="auto"/>
              <w:jc w:val="center"/>
            </w:pPr>
            <w:r/>
            <w:r>
              <w:rPr>
                <w:rFonts w:ascii="Times New Roman" w:hAnsi="Times New Roman"/>
                <w:b w:val="0"/>
                <w:color w:val="000000"/>
                <w:sz w:val="17"/>
              </w:rPr>
              <w:t>0.000000</w:t>
            </w:r>
          </w:p>
        </w:tc>
        <w:tc>
          <w:tcPr>
            <w:tcW w:type="dxa" w:w="1872"/>
            <w:vAlign w:val="center"/>
            <w:tcMar>
              <w:top w:w="80" w:type="dxa"/>
              <w:start w:w="90" w:type="dxa"/>
              <w:bottom w:w="80" w:type="dxa"/>
              <w:end w:w="90" w:type="dxa"/>
            </w:tcMar>
            <w:shd w:fill="EAF2F8"/>
          </w:tcPr>
          <w:p>
            <w:pPr>
              <w:spacing w:after="0" w:line="480" w:lineRule="auto"/>
              <w:jc w:val="center"/>
            </w:pPr>
            <w:r/>
            <w:r>
              <w:rPr>
                <w:rFonts w:ascii="Times New Roman" w:hAnsi="Times New Roman"/>
                <w:b w:val="0"/>
                <w:color w:val="000000"/>
                <w:sz w:val="17"/>
              </w:rPr>
              <w:t>-0.347088</w:t>
            </w:r>
          </w:p>
        </w:tc>
      </w:tr>
      <w:tr>
        <w:trPr>
          <w:cantSplit/>
        </w:trPr>
        <w:tc>
          <w:tcPr>
            <w:tcW w:type="dxa" w:w="1872"/>
            <w:vAlign w:val="center"/>
            <w:tcMar>
              <w:top w:w="80" w:type="dxa"/>
              <w:start w:w="90" w:type="dxa"/>
              <w:bottom w:w="80" w:type="dxa"/>
              <w:end w:w="90" w:type="dxa"/>
            </w:tcMar>
          </w:tcPr>
          <w:p>
            <w:pPr>
              <w:spacing w:after="0" w:line="480" w:lineRule="auto"/>
              <w:jc w:val="left"/>
            </w:pPr>
            <w:r/>
            <w:r>
              <w:rPr>
                <w:rFonts w:ascii="Times New Roman" w:hAnsi="Times New Roman"/>
                <w:b w:val="0"/>
                <w:color w:val="000000"/>
                <w:sz w:val="17"/>
              </w:rPr>
              <w:t>PI history</w:t>
            </w:r>
          </w:p>
        </w:tc>
        <w:tc>
          <w:tcPr>
            <w:tcW w:type="dxa" w:w="1872"/>
            <w:vAlign w:val="center"/>
            <w:tcMar>
              <w:top w:w="80" w:type="dxa"/>
              <w:start w:w="90" w:type="dxa"/>
              <w:bottom w:w="80" w:type="dxa"/>
              <w:end w:w="90" w:type="dxa"/>
            </w:tcMar>
          </w:tcPr>
          <w:p>
            <w:pPr>
              <w:spacing w:after="0" w:line="480" w:lineRule="auto"/>
              <w:jc w:val="center"/>
            </w:pPr>
            <w:r/>
            <w:r>
              <w:rPr>
                <w:rFonts w:ascii="Times New Roman" w:hAnsi="Times New Roman"/>
                <w:b w:val="0"/>
                <w:color w:val="000000"/>
                <w:sz w:val="17"/>
              </w:rPr>
              <w:t>PI</w:t>
            </w:r>
          </w:p>
        </w:tc>
        <w:tc>
          <w:tcPr>
            <w:tcW w:type="dxa" w:w="1872"/>
            <w:vAlign w:val="center"/>
            <w:tcMar>
              <w:top w:w="80" w:type="dxa"/>
              <w:start w:w="90" w:type="dxa"/>
              <w:bottom w:w="80" w:type="dxa"/>
              <w:end w:w="90" w:type="dxa"/>
            </w:tcMar>
          </w:tcPr>
          <w:p>
            <w:pPr>
              <w:spacing w:after="0" w:line="480" w:lineRule="auto"/>
              <w:jc w:val="center"/>
            </w:pPr>
            <w:r/>
            <w:r>
              <w:rPr>
                <w:rFonts w:ascii="Times New Roman" w:hAnsi="Times New Roman"/>
                <w:b w:val="0"/>
                <w:color w:val="000000"/>
                <w:sz w:val="17"/>
              </w:rPr>
              <w:t>7.5</w:t>
            </w:r>
          </w:p>
        </w:tc>
        <w:tc>
          <w:tcPr>
            <w:tcW w:type="dxa" w:w="1872"/>
            <w:vAlign w:val="center"/>
            <w:tcMar>
              <w:top w:w="80" w:type="dxa"/>
              <w:start w:w="90" w:type="dxa"/>
              <w:bottom w:w="80" w:type="dxa"/>
              <w:end w:w="90" w:type="dxa"/>
            </w:tcMar>
          </w:tcPr>
          <w:p>
            <w:pPr>
              <w:spacing w:after="0" w:line="480" w:lineRule="auto"/>
              <w:jc w:val="center"/>
            </w:pPr>
            <w:r/>
            <w:r>
              <w:rPr>
                <w:rFonts w:ascii="Times New Roman" w:hAnsi="Times New Roman"/>
                <w:b w:val="0"/>
                <w:color w:val="000000"/>
                <w:sz w:val="17"/>
              </w:rPr>
              <w:t>0.347088</w:t>
            </w:r>
          </w:p>
        </w:tc>
        <w:tc>
          <w:tcPr>
            <w:tcW w:type="dxa" w:w="1872"/>
            <w:vAlign w:val="center"/>
            <w:tcMar>
              <w:top w:w="80" w:type="dxa"/>
              <w:start w:w="90" w:type="dxa"/>
              <w:bottom w:w="80" w:type="dxa"/>
              <w:end w:w="90" w:type="dxa"/>
            </w:tcMar>
          </w:tcPr>
          <w:p>
            <w:pPr>
              <w:spacing w:after="0" w:line="480" w:lineRule="auto"/>
              <w:jc w:val="center"/>
            </w:pPr>
            <w:r/>
            <w:r>
              <w:rPr>
                <w:rFonts w:ascii="Times New Roman" w:hAnsi="Times New Roman"/>
                <w:b w:val="0"/>
                <w:color w:val="000000"/>
                <w:sz w:val="17"/>
              </w:rPr>
              <w:t>+0.000000</w:t>
            </w:r>
          </w:p>
        </w:tc>
      </w:tr>
      <w:tr>
        <w:trPr>
          <w:cantSplit/>
        </w:trPr>
        <w:tc>
          <w:tcPr>
            <w:tcW w:type="dxa" w:w="1872"/>
            <w:vAlign w:val="center"/>
            <w:tcMar>
              <w:top w:w="80" w:type="dxa"/>
              <w:start w:w="90" w:type="dxa"/>
              <w:bottom w:w="80" w:type="dxa"/>
              <w:end w:w="90" w:type="dxa"/>
            </w:tcMar>
            <w:shd w:fill="EAF2F8"/>
          </w:tcPr>
          <w:p>
            <w:pPr>
              <w:spacing w:after="0" w:line="480" w:lineRule="auto"/>
              <w:jc w:val="left"/>
            </w:pPr>
            <w:r/>
            <w:r>
              <w:rPr>
                <w:rFonts w:ascii="Times New Roman" w:hAnsi="Times New Roman"/>
                <w:b w:val="0"/>
                <w:color w:val="000000"/>
                <w:sz w:val="17"/>
              </w:rPr>
              <w:t>PI history</w:t>
            </w:r>
          </w:p>
        </w:tc>
        <w:tc>
          <w:tcPr>
            <w:tcW w:type="dxa" w:w="1872"/>
            <w:vAlign w:val="center"/>
            <w:tcMar>
              <w:top w:w="80" w:type="dxa"/>
              <w:start w:w="90" w:type="dxa"/>
              <w:bottom w:w="80" w:type="dxa"/>
              <w:end w:w="90" w:type="dxa"/>
            </w:tcMar>
            <w:shd w:fill="EAF2F8"/>
          </w:tcPr>
          <w:p>
            <w:pPr>
              <w:spacing w:after="0" w:line="480" w:lineRule="auto"/>
              <w:jc w:val="center"/>
            </w:pPr>
            <w:r/>
            <w:r>
              <w:rPr>
                <w:rFonts w:ascii="Times New Roman" w:hAnsi="Times New Roman"/>
                <w:b w:val="0"/>
                <w:color w:val="000000"/>
                <w:sz w:val="17"/>
              </w:rPr>
              <w:t>LCB</w:t>
            </w:r>
          </w:p>
        </w:tc>
        <w:tc>
          <w:tcPr>
            <w:tcW w:type="dxa" w:w="1872"/>
            <w:vAlign w:val="center"/>
            <w:tcMar>
              <w:top w:w="80" w:type="dxa"/>
              <w:start w:w="90" w:type="dxa"/>
              <w:bottom w:w="80" w:type="dxa"/>
              <w:end w:w="90" w:type="dxa"/>
            </w:tcMar>
            <w:shd w:fill="EAF2F8"/>
          </w:tcPr>
          <w:p>
            <w:pPr>
              <w:spacing w:after="0" w:line="480" w:lineRule="auto"/>
              <w:jc w:val="center"/>
            </w:pPr>
            <w:r/>
            <w:r>
              <w:rPr>
                <w:rFonts w:ascii="Times New Roman" w:hAnsi="Times New Roman"/>
                <w:b w:val="0"/>
                <w:color w:val="000000"/>
                <w:sz w:val="17"/>
              </w:rPr>
              <w:t>97.5</w:t>
            </w:r>
          </w:p>
        </w:tc>
        <w:tc>
          <w:tcPr>
            <w:tcW w:type="dxa" w:w="1872"/>
            <w:vAlign w:val="center"/>
            <w:tcMar>
              <w:top w:w="80" w:type="dxa"/>
              <w:start w:w="90" w:type="dxa"/>
              <w:bottom w:w="80" w:type="dxa"/>
              <w:end w:w="90" w:type="dxa"/>
            </w:tcMar>
            <w:shd w:fill="EAF2F8"/>
          </w:tcPr>
          <w:p>
            <w:pPr>
              <w:spacing w:after="0" w:line="480" w:lineRule="auto"/>
              <w:jc w:val="center"/>
            </w:pPr>
            <w:r/>
            <w:r>
              <w:rPr>
                <w:rFonts w:ascii="Times New Roman" w:hAnsi="Times New Roman"/>
                <w:b w:val="0"/>
                <w:color w:val="000000"/>
                <w:sz w:val="17"/>
              </w:rPr>
              <w:t>0.000000</w:t>
            </w:r>
          </w:p>
        </w:tc>
        <w:tc>
          <w:tcPr>
            <w:tcW w:type="dxa" w:w="1872"/>
            <w:vAlign w:val="center"/>
            <w:tcMar>
              <w:top w:w="80" w:type="dxa"/>
              <w:start w:w="90" w:type="dxa"/>
              <w:bottom w:w="80" w:type="dxa"/>
              <w:end w:w="90" w:type="dxa"/>
            </w:tcMar>
            <w:shd w:fill="EAF2F8"/>
          </w:tcPr>
          <w:p>
            <w:pPr>
              <w:spacing w:after="0" w:line="480" w:lineRule="auto"/>
              <w:jc w:val="center"/>
            </w:pPr>
            <w:r/>
            <w:r>
              <w:rPr>
                <w:rFonts w:ascii="Times New Roman" w:hAnsi="Times New Roman"/>
                <w:b w:val="0"/>
                <w:color w:val="000000"/>
                <w:sz w:val="17"/>
              </w:rPr>
              <w:t>-0.347088</w:t>
            </w:r>
          </w:p>
        </w:tc>
      </w:tr>
      <w:tr>
        <w:trPr>
          <w:cantSplit/>
        </w:trPr>
        <w:tc>
          <w:tcPr>
            <w:tcW w:type="dxa" w:w="1872"/>
            <w:vAlign w:val="center"/>
            <w:tcMar>
              <w:top w:w="80" w:type="dxa"/>
              <w:start w:w="90" w:type="dxa"/>
              <w:bottom w:w="80" w:type="dxa"/>
              <w:end w:w="90" w:type="dxa"/>
            </w:tcMar>
          </w:tcPr>
          <w:p>
            <w:pPr>
              <w:spacing w:after="0" w:line="480" w:lineRule="auto"/>
              <w:jc w:val="left"/>
            </w:pPr>
            <w:r/>
            <w:r>
              <w:rPr>
                <w:rFonts w:ascii="Times New Roman" w:hAnsi="Times New Roman"/>
                <w:b w:val="0"/>
                <w:color w:val="000000"/>
                <w:sz w:val="17"/>
              </w:rPr>
              <w:t>UCB history</w:t>
            </w:r>
          </w:p>
        </w:tc>
        <w:tc>
          <w:tcPr>
            <w:tcW w:type="dxa" w:w="1872"/>
            <w:vAlign w:val="center"/>
            <w:tcMar>
              <w:top w:w="80" w:type="dxa"/>
              <w:start w:w="90" w:type="dxa"/>
              <w:bottom w:w="80" w:type="dxa"/>
              <w:end w:w="90" w:type="dxa"/>
            </w:tcMar>
          </w:tcPr>
          <w:p>
            <w:pPr>
              <w:spacing w:after="0" w:line="480" w:lineRule="auto"/>
              <w:jc w:val="center"/>
            </w:pPr>
            <w:r/>
            <w:r>
              <w:rPr>
                <w:rFonts w:ascii="Times New Roman" w:hAnsi="Times New Roman"/>
                <w:b w:val="0"/>
                <w:color w:val="000000"/>
                <w:sz w:val="17"/>
              </w:rPr>
              <w:t>EI</w:t>
            </w:r>
          </w:p>
        </w:tc>
        <w:tc>
          <w:tcPr>
            <w:tcW w:type="dxa" w:w="1872"/>
            <w:vAlign w:val="center"/>
            <w:tcMar>
              <w:top w:w="80" w:type="dxa"/>
              <w:start w:w="90" w:type="dxa"/>
              <w:bottom w:w="80" w:type="dxa"/>
              <w:end w:w="90" w:type="dxa"/>
            </w:tcMar>
          </w:tcPr>
          <w:p>
            <w:pPr>
              <w:spacing w:after="0" w:line="480" w:lineRule="auto"/>
              <w:jc w:val="center"/>
            </w:pPr>
            <w:r/>
            <w:r>
              <w:rPr>
                <w:rFonts w:ascii="Times New Roman" w:hAnsi="Times New Roman"/>
                <w:b w:val="0"/>
                <w:color w:val="000000"/>
                <w:sz w:val="17"/>
              </w:rPr>
              <w:t>30.0</w:t>
            </w:r>
          </w:p>
        </w:tc>
        <w:tc>
          <w:tcPr>
            <w:tcW w:type="dxa" w:w="1872"/>
            <w:vAlign w:val="center"/>
            <w:tcMar>
              <w:top w:w="80" w:type="dxa"/>
              <w:start w:w="90" w:type="dxa"/>
              <w:bottom w:w="80" w:type="dxa"/>
              <w:end w:w="90" w:type="dxa"/>
            </w:tcMar>
          </w:tcPr>
          <w:p>
            <w:pPr>
              <w:spacing w:after="0" w:line="480" w:lineRule="auto"/>
              <w:jc w:val="center"/>
            </w:pPr>
            <w:r/>
            <w:r>
              <w:rPr>
                <w:rFonts w:ascii="Times New Roman" w:hAnsi="Times New Roman"/>
                <w:b w:val="0"/>
                <w:color w:val="000000"/>
                <w:sz w:val="17"/>
              </w:rPr>
              <w:t>0.887232</w:t>
            </w:r>
          </w:p>
        </w:tc>
        <w:tc>
          <w:tcPr>
            <w:tcW w:type="dxa" w:w="1872"/>
            <w:vAlign w:val="center"/>
            <w:tcMar>
              <w:top w:w="80" w:type="dxa"/>
              <w:start w:w="90" w:type="dxa"/>
              <w:bottom w:w="80" w:type="dxa"/>
              <w:end w:w="90" w:type="dxa"/>
            </w:tcMar>
          </w:tcPr>
          <w:p>
            <w:pPr>
              <w:spacing w:after="0" w:line="480" w:lineRule="auto"/>
              <w:jc w:val="center"/>
            </w:pPr>
            <w:r/>
            <w:r>
              <w:rPr>
                <w:rFonts w:ascii="Times New Roman" w:hAnsi="Times New Roman"/>
                <w:b w:val="0"/>
                <w:color w:val="000000"/>
                <w:sz w:val="17"/>
              </w:rPr>
              <w:t>+0.009475</w:t>
            </w:r>
          </w:p>
        </w:tc>
      </w:tr>
      <w:tr>
        <w:trPr>
          <w:cantSplit/>
        </w:trPr>
        <w:tc>
          <w:tcPr>
            <w:tcW w:type="dxa" w:w="1872"/>
            <w:vAlign w:val="center"/>
            <w:tcMar>
              <w:top w:w="80" w:type="dxa"/>
              <w:start w:w="90" w:type="dxa"/>
              <w:bottom w:w="80" w:type="dxa"/>
              <w:end w:w="90" w:type="dxa"/>
            </w:tcMar>
            <w:shd w:fill="EAF2F8"/>
          </w:tcPr>
          <w:p>
            <w:pPr>
              <w:spacing w:after="0" w:line="480" w:lineRule="auto"/>
              <w:jc w:val="left"/>
            </w:pPr>
            <w:r/>
            <w:r>
              <w:rPr>
                <w:rFonts w:ascii="Times New Roman" w:hAnsi="Times New Roman"/>
                <w:b w:val="0"/>
                <w:color w:val="000000"/>
                <w:sz w:val="17"/>
              </w:rPr>
              <w:t>UCB history</w:t>
            </w:r>
          </w:p>
        </w:tc>
        <w:tc>
          <w:tcPr>
            <w:tcW w:type="dxa" w:w="1872"/>
            <w:vAlign w:val="center"/>
            <w:tcMar>
              <w:top w:w="80" w:type="dxa"/>
              <w:start w:w="90" w:type="dxa"/>
              <w:bottom w:w="80" w:type="dxa"/>
              <w:end w:w="90" w:type="dxa"/>
            </w:tcMar>
            <w:shd w:fill="EAF2F8"/>
          </w:tcPr>
          <w:p>
            <w:pPr>
              <w:spacing w:after="0" w:line="480" w:lineRule="auto"/>
              <w:jc w:val="center"/>
            </w:pPr>
            <w:r/>
            <w:r>
              <w:rPr>
                <w:rFonts w:ascii="Times New Roman" w:hAnsi="Times New Roman"/>
                <w:b w:val="0"/>
                <w:color w:val="000000"/>
                <w:sz w:val="17"/>
              </w:rPr>
              <w:t>PI</w:t>
            </w:r>
          </w:p>
        </w:tc>
        <w:tc>
          <w:tcPr>
            <w:tcW w:type="dxa" w:w="1872"/>
            <w:vAlign w:val="center"/>
            <w:tcMar>
              <w:top w:w="80" w:type="dxa"/>
              <w:start w:w="90" w:type="dxa"/>
              <w:bottom w:w="80" w:type="dxa"/>
              <w:end w:w="90" w:type="dxa"/>
            </w:tcMar>
            <w:shd w:fill="EAF2F8"/>
          </w:tcPr>
          <w:p>
            <w:pPr>
              <w:spacing w:after="0" w:line="480" w:lineRule="auto"/>
              <w:jc w:val="center"/>
            </w:pPr>
            <w:r/>
            <w:r>
              <w:rPr>
                <w:rFonts w:ascii="Times New Roman" w:hAnsi="Times New Roman"/>
                <w:b w:val="0"/>
                <w:color w:val="000000"/>
                <w:sz w:val="17"/>
              </w:rPr>
              <w:t>35.0</w:t>
            </w:r>
          </w:p>
        </w:tc>
        <w:tc>
          <w:tcPr>
            <w:tcW w:type="dxa" w:w="1872"/>
            <w:vAlign w:val="center"/>
            <w:tcMar>
              <w:top w:w="80" w:type="dxa"/>
              <w:start w:w="90" w:type="dxa"/>
              <w:bottom w:w="80" w:type="dxa"/>
              <w:end w:w="90" w:type="dxa"/>
            </w:tcMar>
            <w:shd w:fill="EAF2F8"/>
          </w:tcPr>
          <w:p>
            <w:pPr>
              <w:spacing w:after="0" w:line="480" w:lineRule="auto"/>
              <w:jc w:val="center"/>
            </w:pPr>
            <w:r/>
            <w:r>
              <w:rPr>
                <w:rFonts w:ascii="Times New Roman" w:hAnsi="Times New Roman"/>
                <w:b w:val="0"/>
                <w:color w:val="000000"/>
                <w:sz w:val="17"/>
              </w:rPr>
              <w:t>1.178882</w:t>
            </w:r>
          </w:p>
        </w:tc>
        <w:tc>
          <w:tcPr>
            <w:tcW w:type="dxa" w:w="1872"/>
            <w:vAlign w:val="center"/>
            <w:tcMar>
              <w:top w:w="80" w:type="dxa"/>
              <w:start w:w="90" w:type="dxa"/>
              <w:bottom w:w="80" w:type="dxa"/>
              <w:end w:w="90" w:type="dxa"/>
            </w:tcMar>
            <w:shd w:fill="EAF2F8"/>
          </w:tcPr>
          <w:p>
            <w:pPr>
              <w:spacing w:after="0" w:line="480" w:lineRule="auto"/>
              <w:jc w:val="center"/>
            </w:pPr>
            <w:r/>
            <w:r>
              <w:rPr>
                <w:rFonts w:ascii="Times New Roman" w:hAnsi="Times New Roman"/>
                <w:b w:val="0"/>
                <w:color w:val="000000"/>
                <w:sz w:val="17"/>
              </w:rPr>
              <w:t>+0.301124</w:t>
            </w:r>
          </w:p>
        </w:tc>
      </w:tr>
      <w:tr>
        <w:trPr>
          <w:cantSplit/>
        </w:trPr>
        <w:tc>
          <w:tcPr>
            <w:tcW w:type="dxa" w:w="1872"/>
            <w:vAlign w:val="center"/>
            <w:tcMar>
              <w:top w:w="80" w:type="dxa"/>
              <w:start w:w="90" w:type="dxa"/>
              <w:bottom w:w="80" w:type="dxa"/>
              <w:end w:w="90" w:type="dxa"/>
            </w:tcMar>
          </w:tcPr>
          <w:p>
            <w:pPr>
              <w:spacing w:after="0" w:line="480" w:lineRule="auto"/>
              <w:jc w:val="left"/>
            </w:pPr>
            <w:r/>
            <w:r>
              <w:rPr>
                <w:rFonts w:ascii="Times New Roman" w:hAnsi="Times New Roman"/>
                <w:b w:val="0"/>
                <w:color w:val="000000"/>
                <w:sz w:val="17"/>
              </w:rPr>
              <w:t>UCB history</w:t>
            </w:r>
          </w:p>
        </w:tc>
        <w:tc>
          <w:tcPr>
            <w:tcW w:type="dxa" w:w="1872"/>
            <w:vAlign w:val="center"/>
            <w:tcMar>
              <w:top w:w="80" w:type="dxa"/>
              <w:start w:w="90" w:type="dxa"/>
              <w:bottom w:w="80" w:type="dxa"/>
              <w:end w:w="90" w:type="dxa"/>
            </w:tcMar>
          </w:tcPr>
          <w:p>
            <w:pPr>
              <w:spacing w:after="0" w:line="480" w:lineRule="auto"/>
              <w:jc w:val="center"/>
            </w:pPr>
            <w:r/>
            <w:r>
              <w:rPr>
                <w:rFonts w:ascii="Times New Roman" w:hAnsi="Times New Roman"/>
                <w:b w:val="0"/>
                <w:color w:val="000000"/>
                <w:sz w:val="17"/>
              </w:rPr>
              <w:t>LCB</w:t>
            </w:r>
          </w:p>
        </w:tc>
        <w:tc>
          <w:tcPr>
            <w:tcW w:type="dxa" w:w="1872"/>
            <w:vAlign w:val="center"/>
            <w:tcMar>
              <w:top w:w="80" w:type="dxa"/>
              <w:start w:w="90" w:type="dxa"/>
              <w:bottom w:w="80" w:type="dxa"/>
              <w:end w:w="90" w:type="dxa"/>
            </w:tcMar>
          </w:tcPr>
          <w:p>
            <w:pPr>
              <w:spacing w:after="0" w:line="480" w:lineRule="auto"/>
              <w:jc w:val="center"/>
            </w:pPr>
            <w:r/>
            <w:r>
              <w:rPr>
                <w:rFonts w:ascii="Times New Roman" w:hAnsi="Times New Roman"/>
                <w:b w:val="0"/>
                <w:color w:val="000000"/>
                <w:sz w:val="17"/>
              </w:rPr>
              <w:t>75.0</w:t>
            </w:r>
          </w:p>
        </w:tc>
        <w:tc>
          <w:tcPr>
            <w:tcW w:type="dxa" w:w="1872"/>
            <w:vAlign w:val="center"/>
            <w:tcMar>
              <w:top w:w="80" w:type="dxa"/>
              <w:start w:w="90" w:type="dxa"/>
              <w:bottom w:w="80" w:type="dxa"/>
              <w:end w:w="90" w:type="dxa"/>
            </w:tcMar>
          </w:tcPr>
          <w:p>
            <w:pPr>
              <w:spacing w:after="0" w:line="480" w:lineRule="auto"/>
              <w:jc w:val="center"/>
            </w:pPr>
            <w:r/>
            <w:r>
              <w:rPr>
                <w:rFonts w:ascii="Times New Roman" w:hAnsi="Times New Roman"/>
                <w:b w:val="0"/>
                <w:color w:val="000000"/>
                <w:sz w:val="17"/>
              </w:rPr>
              <w:t>0.511893</w:t>
            </w:r>
          </w:p>
        </w:tc>
        <w:tc>
          <w:tcPr>
            <w:tcW w:type="dxa" w:w="1872"/>
            <w:vAlign w:val="center"/>
            <w:tcMar>
              <w:top w:w="80" w:type="dxa"/>
              <w:start w:w="90" w:type="dxa"/>
              <w:bottom w:w="80" w:type="dxa"/>
              <w:end w:w="90" w:type="dxa"/>
            </w:tcMar>
          </w:tcPr>
          <w:p>
            <w:pPr>
              <w:spacing w:after="0" w:line="480" w:lineRule="auto"/>
              <w:jc w:val="center"/>
            </w:pPr>
            <w:r/>
            <w:r>
              <w:rPr>
                <w:rFonts w:ascii="Times New Roman" w:hAnsi="Times New Roman"/>
                <w:b w:val="0"/>
                <w:color w:val="000000"/>
                <w:sz w:val="17"/>
              </w:rPr>
              <w:t>-0.365864</w:t>
            </w:r>
          </w:p>
        </w:tc>
      </w:tr>
    </w:tbl>
    <w:p>
      <w:pPr>
        <w:spacing w:line="480" w:lineRule="auto"/>
      </w:pPr>
    </w:p>
    <w:p>
      <w:pPr>
        <w:keepNext w:val="0"/>
        <w:spacing w:line="480" w:lineRule="auto"/>
        <w:ind w:firstLine="317"/>
        <w:jc w:val="both"/>
      </w:pPr>
      <w:r>
        <w:rPr>
          <w:rFonts w:ascii="Times New Roman" w:hAnsi="Times New Roman"/>
          <w:b w:val="0"/>
          <w:i w:val="0"/>
          <w:color w:val="000000"/>
          <w:sz w:val="22"/>
        </w:rPr>
        <w:t>LCB often changes the selected point yet has negative mean immediate-utility differences in all three source-history groups. EI and PI effects depend on the state-generating history; a different choice does not automatically provide immediate gain. The small normalized effects must not be described as a large engineering improvement: training standard deviations range from 7.332e5 to 9.122e8, reflecting high-compliance designs. This is a bounded immediate diagnostic, not evidence for rejecting uncertainty-based exploration. The next experiment explicitly assesses longer horizons under different physical loads.</w:t>
      </w:r>
    </w:p>
    <w:p>
      <w:pPr>
        <w:pStyle w:val="Heading2"/>
        <w:keepNext/>
        <w:spacing w:line="480" w:lineRule="auto"/>
        <w:jc w:val="left"/>
      </w:pPr>
      <w:r>
        <w:rPr>
          <w:rFonts w:ascii="Times New Roman" w:hAnsi="Times New Roman"/>
          <w:b/>
          <w:i/>
          <w:color w:val="000000"/>
          <w:sz w:val="22"/>
        </w:rPr>
        <w:t>6.4 Recorded verdict for the acquisition rules</w:t>
      </w:r>
    </w:p>
    <w:p>
      <w:pPr>
        <w:keepNext w:val="0"/>
        <w:spacing w:line="480" w:lineRule="auto"/>
        <w:ind w:firstLine="317"/>
        <w:jc w:val="both"/>
      </w:pPr>
      <w:r>
        <w:rPr>
          <w:rFonts w:ascii="Times New Roman" w:hAnsi="Times New Roman"/>
          <w:b w:val="0"/>
          <w:i w:val="0"/>
          <w:color w:val="000000"/>
          <w:sz w:val="22"/>
        </w:rPr>
        <w:t>The frozen-state records also carry the material for a promotion verdict, so the audit does not end at a critique of the residual controller. The rule applied here is illustrative and is written after the records existed: a control is promoted when it changes the selected point by at least 20% of states in two or more source histories, its mean immediate utility never falls below the mean-selection control, and its held-out endpoint under the shared initialization lies below that control at the same budget; a control whose utility falls below mean selection in every history is stopped; any other outcome is held for revision.</w:t>
      </w:r>
    </w:p>
    <w:p>
      <w:pPr>
        <w:keepNext w:val="0"/>
        <w:spacing w:line="480" w:lineRule="auto"/>
        <w:ind w:firstLine="317"/>
        <w:jc w:val="both"/>
      </w:pPr>
      <w:r>
        <w:rPr>
          <w:rFonts w:ascii="Times New Roman" w:hAnsi="Times New Roman"/>
          <w:b w:val="0"/>
          <w:i w:val="0"/>
          <w:color w:val="000000"/>
          <w:sz w:val="22"/>
        </w:rPr>
        <w:t>GP-PI satisfies all three conditions. It changes 25.0% and 35.0% of selected points in the EI and UCB histories, its mean immediate utility is 0.900e-6, 0.347e-6 and 1.179e-6 in the three histories, the corresponding differences from mean selection are 0.000, 0.000 and +0.301e-6, and its closed-loop endpoint is 1233.1 against 1445.1 for the mean-selection rule. GP-UCB fails the second and third conditions: its utility difference is negative in all three histories (-0.900e-6, -0.347e-6 and -0.366e-6) and its endpoint is 2308.7, so it is stopped. GP-EI is held for revision: its utility difference is negative in the PI history (-0.347e-6) and its endpoint is 2308.5.</w:t>
      </w:r>
    </w:p>
    <w:p>
      <w:pPr>
        <w:keepNext w:val="0"/>
        <w:spacing w:line="480" w:lineRule="auto"/>
        <w:ind w:firstLine="317"/>
        <w:jc w:val="both"/>
      </w:pPr>
      <w:r>
        <w:rPr>
          <w:rFonts w:ascii="Times New Roman" w:hAnsi="Times New Roman"/>
          <w:b w:val="0"/>
          <w:i w:val="0"/>
          <w:color w:val="000000"/>
          <w:sz w:val="22"/>
        </w:rPr>
        <w:t>The per-history utility and the three criteria are released with the other measured records (see Data availability). This is the positive case the framework requires, with its scope stated: a candidate-dependent acquisition rule receives an affirmative verdict from recorded evidence and a plausible alternative is rejected, without an additional physical solve. The verdict is retrospective on frozen records, it is not a pre-registered promotion test, the thresholds are illustrative, and no policy was selected for the paper's comparisons by applying it. It also remains limited to the frozen states, the four-checkpoint utility metric and one design family.</w:t>
      </w:r>
    </w:p>
    <w:p>
      <w:pPr>
        <w:pStyle w:val="Heading2"/>
        <w:keepNext/>
        <w:spacing w:line="480" w:lineRule="auto"/>
        <w:jc w:val="left"/>
      </w:pPr>
      <w:r>
        <w:rPr>
          <w:rFonts w:ascii="Times New Roman" w:hAnsi="Times New Roman"/>
          <w:b/>
          <w:i/>
          <w:color w:val="000000"/>
          <w:sz w:val="22"/>
        </w:rPr>
        <w:t>6.5 Longer-horizon policies, load-position transfer and total cost</w:t>
      </w:r>
    </w:p>
    <w:p>
      <w:pPr>
        <w:keepNext w:val="0"/>
        <w:spacing w:line="480" w:lineRule="auto"/>
        <w:ind w:firstLine="317"/>
        <w:jc w:val="both"/>
      </w:pPr>
      <w:r>
        <w:rPr>
          <w:rFonts w:ascii="Times New Roman" w:hAnsi="Times New Roman"/>
          <w:b w:val="0"/>
          <w:i w:val="0"/>
          <w:color w:val="000000"/>
          <w:sz w:val="22"/>
        </w:rPr>
        <w:t>The separately frozen protocol at commit 7555d58b145a2c44b73bab5ec47d0f643a57dde1 changes the top-edge downward-force position from 0.0 to 0.25 and 0.75. Each condition has ten fresh, paired Sobol initializations of 58 designs. Material, supports, 100-by-50 FE mesh, dimension 19 and volume fraction 0.35 are unchanged. These are two previously untested physical conditions within one beam family, not independent engineering application domains.</w:t>
      </w:r>
    </w:p>
    <w:p>
      <w:pPr>
        <w:keepNext w:val="0"/>
        <w:spacing w:line="480" w:lineRule="auto"/>
        <w:ind w:firstLine="317"/>
        <w:jc w:val="both"/>
      </w:pPr>
      <w:r>
        <w:rPr>
          <w:rFonts w:ascii="Times New Roman" w:hAnsi="Times New Roman"/>
          <w:b w:val="0"/>
          <w:i w:val="0"/>
          <w:color w:val="000000"/>
          <w:sz w:val="22"/>
        </w:rPr>
        <w:t>All four transfer policies share an isotropic Matérn-5/2 GP and the same candidate seeds at a given phase and step. The GP is refitted with deterministic bounded limited-memory Broyden-Fletcher-Goldfarb-Shanno optimization (L-BFGS-B), at most 100 iterations and no restarts; alpha=1e-6, normalized targets, constant bounds [0.05, 20], length-scale bounds [0.005, 2], and initial length scale 0.2. A 1,024-point Sobol pool excludes already observed points. EI and PI both use a 0.01-scaled improvement margin; LCB retains kappa=2. This controlled implementation differs from the frozen ARD posterior and larger augmented pool in Section 6.3, and from the historical GP optimizer. Consequently, these outcomes cannot be attributed solely to moving the force or interpreted as exact reproductions of Table 5.</w:t>
      </w:r>
    </w:p>
    <w:p>
      <w:pPr>
        <w:keepNext w:val="0"/>
        <w:spacing w:line="480" w:lineRule="auto"/>
        <w:ind w:firstLine="317"/>
        <w:jc w:val="both"/>
      </w:pPr>
      <w:r>
        <w:rPr>
          <w:rFonts w:ascii="Times New Roman" w:hAnsi="Times New Roman"/>
          <w:b w:val="0"/>
          <w:i w:val="0"/>
          <w:color w:val="000000"/>
          <w:sz w:val="22"/>
        </w:rPr>
        <w:t>For each repeat the audited-selection workflow actually pays for 58 initial responses, four 20-step pilots, and 142 further evaluations of the pilot-selected policy. Its total is 280 calls. Selection is written before validation; exact pilot-end ties use PI, mean, EI, LCB priority. The selected policy is validated from only the initial archive, with a candidate-seed namespace separate from the pilots. The comparison workflow separately pays for the same 58 initial designs and all four 142-step continuations, totaling 626 calls. Deterministic duplicates between workflows are queried again and counted. Each fixed member of the portfolio represents a 200-call alternative, not a free post hoc choice of its best member.</w:t>
      </w:r>
    </w:p>
    <w:p>
      <w:pPr>
        <w:keepNext w:val="0"/>
        <w:spacing w:line="480" w:lineRule="auto"/>
        <w:ind w:firstLine="317"/>
        <w:jc w:val="both"/>
      </w:pPr>
      <w:r>
        <w:rPr>
          <w:rFonts w:ascii="Times New Roman" w:hAnsi="Times New Roman"/>
          <w:b w:val="0"/>
          <w:i w:val="0"/>
          <w:color w:val="000000"/>
          <w:sz w:val="22"/>
        </w:rPr>
        <w:t>Every condition/policy has zero median improvement at its first pilot action, whereas 20-step median improvement is positive. For LCB it is 2.514% and 3.649% in the two conditions; four of ten repeats in each condition improve after a zero-gain first action. This provides a concrete reason to keep delayed policy assessment separate from immediate screening. It measures diverging policy histories, not the isolated causal effect of a first action under a fixed continuation.</w:t>
      </w:r>
    </w:p>
    <w:p>
      <w:pPr>
        <w:keepNext/>
        <w:spacing w:line="480" w:lineRule="auto"/>
        <w:jc w:val="center"/>
      </w:pPr>
      <w:r>
        <w:rPr>
          <w:rFonts w:ascii="Times New Roman" w:hAnsi="Times New Roman"/>
          <w:color w:val="000000"/>
          <w:sz w:val="20"/>
        </w:rPr>
        <w:t>Table 7: Independent selected-policy validation and complete-portfolio comparison. Compliance is lower-is-better. Each compliance column is a median across ten repeats; the gap is the median of paired percent ratios, not a ratio of medians. Selected-policy validation uses 200 algorithm observations but 280 paid workflow calls including pilots; the portfolio pays 626.</w:t>
      </w:r>
    </w:p>
    <w:tbl>
      <w:tblPr>
        <w:tblW w:type="auto" w:w="0"/>
        <w:jc w:val="center"/>
        <w:tblLayout w:type="autofit"/>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Pr>
      <w:tblGrid>
        <w:gridCol w:w="1560"/>
        <w:gridCol w:w="1560"/>
        <w:gridCol w:w="1560"/>
        <w:gridCol w:w="1560"/>
        <w:gridCol w:w="1560"/>
        <w:gridCol w:w="1560"/>
      </w:tblGrid>
      <w:tr>
        <w:trPr>
          <w:tblHeader w:val="true"/>
          <w:cantSplit/>
        </w:trPr>
        <w:tc>
          <w:tcPr>
            <w:tcW w:type="dxa" w:w="1560"/>
            <w:vAlign w:val="center"/>
            <w:tcMar>
              <w:top w:w="80" w:type="dxa"/>
              <w:start w:w="90" w:type="dxa"/>
              <w:bottom w:w="80" w:type="dxa"/>
              <w:end w:w="90" w:type="dxa"/>
            </w:tcMar>
            <w:shd w:fill="1F4E78"/>
          </w:tcPr>
          <w:p>
            <w:pPr>
              <w:spacing w:after="0" w:line="480" w:lineRule="auto"/>
              <w:jc w:val="left"/>
            </w:pPr>
            <w:r/>
            <w:r>
              <w:rPr>
                <w:rFonts w:ascii="Times New Roman" w:hAnsi="Times New Roman"/>
                <w:b/>
                <w:color w:val="FFFFFF"/>
                <w:sz w:val="17"/>
              </w:rPr>
              <w:t>Force position</w:t>
            </w:r>
          </w:p>
        </w:tc>
        <w:tc>
          <w:tcPr>
            <w:tcW w:type="dxa" w:w="1560"/>
            <w:vAlign w:val="center"/>
            <w:tcMar>
              <w:top w:w="80" w:type="dxa"/>
              <w:start w:w="90" w:type="dxa"/>
              <w:bottom w:w="80" w:type="dxa"/>
              <w:end w:w="90" w:type="dxa"/>
            </w:tcMar>
            <w:shd w:fill="1F4E78"/>
          </w:tcPr>
          <w:p>
            <w:pPr>
              <w:spacing w:after="0" w:line="480" w:lineRule="auto"/>
              <w:jc w:val="center"/>
            </w:pPr>
            <w:r/>
            <w:r>
              <w:rPr>
                <w:rFonts w:ascii="Times New Roman" w:hAnsi="Times New Roman"/>
                <w:b/>
                <w:color w:val="FFFFFF"/>
                <w:sz w:val="17"/>
              </w:rPr>
              <w:t>Initial compliance</w:t>
            </w:r>
          </w:p>
        </w:tc>
        <w:tc>
          <w:tcPr>
            <w:tcW w:type="dxa" w:w="1560"/>
            <w:vAlign w:val="center"/>
            <w:tcMar>
              <w:top w:w="80" w:type="dxa"/>
              <w:start w:w="90" w:type="dxa"/>
              <w:bottom w:w="80" w:type="dxa"/>
              <w:end w:w="90" w:type="dxa"/>
            </w:tcMar>
            <w:shd w:fill="1F4E78"/>
          </w:tcPr>
          <w:p>
            <w:pPr>
              <w:spacing w:after="0" w:line="480" w:lineRule="auto"/>
              <w:jc w:val="center"/>
            </w:pPr>
            <w:r/>
            <w:r>
              <w:rPr>
                <w:rFonts w:ascii="Times New Roman" w:hAnsi="Times New Roman"/>
                <w:b/>
                <w:color w:val="FFFFFF"/>
                <w:sz w:val="17"/>
              </w:rPr>
              <w:t>Selected-policy compliance</w:t>
            </w:r>
          </w:p>
        </w:tc>
        <w:tc>
          <w:tcPr>
            <w:tcW w:type="dxa" w:w="1560"/>
            <w:vAlign w:val="center"/>
            <w:tcMar>
              <w:top w:w="80" w:type="dxa"/>
              <w:start w:w="90" w:type="dxa"/>
              <w:bottom w:w="80" w:type="dxa"/>
              <w:end w:w="90" w:type="dxa"/>
            </w:tcMar>
            <w:shd w:fill="1F4E78"/>
          </w:tcPr>
          <w:p>
            <w:pPr>
              <w:spacing w:after="0" w:line="480" w:lineRule="auto"/>
              <w:jc w:val="center"/>
            </w:pPr>
            <w:r/>
            <w:r>
              <w:rPr>
                <w:rFonts w:ascii="Times New Roman" w:hAnsi="Times New Roman"/>
                <w:b/>
                <w:color w:val="FFFFFF"/>
                <w:sz w:val="17"/>
              </w:rPr>
              <w:t>Portfolio-best compliance</w:t>
            </w:r>
          </w:p>
        </w:tc>
        <w:tc>
          <w:tcPr>
            <w:tcW w:type="dxa" w:w="1560"/>
            <w:vAlign w:val="center"/>
            <w:tcMar>
              <w:top w:w="80" w:type="dxa"/>
              <w:start w:w="90" w:type="dxa"/>
              <w:bottom w:w="80" w:type="dxa"/>
              <w:end w:w="90" w:type="dxa"/>
            </w:tcMar>
            <w:shd w:fill="1F4E78"/>
          </w:tcPr>
          <w:p>
            <w:pPr>
              <w:spacing w:after="0" w:line="480" w:lineRule="auto"/>
              <w:jc w:val="center"/>
            </w:pPr>
            <w:r/>
            <w:r>
              <w:rPr>
                <w:rFonts w:ascii="Times New Roman" w:hAnsi="Times New Roman"/>
                <w:b/>
                <w:color w:val="FFFFFF"/>
                <w:sz w:val="17"/>
              </w:rPr>
              <w:t>Paired gap (%)</w:t>
            </w:r>
          </w:p>
        </w:tc>
        <w:tc>
          <w:tcPr>
            <w:tcW w:type="dxa" w:w="1560"/>
            <w:vAlign w:val="center"/>
            <w:tcMar>
              <w:top w:w="80" w:type="dxa"/>
              <w:start w:w="90" w:type="dxa"/>
              <w:bottom w:w="80" w:type="dxa"/>
              <w:end w:w="90" w:type="dxa"/>
            </w:tcMar>
            <w:shd w:fill="1F4E78"/>
          </w:tcPr>
          <w:p>
            <w:pPr>
              <w:spacing w:after="0" w:line="480" w:lineRule="auto"/>
              <w:jc w:val="center"/>
            </w:pPr>
            <w:r/>
            <w:r>
              <w:rPr>
                <w:rFonts w:ascii="Times New Roman" w:hAnsi="Times New Roman"/>
                <w:b/>
                <w:color w:val="FFFFFF"/>
                <w:sz w:val="17"/>
              </w:rPr>
              <w:t>Exact best matches</w:t>
            </w:r>
          </w:p>
        </w:tc>
      </w:tr>
      <w:tr>
        <w:trPr>
          <w:cantSplit/>
        </w:trPr>
        <w:tc>
          <w:tcPr>
            <w:tcW w:type="dxa" w:w="1560"/>
            <w:vAlign w:val="center"/>
            <w:tcMar>
              <w:top w:w="80" w:type="dxa"/>
              <w:start w:w="90" w:type="dxa"/>
              <w:bottom w:w="80" w:type="dxa"/>
              <w:end w:w="90" w:type="dxa"/>
            </w:tcMar>
          </w:tcPr>
          <w:p>
            <w:pPr>
              <w:spacing w:after="0" w:line="480" w:lineRule="auto"/>
              <w:jc w:val="left"/>
            </w:pPr>
            <w:r/>
            <w:r>
              <w:rPr>
                <w:rFonts w:ascii="Times New Roman" w:hAnsi="Times New Roman"/>
                <w:b w:val="0"/>
                <w:color w:val="000000"/>
                <w:sz w:val="17"/>
              </w:rPr>
              <w:t>0.25</w:t>
            </w:r>
          </w:p>
        </w:tc>
        <w:tc>
          <w:tcPr>
            <w:tcW w:type="dxa" w:w="1560"/>
            <w:vAlign w:val="center"/>
            <w:tcMar>
              <w:top w:w="80" w:type="dxa"/>
              <w:start w:w="90" w:type="dxa"/>
              <w:bottom w:w="80" w:type="dxa"/>
              <w:end w:w="90" w:type="dxa"/>
            </w:tcMar>
          </w:tcPr>
          <w:p>
            <w:pPr>
              <w:spacing w:after="0" w:line="480" w:lineRule="auto"/>
              <w:jc w:val="center"/>
            </w:pPr>
            <w:r/>
            <w:r>
              <w:rPr>
                <w:rFonts w:ascii="Times New Roman" w:hAnsi="Times New Roman"/>
                <w:b w:val="0"/>
                <w:color w:val="000000"/>
                <w:sz w:val="17"/>
              </w:rPr>
              <w:t>1608.5</w:t>
            </w:r>
          </w:p>
        </w:tc>
        <w:tc>
          <w:tcPr>
            <w:tcW w:type="dxa" w:w="1560"/>
            <w:vAlign w:val="center"/>
            <w:tcMar>
              <w:top w:w="80" w:type="dxa"/>
              <w:start w:w="90" w:type="dxa"/>
              <w:bottom w:w="80" w:type="dxa"/>
              <w:end w:w="90" w:type="dxa"/>
            </w:tcMar>
          </w:tcPr>
          <w:p>
            <w:pPr>
              <w:spacing w:after="0" w:line="480" w:lineRule="auto"/>
              <w:jc w:val="center"/>
            </w:pPr>
            <w:r/>
            <w:r>
              <w:rPr>
                <w:rFonts w:ascii="Times New Roman" w:hAnsi="Times New Roman"/>
                <w:b w:val="0"/>
                <w:color w:val="000000"/>
                <w:sz w:val="17"/>
              </w:rPr>
              <w:t>1172.5</w:t>
            </w:r>
          </w:p>
        </w:tc>
        <w:tc>
          <w:tcPr>
            <w:tcW w:type="dxa" w:w="1560"/>
            <w:vAlign w:val="center"/>
            <w:tcMar>
              <w:top w:w="80" w:type="dxa"/>
              <w:start w:w="90" w:type="dxa"/>
              <w:bottom w:w="80" w:type="dxa"/>
              <w:end w:w="90" w:type="dxa"/>
            </w:tcMar>
          </w:tcPr>
          <w:p>
            <w:pPr>
              <w:spacing w:after="0" w:line="480" w:lineRule="auto"/>
              <w:jc w:val="center"/>
            </w:pPr>
            <w:r/>
            <w:r>
              <w:rPr>
                <w:rFonts w:ascii="Times New Roman" w:hAnsi="Times New Roman"/>
                <w:b w:val="0"/>
                <w:color w:val="000000"/>
                <w:sz w:val="17"/>
              </w:rPr>
              <w:t>943.2</w:t>
            </w:r>
          </w:p>
        </w:tc>
        <w:tc>
          <w:tcPr>
            <w:tcW w:type="dxa" w:w="1560"/>
            <w:vAlign w:val="center"/>
            <w:tcMar>
              <w:top w:w="80" w:type="dxa"/>
              <w:start w:w="90" w:type="dxa"/>
              <w:bottom w:w="80" w:type="dxa"/>
              <w:end w:w="90" w:type="dxa"/>
            </w:tcMar>
          </w:tcPr>
          <w:p>
            <w:pPr>
              <w:spacing w:after="0" w:line="480" w:lineRule="auto"/>
              <w:jc w:val="center"/>
            </w:pPr>
            <w:r/>
            <w:r>
              <w:rPr>
                <w:rFonts w:ascii="Times New Roman" w:hAnsi="Times New Roman"/>
                <w:b w:val="0"/>
                <w:color w:val="000000"/>
                <w:sz w:val="17"/>
              </w:rPr>
              <w:t>9.014</w:t>
            </w:r>
          </w:p>
        </w:tc>
        <w:tc>
          <w:tcPr>
            <w:tcW w:type="dxa" w:w="1560"/>
            <w:vAlign w:val="center"/>
            <w:tcMar>
              <w:top w:w="80" w:type="dxa"/>
              <w:start w:w="90" w:type="dxa"/>
              <w:bottom w:w="80" w:type="dxa"/>
              <w:end w:w="90" w:type="dxa"/>
            </w:tcMar>
          </w:tcPr>
          <w:p>
            <w:pPr>
              <w:spacing w:after="0" w:line="480" w:lineRule="auto"/>
              <w:jc w:val="center"/>
            </w:pPr>
            <w:r/>
            <w:r>
              <w:rPr>
                <w:rFonts w:ascii="Times New Roman" w:hAnsi="Times New Roman"/>
                <w:b w:val="0"/>
                <w:color w:val="000000"/>
                <w:sz w:val="17"/>
              </w:rPr>
              <w:t>4/10</w:t>
            </w:r>
          </w:p>
        </w:tc>
      </w:tr>
      <w:tr>
        <w:trPr>
          <w:cantSplit/>
        </w:trPr>
        <w:tc>
          <w:tcPr>
            <w:tcW w:type="dxa" w:w="1560"/>
            <w:vAlign w:val="center"/>
            <w:tcMar>
              <w:top w:w="80" w:type="dxa"/>
              <w:start w:w="90" w:type="dxa"/>
              <w:bottom w:w="80" w:type="dxa"/>
              <w:end w:w="90" w:type="dxa"/>
            </w:tcMar>
            <w:shd w:fill="EAF2F8"/>
          </w:tcPr>
          <w:p>
            <w:pPr>
              <w:spacing w:after="0" w:line="480" w:lineRule="auto"/>
              <w:jc w:val="left"/>
            </w:pPr>
            <w:r/>
            <w:r>
              <w:rPr>
                <w:rFonts w:ascii="Times New Roman" w:hAnsi="Times New Roman"/>
                <w:b w:val="0"/>
                <w:color w:val="000000"/>
                <w:sz w:val="17"/>
              </w:rPr>
              <w:t>0.75</w:t>
            </w:r>
          </w:p>
        </w:tc>
        <w:tc>
          <w:tcPr>
            <w:tcW w:type="dxa" w:w="1560"/>
            <w:vAlign w:val="center"/>
            <w:tcMar>
              <w:top w:w="80" w:type="dxa"/>
              <w:start w:w="90" w:type="dxa"/>
              <w:bottom w:w="80" w:type="dxa"/>
              <w:end w:w="90" w:type="dxa"/>
            </w:tcMar>
            <w:shd w:fill="EAF2F8"/>
          </w:tcPr>
          <w:p>
            <w:pPr>
              <w:spacing w:after="0" w:line="480" w:lineRule="auto"/>
              <w:jc w:val="center"/>
            </w:pPr>
            <w:r/>
            <w:r>
              <w:rPr>
                <w:rFonts w:ascii="Times New Roman" w:hAnsi="Times New Roman"/>
                <w:b w:val="0"/>
                <w:color w:val="000000"/>
                <w:sz w:val="17"/>
              </w:rPr>
              <w:t>700.7</w:t>
            </w:r>
          </w:p>
        </w:tc>
        <w:tc>
          <w:tcPr>
            <w:tcW w:type="dxa" w:w="1560"/>
            <w:vAlign w:val="center"/>
            <w:tcMar>
              <w:top w:w="80" w:type="dxa"/>
              <w:start w:w="90" w:type="dxa"/>
              <w:bottom w:w="80" w:type="dxa"/>
              <w:end w:w="90" w:type="dxa"/>
            </w:tcMar>
            <w:shd w:fill="EAF2F8"/>
          </w:tcPr>
          <w:p>
            <w:pPr>
              <w:spacing w:after="0" w:line="480" w:lineRule="auto"/>
              <w:jc w:val="center"/>
            </w:pPr>
            <w:r/>
            <w:r>
              <w:rPr>
                <w:rFonts w:ascii="Times New Roman" w:hAnsi="Times New Roman"/>
                <w:b w:val="0"/>
                <w:color w:val="000000"/>
                <w:sz w:val="17"/>
              </w:rPr>
              <w:t>406.4</w:t>
            </w:r>
          </w:p>
        </w:tc>
        <w:tc>
          <w:tcPr>
            <w:tcW w:type="dxa" w:w="1560"/>
            <w:vAlign w:val="center"/>
            <w:tcMar>
              <w:top w:w="80" w:type="dxa"/>
              <w:start w:w="90" w:type="dxa"/>
              <w:bottom w:w="80" w:type="dxa"/>
              <w:end w:w="90" w:type="dxa"/>
            </w:tcMar>
            <w:shd w:fill="EAF2F8"/>
          </w:tcPr>
          <w:p>
            <w:pPr>
              <w:spacing w:after="0" w:line="480" w:lineRule="auto"/>
              <w:jc w:val="center"/>
            </w:pPr>
            <w:r/>
            <w:r>
              <w:rPr>
                <w:rFonts w:ascii="Times New Roman" w:hAnsi="Times New Roman"/>
                <w:b w:val="0"/>
                <w:color w:val="000000"/>
                <w:sz w:val="17"/>
              </w:rPr>
              <w:t>320.6</w:t>
            </w:r>
          </w:p>
        </w:tc>
        <w:tc>
          <w:tcPr>
            <w:tcW w:type="dxa" w:w="1560"/>
            <w:vAlign w:val="center"/>
            <w:tcMar>
              <w:top w:w="80" w:type="dxa"/>
              <w:start w:w="90" w:type="dxa"/>
              <w:bottom w:w="80" w:type="dxa"/>
              <w:end w:w="90" w:type="dxa"/>
            </w:tcMar>
            <w:shd w:fill="EAF2F8"/>
          </w:tcPr>
          <w:p>
            <w:pPr>
              <w:spacing w:after="0" w:line="480" w:lineRule="auto"/>
              <w:jc w:val="center"/>
            </w:pPr>
            <w:r/>
            <w:r>
              <w:rPr>
                <w:rFonts w:ascii="Times New Roman" w:hAnsi="Times New Roman"/>
                <w:b w:val="0"/>
                <w:color w:val="000000"/>
                <w:sz w:val="17"/>
              </w:rPr>
              <w:t>27.217</w:t>
            </w:r>
          </w:p>
        </w:tc>
        <w:tc>
          <w:tcPr>
            <w:tcW w:type="dxa" w:w="1560"/>
            <w:vAlign w:val="center"/>
            <w:tcMar>
              <w:top w:w="80" w:type="dxa"/>
              <w:start w:w="90" w:type="dxa"/>
              <w:bottom w:w="80" w:type="dxa"/>
              <w:end w:w="90" w:type="dxa"/>
            </w:tcMar>
            <w:shd w:fill="EAF2F8"/>
          </w:tcPr>
          <w:p>
            <w:pPr>
              <w:spacing w:after="0" w:line="480" w:lineRule="auto"/>
              <w:jc w:val="center"/>
            </w:pPr>
            <w:r/>
            <w:r>
              <w:rPr>
                <w:rFonts w:ascii="Times New Roman" w:hAnsi="Times New Roman"/>
                <w:b w:val="0"/>
                <w:color w:val="000000"/>
                <w:sz w:val="17"/>
              </w:rPr>
              <w:t>3/10</w:t>
            </w:r>
          </w:p>
        </w:tc>
      </w:tr>
    </w:tbl>
    <w:p>
      <w:pPr>
        <w:spacing w:line="480" w:lineRule="auto"/>
      </w:pPr>
    </w:p>
    <w:p>
      <w:pPr>
        <w:keepNext w:val="0"/>
        <w:spacing w:line="480" w:lineRule="auto"/>
        <w:ind w:firstLine="317"/>
        <w:jc w:val="both"/>
      </w:pPr>
      <w:r>
        <w:rPr>
          <w:rFonts w:ascii="Times New Roman" w:hAnsi="Times New Roman"/>
          <w:b w:val="0"/>
          <w:i w:val="0"/>
          <w:color w:val="000000"/>
          <w:sz w:val="22"/>
        </w:rPr>
        <w:t>The selected policy matches the independently executed portfolio-best endpoint in seven of twenty repeats. Its paired median gaps are 9.014% and 27.217%, and the corresponding maxima are 83.067% and 289.223%. Pilot-end ties occur in seven and four repeats, so frequent PI selection is partly a consequence of the declared tie rule and must not be reported as strong empirical selection evidence. Compared with fixed PI, the selected workflow wins/ties/loses in 1/6/3 and 1/8/1 repeats; it makes 40% more calls than every fixed 200-call policy. Against the explicitly executed full portfolio it makes 55.272% fewer calls, accompanied by the disclosed endpoint losses. These counts do not establish universal savings, equivalence, or a performance-preserving deployment gate.</w:t>
      </w:r>
    </w:p>
    <w:p>
      <w:pPr>
        <w:keepNext/>
        <w:spacing w:line="480" w:lineRule="auto"/>
        <w:jc w:val="center"/>
      </w:pPr>
      <w:r>
        <w:drawing>
          <wp:inline xmlns:a="http://schemas.openxmlformats.org/drawingml/2006/main" xmlns:pic="http://schemas.openxmlformats.org/drawingml/2006/picture">
            <wp:extent cx="5760720" cy="1958645"/>
            <wp:docPr id="6" name="Picture 6" descr="Cost and performance of the independently executed beam transfer workflows."/>
            <wp:cNvGraphicFramePr>
              <a:graphicFrameLocks noChangeAspect="1"/>
            </wp:cNvGraphicFramePr>
            <a:graphic>
              <a:graphicData uri="http://schemas.openxmlformats.org/drawingml/2006/picture">
                <pic:pic>
                  <pic:nvPicPr>
                    <pic:cNvPr id="0" name="transfer_cost_performance.png"/>
                    <pic:cNvPicPr/>
                  </pic:nvPicPr>
                  <pic:blipFill>
                    <a:blip r:embed="rId15"/>
                    <a:stretch>
                      <a:fillRect/>
                    </a:stretch>
                  </pic:blipFill>
                  <pic:spPr>
                    <a:xfrm>
                      <a:off x="0" y="0"/>
                      <a:ext cx="5760720" cy="1958645"/>
                    </a:xfrm>
                    <a:prstGeom prst="rect"/>
                  </pic:spPr>
                </pic:pic>
              </a:graphicData>
            </a:graphic>
          </wp:inline>
        </w:drawing>
      </w:r>
    </w:p>
    <w:p>
      <w:pPr>
        <w:keepNext w:val="0"/>
        <w:spacing w:line="480" w:lineRule="auto"/>
        <w:jc w:val="center"/>
      </w:pPr>
      <w:r>
        <w:rPr>
          <w:rFonts w:ascii="Times New Roman" w:hAnsi="Times New Roman"/>
          <w:color w:val="000000"/>
          <w:sz w:val="20"/>
        </w:rPr>
        <w:t>Figure 6: Cost and performance of the independently executed beam transfer workflows.</w:t>
      </w:r>
    </w:p>
    <w:p>
      <w:pPr>
        <w:keepNext w:val="0"/>
        <w:spacing w:line="480" w:lineRule="auto"/>
        <w:ind w:firstLine="317"/>
        <w:jc w:val="both"/>
      </w:pPr>
      <w:r>
        <w:rPr>
          <w:rFonts w:ascii="Times New Roman" w:hAnsi="Times New Roman"/>
          <w:b w:val="0"/>
          <w:i w:val="0"/>
          <w:color w:val="000000"/>
          <w:sz w:val="22"/>
        </w:rPr>
        <w:t>Figure 6 reports median initial-incumbent improvement and interquartile ranges together with the actual per-repeat call requirement. Each panel is one force position, the vertical axis is improvement from the initial incumbent in percent, and the six positions on the horizontal axis are the four fixed policies at 200 calls, the pilot-selected policy at 280 calls and the executed four-policy portfolio at 626 calls; the selected and portfolio markers are distinguished by colour from the fixed policies. Selected-policy performance is the prespecified validation endpoint; pilot outcomes are excluded from its training. Portfolio performance is the best of all four paid members and is not a 200-call oracle baseline.</w:t>
      </w:r>
    </w:p>
    <w:p>
      <w:pPr>
        <w:keepNext w:val="0"/>
        <w:spacing w:line="480" w:lineRule="auto"/>
        <w:ind w:firstLine="317"/>
        <w:jc w:val="both"/>
      </w:pPr>
      <w:r>
        <w:rPr>
          <w:rFonts w:ascii="Times New Roman" w:hAnsi="Times New Roman"/>
          <w:b w:val="0"/>
          <w:i w:val="0"/>
          <w:color w:val="000000"/>
          <w:sz w:val="22"/>
        </w:rPr>
        <w:t>For practical design use, an engineer could retain a better design found in a pilot. A secondary analysis therefore also reports the best among every design paid for by the audited workflow. Its paired median portfolio gaps are 9.014% and 2.116%, respectively, compared with 9.014% and 27.217% for the prespecified selected-policy endpoint. Both endpoints are disclosed in S10; the secondary result does not replace the selected-policy test or create a retrospectively chosen promotion threshold. The difference shows why an audit must define the performance object as carefully as its cost boundary.</w:t>
      </w:r>
    </w:p>
    <w:p>
      <w:pPr>
        <w:keepNext w:val="0"/>
        <w:spacing w:line="480" w:lineRule="auto"/>
        <w:ind w:firstLine="317"/>
        <w:jc w:val="both"/>
      </w:pPr>
      <w:r>
        <w:rPr>
          <w:rFonts w:ascii="Times New Roman" w:hAnsi="Times New Roman"/>
          <w:b w:val="0"/>
          <w:i w:val="0"/>
          <w:color w:val="000000"/>
          <w:sz w:val="22"/>
        </w:rPr>
        <w:t>The retained transfer ledger contains 18,120 physical attempts and 20,000 full-trajectory algorithm observations across 100 budget 200 continuations, with shared initial observations counted inside each trajectory but paid only once per workflow. Loss of access to the previous complete local transfer journals required an explicit unchanged-protocol recovery; the earlier 18,120 attempts are also counted. Together with the 138 immediate diagnostics and 102 solver checks, this revision has 36,480 additional FE attempts. Recovery responses enter each retained history once. Observed GP and FE component times from the retained execution are reported in S10 and are not exclusive resource measurements or demonstrated production wall-time savings. All added comparisons are descriptive and separate from the original prespecified inferential families.</w:t>
      </w:r>
    </w:p>
    <w:p>
      <w:pPr>
        <w:pStyle w:val="Heading1"/>
        <w:keepNext/>
        <w:spacing w:line="480" w:lineRule="auto"/>
        <w:jc w:val="left"/>
      </w:pPr>
      <w:r>
        <w:rPr>
          <w:rFonts w:ascii="Times New Roman" w:hAnsi="Times New Roman"/>
          <w:b/>
          <w:i w:val="0"/>
          <w:color w:val="000000"/>
          <w:sz w:val="22"/>
        </w:rPr>
        <w:t>7 Discussion and Design Guidance</w:t>
      </w:r>
    </w:p>
    <w:p>
      <w:pPr>
        <w:keepNext w:val="0"/>
        <w:spacing w:line="480" w:lineRule="auto"/>
        <w:ind w:firstLine="317"/>
        <w:jc w:val="both"/>
      </w:pPr>
      <w:r>
        <w:rPr>
          <w:rFonts w:ascii="Times New Roman" w:hAnsi="Times New Roman"/>
          <w:b w:val="0"/>
          <w:i w:val="0"/>
          <w:color w:val="000000"/>
          <w:sz w:val="22"/>
        </w:rPr>
        <w:t>The deterministic and empirical findings answer different questions. Ordering redundancy follows from the stated decision rule and holds whenever the correction is common across supported candidates. The observed performance loss is specific to the tested feedback controller, surrogate, candidates, and budgets. It does not imply that candidate-dependent uncertainty, conformal Bayesian optimization, or all adaptive exploration is ineffective.</w:t>
      </w:r>
    </w:p>
    <w:p>
      <w:pPr>
        <w:keepNext w:val="0"/>
        <w:spacing w:line="480" w:lineRule="auto"/>
        <w:ind w:firstLine="317"/>
        <w:jc w:val="both"/>
      </w:pPr>
      <w:r>
        <w:rPr>
          <w:rFonts w:ascii="Times New Roman" w:hAnsi="Times New Roman"/>
          <w:b w:val="0"/>
          <w:i w:val="0"/>
          <w:color w:val="000000"/>
          <w:sz w:val="22"/>
        </w:rPr>
        <w:t>The results support a staged design procedure for surrogate model management. First, identify the exact route from the monitoring statistic to the decision. If the signal adds a common constant before an argmin, it cannot alter ranking. Second, freeze common states and compare the true utility of the alternative choices. This exposes an unhelpful exploration response before histories diverge. Third, run closed-loop validation on instances not used to select controls or coefficients. Calibration statistics remain useful diagnostics, but they should not serve as substitutes for either decision utility or final objective value.</w:t>
      </w:r>
    </w:p>
    <w:p>
      <w:pPr>
        <w:keepNext w:val="0"/>
        <w:spacing w:line="480" w:lineRule="auto"/>
        <w:ind w:firstLine="317"/>
        <w:jc w:val="both"/>
      </w:pPr>
      <w:r>
        <w:rPr>
          <w:rFonts w:ascii="Times New Roman" w:hAnsi="Times New Roman"/>
          <w:b w:val="0"/>
          <w:i w:val="0"/>
          <w:color w:val="000000"/>
          <w:sz w:val="22"/>
        </w:rPr>
        <w:t>The prototype illustrates why this sequence matters. Its failure fraction is close to 0.1, which could be read as successful monitoring. The same controller increases exploration from about 0.1 to 0.34-0.40, selects candidates with lower immediate improvement, and ends with larger errors. Localized weighting further improves some quantile-loss diagnostics without producing better trajectories. The missing link is not error measurement; it is a rule connecting error information to valuable evaluations.</w:t>
      </w:r>
    </w:p>
    <w:p>
      <w:pPr>
        <w:keepNext w:val="0"/>
        <w:spacing w:line="480" w:lineRule="auto"/>
        <w:ind w:firstLine="317"/>
        <w:jc w:val="both"/>
      </w:pPr>
      <w:r>
        <w:rPr>
          <w:rFonts w:ascii="Times New Roman" w:hAnsi="Times New Roman"/>
          <w:b w:val="0"/>
          <w:i w:val="0"/>
          <w:color w:val="000000"/>
          <w:sz w:val="22"/>
        </w:rPr>
        <w:t>For engineering users, the practical implication is to evaluate the acquisition pathway before paying for large simulation batches. A useful monitor should produce candidate-specific or management-level distinctions whose value can be tested, including delayed value for exploration, search-region changes, restarts, or stopping decisions. Monitoring width or error merely to increase exploration can consume the same number of expensive evaluations in less productive regions. In a finite-element design workflow the procedure identifies, before a large batch is released, which mechanism deserves the solves and which evidence would justify promotion to deployment.</w:t>
      </w:r>
    </w:p>
    <w:p>
      <w:pPr>
        <w:keepNext w:val="0"/>
        <w:spacing w:line="480" w:lineRule="auto"/>
        <w:ind w:firstLine="317"/>
        <w:jc w:val="both"/>
      </w:pPr>
      <w:r>
        <w:rPr>
          <w:rFonts w:ascii="Times New Roman" w:hAnsi="Times New Roman"/>
          <w:b w:val="0"/>
          <w:i w:val="0"/>
          <w:color w:val="000000"/>
          <w:sz w:val="22"/>
        </w:rPr>
        <w:t>The added GP intervention tests the audit on actionable acquisition rules, while the two force-position conditions test finite-horizon policy and selection outcomes within the same beam family. The strongest reusable result is the evidence procedure: identify exact decision classes, pay only for undetermined immediate responses, preserve a label-free intervention boundary, and then disclose both closed-loop endpoints and total cost. The transfer selector illustrates a failure boundary rather than a competitive-optimizer contribution. Its pilot ties, endpoint losses and extra cost relative to fixed policies delimit engineering deployment. Validation on distinct physical model families and competitive warm-start selectors remains outside the evidence.</w:t>
      </w:r>
    </w:p>
    <w:p>
      <w:pPr>
        <w:keepNext w:val="0"/>
        <w:spacing w:line="480" w:lineRule="auto"/>
        <w:ind w:firstLine="317"/>
        <w:jc w:val="both"/>
      </w:pPr>
      <w:r>
        <w:rPr>
          <w:rFonts w:ascii="Times New Roman" w:hAnsi="Times New Roman"/>
          <w:b w:val="0"/>
          <w:i w:val="0"/>
          <w:color w:val="000000"/>
          <w:sz w:val="22"/>
        </w:rPr>
        <w:t>The study has limitations. Residuals originate from changing surrogate models and scales; no exchangeability argument establishes pointwise coverage. Sparse declarations limit conditional reliability statements. The RBF surrogate truncates training data, and the candidate process is one implementation among many. The broad BBOB external-reference batches retain their native initialization, although the finite-element sensitivity analysis removes this difference. The beam study uses a smooth 19-dimensional design family, not unrestricted 5,000-variable topology optimization. Full sensitivity, 300-dimensional, application, resource, and recovery evidence is supplied separately so that these limits remain auditable without dominating the main paper.</w:t>
      </w:r>
    </w:p>
    <w:p>
      <w:pPr>
        <w:pStyle w:val="Heading1"/>
        <w:keepNext/>
        <w:spacing w:line="480" w:lineRule="auto"/>
        <w:jc w:val="left"/>
      </w:pPr>
      <w:r>
        <w:rPr>
          <w:rFonts w:ascii="Times New Roman" w:hAnsi="Times New Roman"/>
          <w:b/>
          <w:i w:val="0"/>
          <w:color w:val="000000"/>
          <w:sz w:val="22"/>
        </w:rPr>
        <w:t>8 Conclusion</w:t>
      </w:r>
    </w:p>
    <w:p>
      <w:pPr>
        <w:keepNext w:val="0"/>
        <w:spacing w:line="480" w:lineRule="auto"/>
        <w:ind w:firstLine="317"/>
        <w:jc w:val="both"/>
      </w:pPr>
      <w:r>
        <w:rPr>
          <w:rFonts w:ascii="Times New Roman" w:hAnsi="Times New Roman"/>
          <w:b w:val="0"/>
          <w:i w:val="0"/>
          <w:color w:val="000000"/>
          <w:sz w:val="22"/>
        </w:rPr>
        <w:t>This study develops a decision-consequence audit for surrogate-assisted optimization and reports what it establishes on recorded evidence. It makes the path from surrogate-derived information to model-management action explicit and requires separate evidence for calibration, decision influence, common-state utility, and closed-loop optimization. The ranking-invariance criterion and prediction-before-label protocol allow structurally redundant mechanisms and information leakage to be identified before large experimental budgets are committed.</w:t>
      </w:r>
    </w:p>
    <w:p>
      <w:pPr>
        <w:keepNext w:val="0"/>
        <w:spacing w:line="480" w:lineRule="auto"/>
        <w:ind w:firstLine="317"/>
        <w:jc w:val="both"/>
      </w:pPr>
      <w:r>
        <w:rPr>
          <w:rFonts w:ascii="Times New Roman" w:hAnsi="Times New Roman"/>
          <w:b w:val="0"/>
          <w:i w:val="0"/>
          <w:color w:val="000000"/>
          <w:sz w:val="22"/>
        </w:rPr>
        <w:t>The temporal residual monitor illustrates the framework rather than defining its scope. Its aggregate failure rate is close to the nominal level, but its candidate-independent correction cannot create a distinct exploitation ranking, its feedback choices have lower immediate utility, and its held-out BBOB and finite-element trajectories do not pass the optimization-benefit gate. The shared-initialization controls sharpen this interpretation: GP-PI, author-code DRSO, and trust-region Bayesian optimization (TuRBO-1) produce strong improvement, whereas GP-EI and fixed-multiplier GP-UCB do not improve the median initial incumbent. These outcomes provide optimizer context; the added frozen-state intervention supplies mechanism-level evidence for the GP acquisition rules. A full decision-level audit of DRSO and TuRBO-1 is not claimed.</w:t>
      </w:r>
    </w:p>
    <w:p>
      <w:pPr>
        <w:keepNext w:val="0"/>
        <w:spacing w:line="480" w:lineRule="auto"/>
        <w:ind w:firstLine="317"/>
        <w:jc w:val="both"/>
      </w:pPr>
      <w:r>
        <w:rPr>
          <w:rFonts w:ascii="Times New Roman" w:hAnsi="Times New Roman"/>
          <w:b w:val="0"/>
          <w:i w:val="0"/>
          <w:color w:val="000000"/>
          <w:sz w:val="22"/>
        </w:rPr>
        <w:t>The framework is intended to support predeployment assessment in expensive engineering optimization. In the tested prototype it prevents calibration statistics from being interpreted as demonstrated optimization value and records the unsupported decision pathway. The GP intervention and force-position study extend the evidence beyond the residual controller: decisions can differ without immediate gain, later policy value can arise after a zero-gain first action, and cheaper selection can lose final performance. The contribution is a reproducible audit of these distinctions and its query-allocation and cost records, not a guarantee of optimization superiority or net savings.</w:t>
      </w:r>
    </w:p>
    <w:p>
      <w:pPr>
        <w:pStyle w:val="Heading2"/>
        <w:keepNext/>
        <w:spacing w:line="480" w:lineRule="auto"/>
        <w:jc w:val="left"/>
      </w:pPr>
      <w:r>
        <w:rPr>
          <w:rFonts w:ascii="Times New Roman" w:hAnsi="Times New Roman"/>
          <w:b/>
          <w:i/>
          <w:color w:val="000000"/>
          <w:sz w:val="22"/>
        </w:rPr>
        <w:t>Declaration of Generative Artificial Intelligence Use</w:t>
      </w:r>
    </w:p>
    <w:p>
      <w:pPr>
        <w:keepNext w:val="0"/>
        <w:spacing w:line="480" w:lineRule="auto"/>
        <w:ind w:firstLine="317"/>
        <w:jc w:val="both"/>
      </w:pPr>
      <w:r>
        <w:rPr>
          <w:rFonts w:ascii="Times New Roman" w:hAnsi="Times New Roman"/>
          <w:b w:val="0"/>
          <w:i w:val="0"/>
          <w:color w:val="000000"/>
          <w:sz w:val="22"/>
        </w:rPr>
        <w:t>DeepSeek V4.1 Flash (version 1017) was used only for copyediting and language refinement to improve spelling, grammar, clarity and flow. It did not draft the manuscript or any section of it, form or conclude the argument, or generate the analysis code or the tables. The authors confirm the originality and accuracy of the content. The authors have checked the terms of use of the tool and confirm that this use is suitable for publication. The authors take full responsibility for the integrity of the whole content, including the accuracy of the references.</w:t>
      </w:r>
    </w:p>
    <w:p>
      <w:pPr>
        <w:pStyle w:val="Heading1"/>
        <w:keepNext/>
        <w:spacing w:line="480" w:lineRule="auto"/>
        <w:jc w:val="left"/>
      </w:pPr>
      <w:r>
        <w:rPr>
          <w:rFonts w:ascii="Times New Roman" w:hAnsi="Times New Roman"/>
          <w:b/>
          <w:i w:val="0"/>
          <w:color w:val="000000"/>
          <w:sz w:val="22"/>
        </w:rPr>
        <w:t>Funding Statement</w:t>
      </w:r>
    </w:p>
    <w:p>
      <w:pPr>
        <w:keepNext w:val="0"/>
        <w:spacing w:line="480" w:lineRule="auto"/>
        <w:ind w:firstLine="317"/>
        <w:jc w:val="both"/>
      </w:pPr>
      <w:r>
        <w:rPr>
          <w:rFonts w:ascii="Times New Roman" w:hAnsi="Times New Roman"/>
          <w:b w:val="0"/>
          <w:i w:val="0"/>
          <w:color w:val="000000"/>
          <w:sz w:val="22"/>
        </w:rPr>
        <w:t>The authors received no specific funding for this study.</w:t>
      </w:r>
    </w:p>
    <w:p>
      <w:pPr>
        <w:pStyle w:val="Heading1"/>
        <w:keepNext/>
        <w:spacing w:line="480" w:lineRule="auto"/>
        <w:jc w:val="left"/>
      </w:pPr>
      <w:r>
        <w:rPr>
          <w:rFonts w:ascii="Times New Roman" w:hAnsi="Times New Roman"/>
          <w:b/>
          <w:i w:val="0"/>
          <w:color w:val="000000"/>
          <w:sz w:val="22"/>
        </w:rPr>
        <w:t>Author Contributions</w:t>
      </w:r>
    </w:p>
    <w:p>
      <w:pPr>
        <w:keepNext w:val="0"/>
        <w:spacing w:line="480" w:lineRule="auto"/>
        <w:ind w:firstLine="317"/>
        <w:jc w:val="both"/>
      </w:pPr>
      <w:r>
        <w:rPr>
          <w:rFonts w:ascii="Times New Roman" w:hAnsi="Times New Roman"/>
          <w:b w:val="0"/>
          <w:i w:val="0"/>
          <w:color w:val="000000"/>
          <w:sz w:val="22"/>
        </w:rPr>
        <w:t>The authors confirm contribution to the paper as follows: conceptualization, Ya-Yu Zhang, Shu-Chuan Chu, and Jeng-Shyang Pan; methodology, Ya-Yu Zhang, Shu-Chuan Chu, and Zhenyu Meng; software, Ya-Yu Zhang; validation, Ya-Yu Zhang, Zhenyu Meng, and Jia Zhao; formal analysis, Ya-Yu Zhang and Zhenyu Meng; investigation, Ya-Yu Zhang and Jia Zhao; resources, Jeng-Shyang Pan; data curation, Ya-Yu Zhang; visualization, Ya-Yu Zhang and Jia Zhao; writing-original draft preparation, Ya-Yu Zhang; writing-review and editing, Ya-Yu Zhang, Shu-Chuan Chu, Zhenyu Meng, Jia Zhao, and Jeng-Shyang Pan; supervision, Shu-Chuan Chu and Jeng-Shyang Pan; project administration, Shu-Chuan Chu. All authors reviewed the results and approved the final version of the manuscript.</w:t>
      </w:r>
    </w:p>
    <w:p>
      <w:pPr>
        <w:pStyle w:val="Heading1"/>
        <w:keepNext/>
        <w:spacing w:line="480" w:lineRule="auto"/>
        <w:jc w:val="left"/>
      </w:pPr>
      <w:r>
        <w:rPr>
          <w:rFonts w:ascii="Times New Roman" w:hAnsi="Times New Roman"/>
          <w:b/>
          <w:i w:val="0"/>
          <w:color w:val="000000"/>
          <w:sz w:val="22"/>
        </w:rPr>
        <w:t>Availability of Data and Materials</w:t>
      </w:r>
    </w:p>
    <w:p>
      <w:pPr>
        <w:keepNext w:val="0"/>
        <w:spacing w:line="480" w:lineRule="auto"/>
        <w:ind w:firstLine="317"/>
        <w:jc w:val="both"/>
      </w:pPr>
      <w:r>
        <w:rPr>
          <w:rFonts w:ascii="Times New Roman" w:hAnsi="Times New Roman"/>
          <w:b w:val="0"/>
          <w:i w:val="0"/>
          <w:color w:val="000000"/>
          <w:sz w:val="22"/>
        </w:rPr>
        <w:t>The manuscript sources, the implementation, the frozen configurations, the dependency records, and the released records supporting the added results will be made publicly available in the project repository https://github.com/ya-yu-zhang/Reliable-Surrogate-Assisted-Optimization-in-Expensive-Engineering-Design upon acceptance. Those records comprise the nine validation contrasts and their function-level components (data/engineering_optimization_bbob_validation_v1), the beam repeat-level endpoints and paired contrasts (data/engineering_optimization_beam_endpoints_v1), and the per-history utility record behind the acquisition verdicts (data/engineering_optimization_gp_verdicts_v1). The same materials are available to reviewers during peer review on request. Original GP input hashes and the required archive checksum are documented. Approximately 13.6 GB of historical raw outputs and full execution archives remain outside the repository; the reported experiments can be regenerated using the documented environments and configurations, and archived raw data are available from the corresponding author upon reasonable request. Public release does not grant an open-source license; third-party implementations and publisher templates retain their own terms.</w:t>
      </w:r>
    </w:p>
    <w:p>
      <w:pPr>
        <w:pStyle w:val="Heading1"/>
        <w:keepNext/>
        <w:spacing w:line="480" w:lineRule="auto"/>
        <w:jc w:val="left"/>
      </w:pPr>
      <w:r>
        <w:rPr>
          <w:rFonts w:ascii="Times New Roman" w:hAnsi="Times New Roman"/>
          <w:b/>
          <w:i w:val="0"/>
          <w:color w:val="000000"/>
          <w:sz w:val="22"/>
        </w:rPr>
        <w:t>Ethics Approval</w:t>
      </w:r>
    </w:p>
    <w:p>
      <w:pPr>
        <w:keepNext w:val="0"/>
        <w:spacing w:line="480" w:lineRule="auto"/>
        <w:ind w:firstLine="317"/>
        <w:jc w:val="both"/>
      </w:pPr>
      <w:r>
        <w:rPr>
          <w:rFonts w:ascii="Times New Roman" w:hAnsi="Times New Roman"/>
          <w:b w:val="0"/>
          <w:i w:val="0"/>
          <w:color w:val="000000"/>
          <w:sz w:val="22"/>
        </w:rPr>
        <w:t>Not applicable. This study did not involve human participants or animals.</w:t>
      </w:r>
    </w:p>
    <w:p>
      <w:pPr>
        <w:pStyle w:val="Heading1"/>
        <w:keepNext/>
        <w:spacing w:line="480" w:lineRule="auto"/>
        <w:jc w:val="left"/>
      </w:pPr>
      <w:r>
        <w:rPr>
          <w:rFonts w:ascii="Times New Roman" w:hAnsi="Times New Roman"/>
          <w:b/>
          <w:i w:val="0"/>
          <w:color w:val="000000"/>
          <w:sz w:val="22"/>
        </w:rPr>
        <w:t>Conflicts of Interest</w:t>
      </w:r>
    </w:p>
    <w:p>
      <w:pPr>
        <w:keepNext w:val="0"/>
        <w:spacing w:line="480" w:lineRule="auto"/>
        <w:ind w:firstLine="317"/>
        <w:jc w:val="both"/>
      </w:pPr>
      <w:r>
        <w:rPr>
          <w:rFonts w:ascii="Times New Roman" w:hAnsi="Times New Roman"/>
          <w:b w:val="0"/>
          <w:i w:val="0"/>
          <w:color w:val="000000"/>
          <w:sz w:val="22"/>
        </w:rPr>
        <w:t>The authors declare no conflicts of interest to report regarding the present study.</w:t>
      </w:r>
    </w:p>
    <w:p>
      <w:pPr>
        <w:pStyle w:val="Heading1"/>
        <w:keepNext/>
        <w:spacing w:line="480" w:lineRule="auto"/>
        <w:jc w:val="left"/>
      </w:pPr>
      <w:r>
        <w:rPr>
          <w:rFonts w:ascii="Times New Roman" w:hAnsi="Times New Roman"/>
          <w:b/>
          <w:i w:val="0"/>
          <w:color w:val="000000"/>
          <w:sz w:val="22"/>
        </w:rPr>
        <w:t>Supplementary Materials</w:t>
      </w:r>
    </w:p>
    <w:p>
      <w:pPr>
        <w:keepNext w:val="0"/>
        <w:spacing w:line="480" w:lineRule="auto"/>
        <w:ind w:firstLine="317"/>
        <w:jc w:val="both"/>
      </w:pPr>
      <w:r>
        <w:rPr>
          <w:rFonts w:ascii="Times New Roman" w:hAnsi="Times New Roman"/>
          <w:b w:val="0"/>
          <w:i w:val="0"/>
          <w:color w:val="000000"/>
          <w:sz w:val="22"/>
        </w:rPr>
        <w:t>The supplementary document contains the historical function-level, LassoBench, dimensional, sensitivity and resource evidence, plus the added GP intervention, force-position transfer, per-repeat endpoints, fixed-policy comparisons, horizon diagnostics and complete recovery-aware cost ledger.</w:t>
      </w:r>
    </w:p>
    <w:p>
      <w:pPr>
        <w:pStyle w:val="Heading1"/>
        <w:keepNext/>
        <w:spacing w:line="480" w:lineRule="auto"/>
        <w:jc w:val="left"/>
      </w:pPr>
      <w:r>
        <w:rPr>
          <w:rFonts w:ascii="Times New Roman" w:hAnsi="Times New Roman"/>
          <w:b/>
          <w:i w:val="0"/>
          <w:color w:val="000000"/>
          <w:sz w:val="22"/>
        </w:rPr>
        <w:t>References</w:t>
      </w:r>
    </w:p>
    <w:p>
      <w:pPr>
        <w:keepNext w:val="0"/>
        <w:spacing w:line="480" w:lineRule="auto"/>
        <w:ind w:firstLine="317"/>
        <w:jc w:val="both"/>
      </w:pPr>
      <w:r>
        <w:rPr>
          <w:rFonts w:ascii="Times New Roman" w:hAnsi="Times New Roman"/>
          <w:b w:val="0"/>
          <w:i w:val="0"/>
          <w:color w:val="000000"/>
          <w:sz w:val="22"/>
        </w:rPr>
        <w:t>[1] Y. Jin, "Surrogate-assisted evolutionary computation: Recent advances and future challenges," Swarm Evol. Comput., vol. 1, no. 2, pp. 61-70, 2011. doi: 10.1016/j.swevo.2011.05.001.</w:t>
      </w:r>
    </w:p>
    <w:p>
      <w:pPr>
        <w:keepNext w:val="0"/>
        <w:spacing w:line="480" w:lineRule="auto"/>
        <w:ind w:firstLine="317"/>
        <w:jc w:val="both"/>
      </w:pPr>
      <w:r>
        <w:rPr>
          <w:rFonts w:ascii="Times New Roman" w:hAnsi="Times New Roman"/>
          <w:b w:val="0"/>
          <w:i w:val="0"/>
          <w:color w:val="000000"/>
          <w:sz w:val="22"/>
        </w:rPr>
        <w:t>[2] J. Liang, Y. Lou, M. Yu, Y. Bi, and K. Yu, "A survey of surrogate-assisted evolutionary algorithms for expensive optimization," J. Membr. Comput., vol. 7, pp. 108-127, 2025. doi: 10.1007/s41965-024-00165-w.</w:t>
      </w:r>
    </w:p>
    <w:p>
      <w:pPr>
        <w:keepNext w:val="0"/>
        <w:spacing w:line="480" w:lineRule="auto"/>
        <w:ind w:firstLine="317"/>
        <w:jc w:val="both"/>
      </w:pPr>
      <w:r>
        <w:rPr>
          <w:rFonts w:ascii="Times New Roman" w:hAnsi="Times New Roman"/>
          <w:b w:val="0"/>
          <w:i w:val="0"/>
          <w:color w:val="000000"/>
          <w:sz w:val="22"/>
        </w:rPr>
        <w:t>[3] D. R. Jones, M. Schonlau, and W. J. Welch, "Efficient global optimization of expensive black-box functions," J. Glob. Optim., vol. 13, pp. 455-492, 1998. doi: 10.1023/A:1008306431147.</w:t>
      </w:r>
    </w:p>
    <w:p>
      <w:pPr>
        <w:keepNext w:val="0"/>
        <w:spacing w:line="480" w:lineRule="auto"/>
        <w:ind w:firstLine="317"/>
        <w:jc w:val="both"/>
      </w:pPr>
      <w:r>
        <w:rPr>
          <w:rFonts w:ascii="Times New Roman" w:hAnsi="Times New Roman"/>
          <w:b w:val="0"/>
          <w:i w:val="0"/>
          <w:color w:val="000000"/>
          <w:sz w:val="22"/>
        </w:rPr>
        <w:t>[4] Y. Jin, H. Wang, T. Chugh, D. Guo, and K. Miettinen, "Data-driven evolutionary optimization: An overview and case studies," IEEE Trans. Evol. Comput., vol. 23, no. 3, pp. 442-458, 2019. doi: 10.1109/TEVC.2018.2869001.</w:t>
      </w:r>
    </w:p>
    <w:p>
      <w:pPr>
        <w:keepNext w:val="0"/>
        <w:spacing w:line="480" w:lineRule="auto"/>
        <w:ind w:firstLine="317"/>
        <w:jc w:val="both"/>
      </w:pPr>
      <w:r>
        <w:rPr>
          <w:rFonts w:ascii="Times New Roman" w:hAnsi="Times New Roman"/>
          <w:b w:val="0"/>
          <w:i w:val="0"/>
          <w:color w:val="000000"/>
          <w:sz w:val="22"/>
        </w:rPr>
        <w:t>[5] J.-Y. Li, Z.-H. Zhan, and J. Zhang, "Evolutionary computation for expensive optimization: A survey," Mach. Intell. Res., vol. 19, no. 1, pp. 3-23, 2022. doi: 10.1007/s11633-022-1317-4.</w:t>
      </w:r>
    </w:p>
    <w:p>
      <w:pPr>
        <w:keepNext w:val="0"/>
        <w:spacing w:line="480" w:lineRule="auto"/>
        <w:ind w:firstLine="317"/>
        <w:jc w:val="both"/>
      </w:pPr>
      <w:r>
        <w:rPr>
          <w:rFonts w:ascii="Times New Roman" w:hAnsi="Times New Roman"/>
          <w:b w:val="0"/>
          <w:i w:val="0"/>
          <w:color w:val="000000"/>
          <w:sz w:val="22"/>
        </w:rPr>
        <w:t>[6] H. Zou, S. Zeng, C. Li, R. Jiao, and F. Zhao, "Uncertainty estimation by boosting with Gaussian process for expensive optimization problems," Appl. Soft Comput., vol. 180, Art. no. 113320, 2025. doi: 10.1016/j.asoc.2025.113320.</w:t>
      </w:r>
    </w:p>
    <w:p>
      <w:pPr>
        <w:keepNext w:val="0"/>
        <w:spacing w:line="480" w:lineRule="auto"/>
        <w:ind w:firstLine="317"/>
        <w:jc w:val="both"/>
      </w:pPr>
      <w:r>
        <w:rPr>
          <w:rFonts w:ascii="Times New Roman" w:hAnsi="Times New Roman"/>
          <w:b w:val="0"/>
          <w:i w:val="0"/>
          <w:color w:val="000000"/>
          <w:sz w:val="22"/>
        </w:rPr>
        <w:t>[7] X. Ma, Y. Li, Y. Zhuang, Y. Li, J. Fan, L. Wang, Y. Qi, and J. Xiong, "A surrogate-assisted evolutionary algorithm with Gaussian process regression and diversity search for large-scale expensive optimization," Appl. Soft Comput., vol. 182, Art. no. 113440, 2025. doi: 10.1016/j.asoc.2025.113440.</w:t>
      </w:r>
    </w:p>
    <w:p>
      <w:pPr>
        <w:keepNext w:val="0"/>
        <w:spacing w:line="480" w:lineRule="auto"/>
        <w:ind w:firstLine="317"/>
        <w:jc w:val="both"/>
      </w:pPr>
      <w:r>
        <w:rPr>
          <w:rFonts w:ascii="Times New Roman" w:hAnsi="Times New Roman"/>
          <w:b w:val="0"/>
          <w:i w:val="0"/>
          <w:color w:val="000000"/>
          <w:sz w:val="22"/>
        </w:rPr>
        <w:t>[8] H. Liu, Z. Ren, C. He, and W. Du, "A surrogate-assisted differential evolution algorithm with a dual-space-driven selection strategy for expensive optimization problems," Complex Intell. Syst., vol. 11, Art. no. 230, 2025. doi: 10.1007/s40747-025-01812-0.</w:t>
      </w:r>
    </w:p>
    <w:p>
      <w:pPr>
        <w:keepNext w:val="0"/>
        <w:spacing w:line="480" w:lineRule="auto"/>
        <w:ind w:firstLine="317"/>
        <w:jc w:val="both"/>
      </w:pPr>
      <w:r>
        <w:rPr>
          <w:rFonts w:ascii="Times New Roman" w:hAnsi="Times New Roman"/>
          <w:b w:val="0"/>
          <w:i w:val="0"/>
          <w:color w:val="000000"/>
          <w:sz w:val="22"/>
        </w:rPr>
        <w:t>[9] R. Zhou, C. Ren, Z. Meng, and H. Zhu, "Surrogate-assisted differential evolution with search space tightening for high-dimensional expensive optimization problems," IEEE Trans. Syst. Man Cybern. Syst., vol. 55, no. 10, pp. 7356-7368, 2025. doi: 10.1109/TSMC.2025.3582897.</w:t>
      </w:r>
    </w:p>
    <w:p>
      <w:pPr>
        <w:keepNext w:val="0"/>
        <w:spacing w:line="480" w:lineRule="auto"/>
        <w:ind w:firstLine="317"/>
        <w:jc w:val="both"/>
      </w:pPr>
      <w:r>
        <w:rPr>
          <w:rFonts w:ascii="Times New Roman" w:hAnsi="Times New Roman"/>
          <w:b w:val="0"/>
          <w:i w:val="0"/>
          <w:color w:val="000000"/>
          <w:sz w:val="22"/>
        </w:rPr>
        <w:t>[10] L. Yu, Y. Guo, L. Feng, Z. Zhu, Z. Wei, and Y. Hou, "A multi-source surrogate-assisted evolutionary algorithm for expensive optimization: An optinformatics perspective," Swarm Evol. Comput., vol. 107, Art. no. 102491, 2026. doi: 10.1016/j.swevo.2026.102491.</w:t>
      </w:r>
    </w:p>
    <w:p>
      <w:pPr>
        <w:keepNext w:val="0"/>
        <w:spacing w:line="480" w:lineRule="auto"/>
        <w:ind w:firstLine="317"/>
        <w:jc w:val="both"/>
      </w:pPr>
      <w:r>
        <w:rPr>
          <w:rFonts w:ascii="Times New Roman" w:hAnsi="Times New Roman"/>
          <w:b w:val="0"/>
          <w:i w:val="0"/>
          <w:color w:val="000000"/>
          <w:sz w:val="22"/>
        </w:rPr>
        <w:t>[11] Q. Liu, X. Wu, Q. Lin, J. Ji, and K.-C. Wong, "A novel surrogate-assisted evolutionary algorithm with an uncertainty grouping based infill criterion," Swarm Evol. Comput., vol. 60, Art. no. 100787, 2021. doi: 10.1016/j.swevo.2020.100787.</w:t>
      </w:r>
    </w:p>
    <w:p>
      <w:pPr>
        <w:keepNext w:val="0"/>
        <w:spacing w:line="480" w:lineRule="auto"/>
        <w:ind w:firstLine="317"/>
        <w:jc w:val="both"/>
      </w:pPr>
      <w:r>
        <w:rPr>
          <w:rFonts w:ascii="Times New Roman" w:hAnsi="Times New Roman"/>
          <w:b w:val="0"/>
          <w:i w:val="0"/>
          <w:color w:val="000000"/>
          <w:sz w:val="22"/>
        </w:rPr>
        <w:t>[12] S. Deshpande, C. Marx, and V. Kuleshov, "Online calibrated and conformal prediction improves Bayesian optimization," in Proc. AISTATS, PMLR, vol. 238, pp. 1450-1458, 2024.</w:t>
      </w:r>
    </w:p>
    <w:p>
      <w:pPr>
        <w:keepNext w:val="0"/>
        <w:spacing w:line="480" w:lineRule="auto"/>
        <w:ind w:firstLine="317"/>
        <w:jc w:val="both"/>
      </w:pPr>
      <w:r>
        <w:rPr>
          <w:rFonts w:ascii="Times New Roman" w:hAnsi="Times New Roman"/>
          <w:b w:val="0"/>
          <w:i w:val="0"/>
          <w:color w:val="000000"/>
          <w:sz w:val="22"/>
        </w:rPr>
        <w:t>[13] D. Kim, M. Zecchin, S. Park, J. Kang, and O. Simeone, "Robust Bayesian optimization via localized online conformal prediction," IEEE Trans. Signal Process., vol. 73, pp. 2039-2052, 2025. doi: 10.1109/TSP.2025.3559568.</w:t>
      </w:r>
    </w:p>
    <w:p>
      <w:pPr>
        <w:keepNext w:val="0"/>
        <w:spacing w:line="480" w:lineRule="auto"/>
        <w:ind w:firstLine="317"/>
        <w:jc w:val="both"/>
      </w:pPr>
      <w:r>
        <w:rPr>
          <w:rFonts w:ascii="Times New Roman" w:hAnsi="Times New Roman"/>
          <w:b w:val="0"/>
          <w:i w:val="0"/>
          <w:color w:val="000000"/>
          <w:sz w:val="22"/>
        </w:rPr>
        <w:t>[14] Y. Jin and Z. Ren, "Confidence on the focal: Conformal prediction with selection-conditional coverage," J. R. Stat. Soc. Ser. B, vol. 87, pp. 1239-1259, 2025. doi: 10.1093/jrsssb/qkaf016.</w:t>
      </w:r>
    </w:p>
    <w:p>
      <w:pPr>
        <w:keepNext w:val="0"/>
        <w:spacing w:line="480" w:lineRule="auto"/>
        <w:ind w:firstLine="317"/>
        <w:jc w:val="both"/>
      </w:pPr>
      <w:r>
        <w:rPr>
          <w:rFonts w:ascii="Times New Roman" w:hAnsi="Times New Roman"/>
          <w:b w:val="0"/>
          <w:i w:val="0"/>
          <w:color w:val="000000"/>
          <w:sz w:val="22"/>
        </w:rPr>
        <w:t>[15] E. Nardone, C. De Stefano, A. Scotto di Freca, F. Fontanella, and T. D'Alessandro, "Toward reliable uncertainty quantification in surrogate-assisted evolutionary algorithms via temporal conformal prediction," in Applications of Evolutionary Computation, LNCS 16524, pp. 384-401, 2026. doi: 10.1007/978-3-032-23604-3_24.</w:t>
      </w:r>
    </w:p>
    <w:p>
      <w:pPr>
        <w:keepNext w:val="0"/>
        <w:spacing w:line="480" w:lineRule="auto"/>
        <w:ind w:firstLine="317"/>
        <w:jc w:val="both"/>
      </w:pPr>
      <w:r>
        <w:rPr>
          <w:rFonts w:ascii="Times New Roman" w:hAnsi="Times New Roman"/>
          <w:b w:val="0"/>
          <w:i w:val="0"/>
          <w:color w:val="000000"/>
          <w:sz w:val="22"/>
        </w:rPr>
        <w:t>[16] Y. S. Ong, P. B. Nair, and A. J. Keane, "Evolutionary optimization of computationally expensive problems via surrogate modeling," AIAA J., vol. 41, no. 4, pp. 687-696, 2003. doi: 10.2514/2.1999.</w:t>
      </w:r>
    </w:p>
    <w:p>
      <w:pPr>
        <w:keepNext w:val="0"/>
        <w:spacing w:line="480" w:lineRule="auto"/>
        <w:ind w:firstLine="317"/>
        <w:jc w:val="both"/>
      </w:pPr>
      <w:r>
        <w:rPr>
          <w:rFonts w:ascii="Times New Roman" w:hAnsi="Times New Roman"/>
          <w:b w:val="0"/>
          <w:i w:val="0"/>
          <w:color w:val="000000"/>
          <w:sz w:val="22"/>
        </w:rPr>
        <w:t>[17] H. Wang, Y. Jin, and J. Doherty, "Committee-based active learning for surrogate-assisted particle swarm optimization of expensive problems," IEEE Trans. Cybern., vol. 47, no. 9, pp. 2664-2677, 2017. doi: 10.1109/TCYB.2017.2710978.</w:t>
      </w:r>
    </w:p>
    <w:p>
      <w:pPr>
        <w:keepNext w:val="0"/>
        <w:spacing w:line="480" w:lineRule="auto"/>
        <w:ind w:firstLine="317"/>
        <w:jc w:val="both"/>
      </w:pPr>
      <w:r>
        <w:rPr>
          <w:rFonts w:ascii="Times New Roman" w:hAnsi="Times New Roman"/>
          <w:b w:val="0"/>
          <w:i w:val="0"/>
          <w:color w:val="000000"/>
          <w:sz w:val="22"/>
        </w:rPr>
        <w:t>[18] M. Yu, X. Li, and J. Liang, "A dynamic surrogate-assisted evolutionary algorithm framework for expensive structural optimization," Struct. Multidiscip. Optim., vol. 61, no. 2, pp. 711-729, 2020. doi: 10.1007/s00158-019-02391-8.</w:t>
      </w:r>
    </w:p>
    <w:p>
      <w:pPr>
        <w:keepNext w:val="0"/>
        <w:spacing w:line="480" w:lineRule="auto"/>
        <w:ind w:firstLine="317"/>
        <w:jc w:val="both"/>
      </w:pPr>
      <w:r>
        <w:rPr>
          <w:rFonts w:ascii="Times New Roman" w:hAnsi="Times New Roman"/>
          <w:b w:val="0"/>
          <w:i w:val="0"/>
          <w:color w:val="000000"/>
          <w:sz w:val="22"/>
        </w:rPr>
        <w:t>[19] C. Sun, Y. Jin, R. Cheng, J. Ding, and J. Zeng, "Surrogate-assisted cooperative swarm optimization of high-dimensional expensive problems," IEEE Trans. Evol. Comput., vol. 21, no. 4, pp. 644-660, 2017. doi: 10.1109/TEVC.2017.2675628.</w:t>
      </w:r>
    </w:p>
    <w:p>
      <w:pPr>
        <w:keepNext w:val="0"/>
        <w:spacing w:line="480" w:lineRule="auto"/>
        <w:ind w:firstLine="317"/>
        <w:jc w:val="both"/>
      </w:pPr>
      <w:r>
        <w:rPr>
          <w:rFonts w:ascii="Times New Roman" w:hAnsi="Times New Roman"/>
          <w:b w:val="0"/>
          <w:i w:val="0"/>
          <w:color w:val="000000"/>
          <w:sz w:val="22"/>
        </w:rPr>
        <w:t>[20] Y. Hanawa, T. Harada, and Y. Miura, "Impact of surrogate model accuracy on performance and model management strategy in surrogate-assisted evolutionary algorithms," Array, vol. 27, Art. no. 100461, 2025. doi: 10.1016/j.array.2025.100461.</w:t>
      </w:r>
    </w:p>
    <w:p>
      <w:pPr>
        <w:keepNext w:val="0"/>
        <w:spacing w:line="480" w:lineRule="auto"/>
        <w:ind w:firstLine="317"/>
        <w:jc w:val="both"/>
      </w:pPr>
      <w:r>
        <w:rPr>
          <w:rFonts w:ascii="Times New Roman" w:hAnsi="Times New Roman"/>
          <w:b w:val="0"/>
          <w:i w:val="0"/>
          <w:color w:val="000000"/>
          <w:sz w:val="22"/>
        </w:rPr>
        <w:t>[21] M. Gobert, G. Briffoteaux, J. Gmys, N. Melab, and D. Tuyttens, "Observations in applying Bayesian versus evolutionary approaches and their hybrids in parallel time-constrained optimization," Eng. Appl. Artif. Intell., vol. 137, Art. no. 109075, 2024. doi: 10.1016/j.engappai.2024.109075.</w:t>
      </w:r>
    </w:p>
    <w:p>
      <w:pPr>
        <w:keepNext w:val="0"/>
        <w:spacing w:line="480" w:lineRule="auto"/>
        <w:ind w:firstLine="317"/>
        <w:jc w:val="both"/>
      </w:pPr>
      <w:r>
        <w:rPr>
          <w:rFonts w:ascii="Times New Roman" w:hAnsi="Times New Roman"/>
          <w:b w:val="0"/>
          <w:i w:val="0"/>
          <w:color w:val="000000"/>
          <w:sz w:val="22"/>
        </w:rPr>
        <w:t>[22] H. Hao, X. Zhang, and A. Zhou, "Un-evaluated solutions may be valuable in expensive optimization," Swarm Evol. Comput., vol. 94, Art. no. 101905, 2025. doi: 10.1016/j.swevo.2025.101905.</w:t>
      </w:r>
    </w:p>
    <w:p>
      <w:pPr>
        <w:keepNext w:val="0"/>
        <w:spacing w:line="480" w:lineRule="auto"/>
        <w:ind w:firstLine="317"/>
        <w:jc w:val="both"/>
      </w:pPr>
      <w:r>
        <w:rPr>
          <w:rFonts w:ascii="Times New Roman" w:hAnsi="Times New Roman"/>
          <w:b w:val="0"/>
          <w:i w:val="0"/>
          <w:color w:val="000000"/>
          <w:sz w:val="22"/>
        </w:rPr>
        <w:t>[23] F. Felten, G. Apaza, G. Bräunlich, C. Diniz, X. Dong, A. Drake, M. Habibi, N. J. Hoffman, M. Keeler, S. Massoudi, F. G. VanGessel, and M. Fuge, "EngiBench: A framework for data-driven engineering design research," in Adv. Neural Inf. Process. Syst., 2025. doi: 10.52202/085713-0003. [Online]. Available: https://openreview.net/forum?id=YowD33Q89V.</w:t>
      </w:r>
    </w:p>
    <w:p>
      <w:pPr>
        <w:keepNext w:val="0"/>
        <w:spacing w:line="480" w:lineRule="auto"/>
        <w:ind w:firstLine="317"/>
        <w:jc w:val="both"/>
      </w:pPr>
      <w:r>
        <w:rPr>
          <w:rFonts w:ascii="Times New Roman" w:hAnsi="Times New Roman"/>
          <w:b w:val="0"/>
          <w:i w:val="0"/>
          <w:color w:val="000000"/>
          <w:sz w:val="22"/>
        </w:rPr>
        <w:t>[24] K. Sehic, A. Gramfort, J. Salmon, and L. Nardi, "LassoBench: A high-dimensional hyperparameter optimization benchmark suite for Lasso," in Proc. 1st Int. Conf. Automated Machine Learning, PMLR, vol. 188, pp. 2/1-2/24, 2022. https://proceedings.mlr.press/v188/sehic22a.html.</w:t>
      </w:r>
    </w:p>
    <w:p>
      <w:pPr>
        <w:keepNext w:val="0"/>
        <w:spacing w:line="480" w:lineRule="auto"/>
        <w:ind w:firstLine="317"/>
        <w:jc w:val="both"/>
      </w:pPr>
      <w:r>
        <w:rPr>
          <w:rFonts w:ascii="Times New Roman" w:hAnsi="Times New Roman"/>
          <w:b w:val="0"/>
          <w:i w:val="0"/>
          <w:color w:val="000000"/>
          <w:sz w:val="22"/>
        </w:rPr>
        <w:t>[25] D. Eriksson, M. Pearce, J. A. Gardner, R. Turner, and M. Poloczek, "Scalable global optimization via local Bayesian optimization," in Adv. Neural Inf. Process. Syst., vol. 32, 2019. arXiv:1910.01739.</w:t>
      </w:r>
    </w:p>
    <w:p>
      <w:pPr>
        <w:keepNext w:val="0"/>
        <w:spacing w:line="480" w:lineRule="auto"/>
        <w:ind w:firstLine="317"/>
        <w:jc w:val="both"/>
      </w:pPr>
      <w:r>
        <w:rPr>
          <w:rFonts w:ascii="Times New Roman" w:hAnsi="Times New Roman"/>
          <w:b w:val="0"/>
          <w:i w:val="0"/>
          <w:color w:val="000000"/>
          <w:sz w:val="22"/>
        </w:rPr>
        <w:t>[26] N. Hansen, A. Auger, R. Ros, O. Mersmann, T. Tušar, and D. Brockhoff, "COCO: A platform for comparing continuous optimizers in a black-box setting," Optim. Methods Softw., vol. 36, no. 1, pp. 114-144, 2021. doi: 10.1080/10556788.2020.1808977.</w:t>
      </w:r>
    </w:p>
    <w:p>
      <w:pPr>
        <w:keepNext w:val="0"/>
        <w:spacing w:line="480" w:lineRule="auto"/>
        <w:ind w:firstLine="317"/>
        <w:jc w:val="both"/>
      </w:pPr>
      <w:r>
        <w:rPr>
          <w:rFonts w:ascii="Times New Roman" w:hAnsi="Times New Roman"/>
          <w:b w:val="0"/>
          <w:i w:val="0"/>
          <w:color w:val="000000"/>
          <w:sz w:val="22"/>
        </w:rPr>
        <w:t>[27] X. Liu, Y. Bao, and F. Leng, "Neural architecture search via hierarchical evaluation of surrogate models," Comput. Mater. Contin., vol. 84, no. 2, pp. 3503-3517, 2025. doi: 10.32604/cmc.2025.064544.</w:t>
      </w:r>
    </w:p>
    <w:p>
      <w:pPr>
        <w:keepNext w:val="0"/>
        <w:spacing w:line="480" w:lineRule="auto"/>
        <w:ind w:firstLine="317"/>
        <w:jc w:val="both"/>
      </w:pPr>
      <w:r>
        <w:rPr>
          <w:rFonts w:ascii="Times New Roman" w:hAnsi="Times New Roman"/>
          <w:b w:val="0"/>
          <w:i w:val="0"/>
          <w:color w:val="000000"/>
          <w:sz w:val="22"/>
        </w:rPr>
        <w:t>[28] S. Ibrayev, B. Omarov, A. Ibrayeva, and Z. Momynkulov, "DeepSurNet-NSGA II: Deep surrogate model-assisted multi-objective evolutionary algorithm for enhancing leg linkage in walking robots," Comput. Mater. Contin., vol. 81, no. 1, pp. 229-249, 2024. doi: 10.32604/cmc.2024.053075.</w:t>
      </w:r>
    </w:p>
    <w:p>
      <w:pPr>
        <w:keepNext w:val="0"/>
        <w:spacing w:line="480" w:lineRule="auto"/>
        <w:ind w:firstLine="317"/>
        <w:jc w:val="both"/>
      </w:pPr>
      <w:r>
        <w:rPr>
          <w:rFonts w:ascii="Times New Roman" w:hAnsi="Times New Roman"/>
          <w:b w:val="0"/>
          <w:i w:val="0"/>
          <w:color w:val="000000"/>
          <w:sz w:val="22"/>
        </w:rPr>
        <w:t>[29] Z. Wang, L. Duan, L. Kuang, H. Zhou, and J. Duan, "Physics-informed Gaussian process regression with Bayesian optimization for laser welding quality control in coaxial laser diodes," Comput. Mater. Contin., vol. 84, no. 2, pp. 2587-2604, 2025. doi: 10.32604/cmc.2025.065648.</w:t>
      </w:r>
    </w:p>
    <w:p>
      <w:pPr>
        <w:keepNext w:val="0"/>
        <w:spacing w:line="480" w:lineRule="auto"/>
        <w:ind w:firstLine="317"/>
        <w:jc w:val="both"/>
      </w:pPr>
      <w:r>
        <w:rPr>
          <w:rFonts w:ascii="Times New Roman" w:hAnsi="Times New Roman"/>
          <w:b w:val="0"/>
          <w:i w:val="0"/>
          <w:color w:val="000000"/>
          <w:sz w:val="22"/>
        </w:rPr>
        <w:t>[30] H. Hao, X. Q. Zhang, and A. M. Zhou, "Enhancing SAEAs with unevaluated solutions: A case study of relation model for expensive optimization," Sci. China Inf. Sci., vol. 67, no. 2, Art. no. 120103, 2024. doi: 10.1007/s11432-023-3909-x.</w:t>
      </w:r>
    </w:p>
    <w:p>
      <w:pPr>
        <w:keepNext w:val="0"/>
        <w:spacing w:line="480" w:lineRule="auto"/>
        <w:ind w:firstLine="317"/>
        <w:jc w:val="both"/>
      </w:pPr>
      <w:r>
        <w:rPr>
          <w:rFonts w:ascii="Times New Roman" w:hAnsi="Times New Roman"/>
          <w:b w:val="0"/>
          <w:i w:val="0"/>
          <w:color w:val="000000"/>
          <w:sz w:val="22"/>
        </w:rPr>
        <w:t>[31] J.-S. Pan, J. Chen, J. Li, and Z. Meng, "Differential evolution with exponential crossover: A survey," Comput. Sci. Rev., vol. 62, Art. no. 100990, 2026. doi: 10.1016/j.cosrev.2026.100990.</w:t>
      </w:r>
    </w:p>
    <w:p>
      <w:pPr>
        <w:keepNext w:val="0"/>
        <w:spacing w:line="480" w:lineRule="auto"/>
        <w:ind w:firstLine="317"/>
        <w:jc w:val="both"/>
      </w:pPr>
      <w:r>
        <w:rPr>
          <w:rFonts w:ascii="Times New Roman" w:hAnsi="Times New Roman"/>
          <w:b w:val="0"/>
          <w:i w:val="0"/>
          <w:color w:val="000000"/>
          <w:sz w:val="22"/>
        </w:rPr>
        <w:t>[32] J.-S. Pan, Y. Peng, J. Li, J. Zhao, L. Kong, and S.-C. Chu, "Multilayer perceptron grouping and sparse Gaussian process-based surrogate-assisted evolutionary algorithm for expensive multiobjective optimization," IEEE Trans. Cybern., vol. 56, no. 4, pp. 2148-2161, 2026. doi: 10.1109/TCYB.2025.3634364.</w:t>
      </w:r>
    </w:p>
    <w:p>
      <w:pPr>
        <w:keepNext w:val="0"/>
        <w:spacing w:line="480" w:lineRule="auto"/>
        <w:ind w:firstLine="317"/>
        <w:jc w:val="both"/>
      </w:pPr>
      <w:r>
        <w:rPr>
          <w:rFonts w:ascii="Times New Roman" w:hAnsi="Times New Roman"/>
          <w:b w:val="0"/>
          <w:i w:val="0"/>
          <w:color w:val="000000"/>
          <w:sz w:val="22"/>
        </w:rPr>
        <w:t>[33] R.-Y. Wang, J.-S. Pan, S.-C. Chu, V. Snášel, J. Zhao, and H.-M. Yang, "A bimodal surrogate-assisted PSO algorithm with wide coverage and dynamic space refinement for expensive multi-UAV path planning," Expert Syst. Appl., vol. 331, Art. no. 133075, 2026. doi: 10.1016/j.eswa.2026.133075.</w:t>
      </w:r>
    </w:p>
    <w:p>
      <w:pPr>
        <w:keepNext w:val="0"/>
        <w:spacing w:line="480" w:lineRule="auto"/>
        <w:ind w:firstLine="317"/>
        <w:jc w:val="both"/>
      </w:pPr>
      <w:r>
        <w:rPr>
          <w:rFonts w:ascii="Times New Roman" w:hAnsi="Times New Roman"/>
          <w:b w:val="0"/>
          <w:i w:val="0"/>
          <w:color w:val="000000"/>
          <w:sz w:val="22"/>
        </w:rPr>
        <w:t>[34] J. Zatarain Salazar, D. Hadka, P. Reed, H. Seada, and K. Deb, "Diagnostic benchmarking of many-objective evolutionary algorithms for real-world problems," Engineering Optimization, vol. 57, no. 1, pp. 287-308, 2025 (published online 2024). doi: 10.1080/0305215X.2024.2381818.</w:t>
      </w:r>
    </w:p>
    <w:p>
      <w:pPr>
        <w:keepNext w:val="0"/>
        <w:spacing w:line="480" w:lineRule="auto"/>
        <w:ind w:firstLine="317"/>
        <w:jc w:val="both"/>
      </w:pPr>
      <w:r>
        <w:rPr>
          <w:rFonts w:ascii="Times New Roman" w:hAnsi="Times New Roman"/>
          <w:b w:val="0"/>
          <w:i w:val="0"/>
          <w:color w:val="000000"/>
          <w:sz w:val="22"/>
        </w:rPr>
        <w:t>[35] Suprayitno and J.-C. Yu, "Evolutionary reliable regional Kriging surrogate for expensive optimization," Engineering Optimization, vol. 51, no. 2, pp. 247-264, 2019 (published online 2018). doi: 10.1080/0305215X.2018.1446084.</w:t>
      </w:r>
    </w:p>
    <w:p>
      <w:pPr>
        <w:keepNext w:val="0"/>
        <w:spacing w:line="480" w:lineRule="auto"/>
        <w:ind w:firstLine="317"/>
        <w:jc w:val="both"/>
      </w:pPr>
      <w:r>
        <w:rPr>
          <w:rFonts w:ascii="Times New Roman" w:hAnsi="Times New Roman"/>
          <w:b w:val="0"/>
          <w:i w:val="0"/>
          <w:color w:val="000000"/>
          <w:sz w:val="22"/>
        </w:rPr>
        <w:t>[36] E. Kuş, Ö. Akgün, N. Dang, and I. Miguel, "Frugal algorithm selection (short paper)," in Proc. CP 2024, LIPIcs, vol. 307, 2024. doi: 10.4230/LIPIcs.CP.2024.38.</w:t>
      </w:r>
    </w:p>
    <w:p>
      <w:pPr>
        <w:keepNext w:val="0"/>
        <w:spacing w:line="480" w:lineRule="auto"/>
        <w:ind w:firstLine="317"/>
        <w:jc w:val="both"/>
      </w:pPr>
      <w:r>
        <w:rPr>
          <w:rFonts w:ascii="Times New Roman" w:hAnsi="Times New Roman"/>
          <w:b w:val="0"/>
          <w:i w:val="0"/>
          <w:color w:val="000000"/>
          <w:sz w:val="22"/>
        </w:rPr>
        <w:t>[37] A. Kostovska, A. Jankovic, D. Vermetten, J. de Nobel, H. Wang, T. Eftimov, and C. Doerr, "Per-run algorithm selection with warm-starting using trajectory-based features," in Parallel Problem Solving from Nature - PPSN XVII, LNCS, vol.13398, pp.46-60, 2022. doi:10.1007/978-3-031-14714-2_4.</w:t>
      </w:r>
    </w:p>
    <w:p>
      <w:pPr>
        <w:keepNext w:val="0"/>
        <w:spacing w:line="480" w:lineRule="auto"/>
        <w:ind w:firstLine="317"/>
        <w:jc w:val="both"/>
      </w:pPr>
      <w:r>
        <w:rPr>
          <w:rFonts w:ascii="Times New Roman" w:hAnsi="Times New Roman"/>
          <w:b w:val="0"/>
          <w:i w:val="0"/>
          <w:color w:val="000000"/>
          <w:sz w:val="22"/>
        </w:rPr>
        <w:t>[38] A. J. Booker, J. E. Dennis Jr., P. D. Frank, D. B. Serafini, V. Torczon, and M. W. Trosset, "A rigorous framework for optimization of expensive functions by surrogates," Structural Optimization, vol.17, pp.1-13, 1999. doi:10.1007/BF01197708.</w:t>
      </w:r>
    </w:p>
    <w:p>
      <w:pPr>
        <w:keepNext w:val="0"/>
        <w:spacing w:line="480" w:lineRule="auto"/>
        <w:ind w:firstLine="317"/>
        <w:jc w:val="both"/>
      </w:pPr>
      <w:r>
        <w:rPr>
          <w:rFonts w:ascii="Times New Roman" w:hAnsi="Times New Roman"/>
          <w:b w:val="0"/>
          <w:i w:val="0"/>
          <w:color w:val="000000"/>
          <w:sz w:val="22"/>
        </w:rPr>
        <w:t>[39] J. Wu and P. I. Frazier, "Practical two-step lookahead Bayesian optimization," in Adv. Neural Inf. Process. Syst., vol. 32, 2019.</w:t>
      </w:r>
    </w:p>
    <w:sectPr w:rsidR="00FC693F" w:rsidRPr="0006063C" w:rsidSect="00034616">
      <w:footerReference w:type="default" r:id="rId9"/>
      <w:headerReference w:type="default" r:id="rId16"/>
      <w:headerReference w:type="first" r:id="rId17"/>
      <w:headerReference w:type="even" r:id="rId18"/>
      <w:footerReference w:type="first" r:id="rId19"/>
      <w:footerReference w:type="even" r:id="rId20"/>
      <w:pgSz w:w="12240" w:h="15840"/>
      <w:pgMar w:top="1440" w:right="1440" w:bottom="1440" w:left="1440" w:header="720" w:footer="720" w:gutter="0"/>
      <w:cols w:space="720"/>
      <w:docGrid w:linePitch="360"/>
      <w:lnNumType w:countBy="1" w:restart="continuou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fldSimple w:instr="PAGE"/>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Times New Roman" w:hAnsi="Times New Roman"/>
      <w:b/>
      <w:color w:val="17365D" w:themeColor="text2" w:themeShade="BF"/>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header" Target="header1.xml"/><Relationship Id="rId17" Type="http://schemas.openxmlformats.org/officeDocument/2006/relationships/header" Target="header2.xml"/><Relationship Id="rId18" Type="http://schemas.openxmlformats.org/officeDocument/2006/relationships/header" Target="header3.xml"/><Relationship Id="rId19" Type="http://schemas.openxmlformats.org/officeDocument/2006/relationships/footer" Target="footer2.xml"/><Relationship Id="rId20"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Decision-consequence auditing for surrogate-assisted optimization in expensive engineering design</dc:title>
  <dc:subject>Engineering Optimization submission manuscript</dc:subject>
  <dc:creator>Shu-Chuan Chu; Ya-Yu Zhang; Zhenyu Meng; Jia Zhao; Jeng-Shyang Pan</dc:creator>
  <cp:keywords>expensive engineering optimization; surrogate-assisted optimization; model management; decision-consequence auditing</cp:keywords>
  <dc:description/>
  <cp:lastModifiedBy>Ya-Yu Zhang</cp:lastModifiedBy>
  <cp:revision>1</cp:revision>
  <dcterms:created xsi:type="dcterms:W3CDTF">2013-12-23T23:15:00Z</dcterms:created>
  <dcterms:modified xsi:type="dcterms:W3CDTF">2013-12-23T23:15:00Z</dcterms:modified>
  <cp:category/>
</cp:coreProperties>
</file>