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rPr>
          <w:b/>
          <w:bCs/>
          <w:i/>
          <w:iCs/>
        </w:rPr>
      </w:pPr>
      <w:r>
        <w:rPr>
          <w:b/>
          <w:bCs/>
          <w:i/>
          <w:iCs/>
          <w:rtl w:val="0"/>
        </w:rPr>
        <w:t>Engineering Optimization</w:t>
      </w:r>
    </w:p>
    <w:p w14:paraId="00000002">
      <w:pPr>
        <w:rPr>
          <w:b/>
          <w:bCs/>
        </w:rPr>
      </w:pPr>
      <w:r>
        <w:rPr>
          <w:b/>
          <w:bCs/>
          <w:rtl w:val="0"/>
        </w:rPr>
        <w:t>Cover Letter</w:t>
      </w:r>
    </w:p>
    <w:p w14:paraId="00000003">
      <w:pPr>
        <w:rPr>
          <w:b/>
          <w:bCs/>
        </w:rPr>
      </w:pPr>
    </w:p>
    <w:tbl>
      <w:tblPr>
        <w:tblStyle w:val="15"/>
        <w:tblW w:w="936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360"/>
      </w:tblGrid>
      <w:tr w14:paraId="47AB6B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0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rPr>
            </w:pPr>
            <w:r>
              <w:rPr>
                <w:b/>
                <w:bCs/>
                <w:rtl w:val="0"/>
              </w:rPr>
              <w:t>Fit with journal scope</w:t>
            </w:r>
          </w:p>
        </w:tc>
      </w:tr>
      <w:tr w14:paraId="0AE370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i/>
                <w:iCs/>
              </w:rPr>
            </w:pPr>
            <w:r>
              <w:rPr>
                <w:b w:val="0"/>
                <w:i w:val="0"/>
                <w:rtl w:val="0"/>
              </w:rPr>
              <w:t>The manuscript, "Decision-consequence auditing for surrogate-assisted optimization in expensive engineering design," concerns numerical optimization when each evaluation is an expensive engineering simulation and a surrogate decides which design is evaluated next. This matches the journal's scope in optimization methods and in optimization applied to engineering design. The paper specifies the evidence required before a surrogate-management rule can be treated as an improvement in a finite-element design workflow, and it applies that test to a density-based beam problem under an explicit evaluation budget. The object is the paid design decision, covering calibration, candidate selection, closed-loop performance, and the full cost of the physical calls.</w:t>
            </w:r>
          </w:p>
        </w:tc>
      </w:tr>
    </w:tbl>
    <w:p w14:paraId="00000006">
      <w:pPr>
        <w:rPr>
          <w:b/>
          <w:bCs/>
        </w:rPr>
      </w:pPr>
    </w:p>
    <w:p w14:paraId="00000007">
      <w:pPr>
        <w:rPr>
          <w:b/>
          <w:bCs/>
        </w:rPr>
      </w:pPr>
    </w:p>
    <w:tbl>
      <w:tblPr>
        <w:tblStyle w:val="16"/>
        <w:tblW w:w="936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360"/>
      </w:tblGrid>
      <w:tr w14:paraId="20B68A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08">
            <w:pPr>
              <w:widowControl w:val="0"/>
              <w:spacing w:line="240" w:lineRule="auto"/>
              <w:rPr>
                <w:b/>
                <w:bCs/>
              </w:rPr>
            </w:pPr>
            <w:r>
              <w:rPr>
                <w:b/>
                <w:bCs/>
                <w:rtl w:val="0"/>
              </w:rPr>
              <w:t>Contribution statement</w:t>
            </w:r>
          </w:p>
        </w:tc>
      </w:tr>
      <w:tr w14:paraId="39706C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09">
            <w:pPr>
              <w:widowControl w:val="0"/>
              <w:spacing w:line="240" w:lineRule="auto"/>
              <w:rPr>
                <w:i/>
                <w:iCs/>
              </w:rPr>
            </w:pPr>
            <w:r>
              <w:rPr>
                <w:b w:val="0"/>
                <w:i w:val="0"/>
                <w:rtl w:val="0"/>
              </w:rPr>
              <w:t>The innovation lies in the optimization process: a decision-consequence audit decides which expensive engineering evaluation is justified before it is released. Exact decision equivalence sets the minimum number of additional simulations, so a frozen 120-state beam intervention is reported from 138 finite-element solves instead of 480. On one finite-element beam family a retrospective reading promotes one acquisition rule, stops one and holds one for revision; its thresholds are illustrative. The prespecified test of the residual monitor fails its optimization-benefit gate. The same application shows that a calibrated monitor can fail to improve the design.</w:t>
            </w:r>
          </w:p>
        </w:tc>
      </w:tr>
    </w:tbl>
    <w:p w14:paraId="0000000A">
      <w:pPr>
        <w:rPr>
          <w:b/>
          <w:bCs/>
        </w:rPr>
      </w:pPr>
    </w:p>
    <w:p w14:paraId="0000000B">
      <w:pPr>
        <w:rPr>
          <w:b/>
          <w:bCs/>
        </w:rPr>
      </w:pPr>
    </w:p>
    <w:p>
      <w:r>
        <w:rPr>
          <w:rFonts w:ascii="Times New Roman" w:hAnsi="Times New Roman" w:eastAsia="Times New Roman" w:cs="Times New Roman"/>
          <w:sz w:val="24"/>
        </w:rPr>
        <w:t>All authors reviewed the results and approved the final version of the manuscript for submission (2026-10-21).</w:t>
      </w:r>
    </w:p>
    <w:p/>
    <w:p w14:paraId="0000000C">
      <w:pPr>
        <w:rPr>
          <w:b/>
          <w:bCs/>
        </w:rPr>
      </w:pPr>
      <w:r>
        <w:rPr>
          <w:b/>
          <w:bCs/>
          <w:rtl w:val="0"/>
        </w:rPr>
        <w:t>Author verification</w:t>
      </w:r>
    </w:p>
    <w:p w14:paraId="0000000D">
      <w:r>
        <w:rPr>
          <w:rtl w:val="0"/>
        </w:rPr>
        <w:t xml:space="preserve">All authors must provide their institutional email address in both the manuscript and the submission system profile. Personal email domains (e.g., gmail.com, hotmail.com etc) are permitted only as optional secondary contacts and must be linked to the author’s institutional profile page. Editorial correspondence must use institutional emails; correspondence from generic or unverified accounts may not receive a response. </w:t>
      </w:r>
    </w:p>
    <w:p w14:paraId="0000000E"/>
    <w:tbl>
      <w:tblPr>
        <w:tblStyle w:val="17"/>
        <w:tblW w:w="936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872"/>
        <w:gridCol w:w="1872"/>
        <w:gridCol w:w="1872"/>
        <w:gridCol w:w="1872"/>
        <w:gridCol w:w="1872"/>
      </w:tblGrid>
      <w:tr w14:paraId="704358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c>
          <w:tcPr>
            <w:shd w:val="clear" w:color="auto" w:fill="auto"/>
            <w:tcMar>
              <w:top w:w="100" w:type="dxa"/>
              <w:left w:w="100" w:type="dxa"/>
              <w:bottom w:w="100" w:type="dxa"/>
              <w:right w:w="100" w:type="dxa"/>
            </w:tcMar>
            <w:vAlign w:val="top"/>
          </w:tcPr>
          <w:p w14:paraId="000000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rPr>
            </w:pPr>
            <w:r>
              <w:rPr>
                <w:b/>
                <w:bCs/>
                <w:rtl w:val="0"/>
              </w:rPr>
              <w:t>Author Name</w:t>
            </w:r>
          </w:p>
        </w:tc>
        <w:tc>
          <w:tcPr>
            <w:shd w:val="clear" w:color="auto" w:fill="auto"/>
            <w:tcMar>
              <w:top w:w="100" w:type="dxa"/>
              <w:left w:w="100" w:type="dxa"/>
              <w:bottom w:w="100" w:type="dxa"/>
              <w:right w:w="100" w:type="dxa"/>
            </w:tcMar>
            <w:vAlign w:val="top"/>
          </w:tcPr>
          <w:p w14:paraId="0000001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rPr>
            </w:pPr>
            <w:r>
              <w:rPr>
                <w:b/>
                <w:bCs/>
                <w:rtl w:val="0"/>
              </w:rPr>
              <w:t>Institutional Affiliation</w:t>
            </w:r>
          </w:p>
        </w:tc>
        <w:tc>
          <w:tcPr>
            <w:shd w:val="clear" w:color="auto" w:fill="auto"/>
            <w:tcMar>
              <w:top w:w="100" w:type="dxa"/>
              <w:left w:w="100" w:type="dxa"/>
              <w:bottom w:w="100" w:type="dxa"/>
              <w:right w:w="100" w:type="dxa"/>
            </w:tcMar>
            <w:vAlign w:val="top"/>
          </w:tcPr>
          <w:p w14:paraId="0000001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rPr>
            </w:pPr>
            <w:r>
              <w:rPr>
                <w:b/>
                <w:bCs/>
                <w:rtl w:val="0"/>
              </w:rPr>
              <w:t>Institutional Email Address</w:t>
            </w:r>
          </w:p>
        </w:tc>
        <w:tc>
          <w:tcPr>
            <w:shd w:val="clear" w:color="auto" w:fill="auto"/>
            <w:tcMar>
              <w:top w:w="100" w:type="dxa"/>
              <w:left w:w="100" w:type="dxa"/>
              <w:bottom w:w="100" w:type="dxa"/>
              <w:right w:w="100" w:type="dxa"/>
            </w:tcMar>
            <w:vAlign w:val="top"/>
          </w:tcPr>
          <w:p w14:paraId="0000001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rPr>
            </w:pPr>
            <w:r>
              <w:rPr>
                <w:b/>
                <w:bCs/>
                <w:rtl w:val="0"/>
              </w:rPr>
              <w:t>Institutional Homepage</w:t>
            </w:r>
          </w:p>
        </w:tc>
        <w:tc>
          <w:tcPr>
            <w:shd w:val="clear" w:color="auto" w:fill="auto"/>
            <w:tcMar>
              <w:top w:w="100" w:type="dxa"/>
              <w:left w:w="100" w:type="dxa"/>
              <w:bottom w:w="100" w:type="dxa"/>
              <w:right w:w="100" w:type="dxa"/>
            </w:tcMar>
            <w:vAlign w:val="top"/>
          </w:tcPr>
          <w:p w14:paraId="0000001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b/>
                <w:bCs/>
              </w:rPr>
            </w:pPr>
            <w:r>
              <w:rPr>
                <w:b/>
                <w:bCs/>
                <w:rtl w:val="0"/>
              </w:rPr>
              <w:t>Role / position at Institution</w:t>
            </w:r>
          </w:p>
        </w:tc>
      </w:tr>
      <w:tr w14:paraId="45B5A8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Shu-Chuan Chu</w:t>
            </w:r>
          </w:p>
        </w:tc>
        <w:tc>
          <w:tcPr>
            <w:shd w:val="clear" w:color="auto" w:fill="auto"/>
            <w:tcMar>
              <w:top w:w="100" w:type="dxa"/>
              <w:left w:w="100" w:type="dxa"/>
              <w:bottom w:w="100" w:type="dxa"/>
              <w:right w:w="100" w:type="dxa"/>
            </w:tcMar>
            <w:vAlign w:val="top"/>
          </w:tcPr>
          <w:p w14:paraId="000000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School of Computer Science; School of Artificial Intelligence/School of Future Technology, Nanjing University of Information Science and Technology</w:t>
            </w:r>
          </w:p>
        </w:tc>
        <w:tc>
          <w:tcPr>
            <w:shd w:val="clear" w:color="auto" w:fill="auto"/>
            <w:tcMar>
              <w:top w:w="100" w:type="dxa"/>
              <w:left w:w="100" w:type="dxa"/>
              <w:bottom w:w="100" w:type="dxa"/>
              <w:right w:w="100" w:type="dxa"/>
            </w:tcMar>
            <w:vAlign w:val="top"/>
          </w:tcPr>
          <w:p w14:paraId="1F9F3AF7">
            <w:r>
              <w:t>100130@nuist.edu.cn</w:t>
            </w:r>
          </w:p>
        </w:tc>
        <w:tc>
          <w:tcPr>
            <w:shd w:val="clear" w:color="auto" w:fill="auto"/>
            <w:tcMar>
              <w:top w:w="100" w:type="dxa"/>
              <w:left w:w="100" w:type="dxa"/>
              <w:bottom w:w="100" w:type="dxa"/>
              <w:right w:w="100" w:type="dxa"/>
            </w:tcMar>
            <w:vAlign w:val="top"/>
          </w:tcPr>
          <w:p w14:paraId="000000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https://faculty.nuist.edu.cn/zhushujuan/en/index.htm</w:t>
            </w:r>
          </w:p>
        </w:tc>
        <w:tc>
          <w:tcPr>
            <w:shd w:val="clear" w:color="auto" w:fill="auto"/>
            <w:tcMar>
              <w:top w:w="100" w:type="dxa"/>
              <w:left w:w="100" w:type="dxa"/>
              <w:bottom w:w="100" w:type="dxa"/>
              <w:right w:w="100" w:type="dxa"/>
            </w:tcMar>
            <w:vAlign w:val="top"/>
          </w:tcPr>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Professor</w:t>
            </w:r>
          </w:p>
        </w:tc>
      </w:tr>
      <w:tr w14:paraId="672014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19">
            <w:pPr>
              <w:widowControl w:val="0"/>
              <w:spacing w:line="240" w:lineRule="auto"/>
            </w:pPr>
            <w:r>
              <w:rPr>
                <w:b w:val="0"/>
                <w:i w:val="0"/>
                <w:rtl w:val="0"/>
              </w:rPr>
              <w:t>Ya-Yu Zhang</w:t>
            </w:r>
          </w:p>
        </w:tc>
        <w:tc>
          <w:tcPr>
            <w:shd w:val="clear" w:color="auto" w:fill="auto"/>
            <w:tcMar>
              <w:top w:w="100" w:type="dxa"/>
              <w:left w:w="100" w:type="dxa"/>
              <w:bottom w:w="100" w:type="dxa"/>
              <w:right w:w="100" w:type="dxa"/>
            </w:tcMar>
            <w:vAlign w:val="top"/>
          </w:tcPr>
          <w:p w14:paraId="000000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School of Computer Science, Nanjing University of Information Science and Technology</w:t>
            </w:r>
          </w:p>
        </w:tc>
        <w:tc>
          <w:tcPr>
            <w:shd w:val="clear" w:color="auto" w:fill="auto"/>
            <w:tcMar>
              <w:top w:w="100" w:type="dxa"/>
              <w:left w:w="100" w:type="dxa"/>
              <w:bottom w:w="100" w:type="dxa"/>
              <w:right w:w="100" w:type="dxa"/>
            </w:tcMar>
            <w:vAlign w:val="top"/>
          </w:tcPr>
          <w:p w14:paraId="00000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202412492223@nuist.edu.cn</w:t>
            </w:r>
          </w:p>
        </w:tc>
        <w:tc>
          <w:tcPr>
            <w:shd w:val="clear" w:color="auto" w:fill="auto"/>
            <w:tcMar>
              <w:top w:w="100" w:type="dxa"/>
              <w:left w:w="100" w:type="dxa"/>
              <w:bottom w:w="100" w:type="dxa"/>
              <w:right w:w="100" w:type="dxa"/>
            </w:tcMar>
            <w:vAlign w:val="top"/>
          </w:tcPr>
          <w:p w14:paraId="0000001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t>No personal homepage (Master's student); ORCID for verification: https://orcid.org/0009-0001-2272-4654</w:t>
            </w:r>
            <w:r>
              <w:rPr>
                <w:rFonts w:hint="default"/>
              </w:rPr>
            </w:r>
            <w:r>
              <w:rPr>
                <w:rFonts w:hint="default"/>
              </w:rPr>
            </w:r>
            <w:r>
              <w:rPr>
                <w:rFonts w:hint="default"/>
              </w:rPr>
            </w:r>
            <w:r>
              <w:rPr>
                <w:rFonts w:hint="default"/>
              </w:rPr>
            </w:r>
            <w:r>
              <w:rPr>
                <w:rFonts w:hint="default"/>
              </w:rPr>
            </w:r>
          </w:p>
        </w:tc>
        <w:tc>
          <w:tcPr>
            <w:shd w:val="clear" w:color="auto" w:fill="auto"/>
            <w:tcMar>
              <w:top w:w="100" w:type="dxa"/>
              <w:left w:w="100" w:type="dxa"/>
              <w:bottom w:w="100" w:type="dxa"/>
              <w:right w:w="100" w:type="dxa"/>
            </w:tcMar>
            <w:vAlign w:val="top"/>
          </w:tcPr>
          <w:p w14:paraId="0000001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eastAsia="宋体"/>
                <w:lang w:val="en-US" w:eastAsia="zh-CN"/>
              </w:rPr>
            </w:pPr>
            <w:r>
              <w:rPr>
                <w:rFonts w:hint="eastAsia" w:eastAsia="宋体"/>
                <w:lang w:val="en-US" w:eastAsia="zh-CN"/>
              </w:rPr>
              <w:t>Master's student</w:t>
            </w:r>
          </w:p>
        </w:tc>
      </w:tr>
      <w:tr w14:paraId="1A41E1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1E">
            <w:pPr>
              <w:widowControl w:val="0"/>
              <w:spacing w:line="240" w:lineRule="auto"/>
            </w:pPr>
            <w:r>
              <w:rPr>
                <w:b w:val="0"/>
                <w:i w:val="0"/>
                <w:rtl w:val="0"/>
              </w:rPr>
              <w:t>Zhenyu Meng</w:t>
            </w:r>
          </w:p>
        </w:tc>
        <w:tc>
          <w:tcPr>
            <w:shd w:val="clear" w:color="auto" w:fill="auto"/>
            <w:tcMar>
              <w:top w:w="100" w:type="dxa"/>
              <w:left w:w="100" w:type="dxa"/>
              <w:bottom w:w="100" w:type="dxa"/>
              <w:right w:w="100" w:type="dxa"/>
            </w:tcMar>
            <w:vAlign w:val="top"/>
          </w:tcPr>
          <w:p w14:paraId="0000001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School of Computer Science and Mathematics, Fujian University of Technology, Fuzhou 350118, China</w:t>
            </w:r>
          </w:p>
        </w:tc>
        <w:tc>
          <w:tcPr>
            <w:shd w:val="clear" w:color="auto" w:fill="auto"/>
            <w:tcMar>
              <w:top w:w="100" w:type="dxa"/>
              <w:left w:w="100" w:type="dxa"/>
              <w:bottom w:w="100" w:type="dxa"/>
              <w:right w:w="100" w:type="dxa"/>
            </w:tcMar>
            <w:vAlign w:val="top"/>
          </w:tcPr>
          <w:p w14:paraId="000000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rFonts w:hint="eastAsia"/>
              </w:rPr>
              <w:t>zy.meng@fjut.edu.cn</w:t>
            </w:r>
          </w:p>
        </w:tc>
        <w:tc>
          <w:tcPr>
            <w:shd w:val="clear" w:color="auto" w:fill="auto"/>
            <w:tcMar>
              <w:top w:w="100" w:type="dxa"/>
              <w:left w:w="100" w:type="dxa"/>
              <w:bottom w:w="100" w:type="dxa"/>
              <w:right w:w="100" w:type="dxa"/>
            </w:tcMar>
            <w:vAlign w:val="top"/>
          </w:tcPr>
          <w:p w14:paraId="0000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t>https://slx.fjut.edu.cn/2020/1201/c8518a163318/page.psp</w:t>
            </w:r>
            <w:bookmarkStart w:id="0" w:name="_GoBack"/>
            <w:bookmarkEnd w:id="0"/>
            <w:r/>
            <w:r>
              <w:rPr>
                <w:rFonts w:hint="eastAsia"/>
              </w:rPr>
            </w:r>
            <w:r>
              <w:rPr>
                <w:rFonts w:hint="eastAsia"/>
              </w:rPr>
            </w:r>
          </w:p>
        </w:tc>
        <w:tc>
          <w:tcPr>
            <w:shd w:val="clear" w:color="auto" w:fill="auto"/>
            <w:tcMar>
              <w:top w:w="100" w:type="dxa"/>
              <w:left w:w="100" w:type="dxa"/>
              <w:bottom w:w="100" w:type="dxa"/>
              <w:right w:w="100" w:type="dxa"/>
            </w:tcMar>
            <w:vAlign w:val="top"/>
          </w:tcPr>
          <w:p w14:paraId="2DD7A1E4">
            <w:r>
              <w:rPr>
                <w:b w:val="0"/>
                <w:i w:val="0"/>
                <w:rtl w:val="0"/>
              </w:rPr>
              <w:t>Professor</w:t>
            </w:r>
          </w:p>
        </w:tc>
      </w:tr>
      <w:tr w14:paraId="169F16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23">
            <w:pPr>
              <w:widowControl w:val="0"/>
              <w:spacing w:line="240" w:lineRule="auto"/>
            </w:pPr>
            <w:r>
              <w:rPr>
                <w:b w:val="0"/>
                <w:i w:val="0"/>
                <w:rtl w:val="0"/>
              </w:rPr>
              <w:t>Jia Zhao</w:t>
            </w:r>
          </w:p>
        </w:tc>
        <w:tc>
          <w:tcPr>
            <w:shd w:val="clear" w:color="auto" w:fill="auto"/>
            <w:tcMar>
              <w:top w:w="100" w:type="dxa"/>
              <w:left w:w="100" w:type="dxa"/>
              <w:bottom w:w="100" w:type="dxa"/>
              <w:right w:w="100" w:type="dxa"/>
            </w:tcMar>
            <w:vAlign w:val="top"/>
          </w:tcPr>
          <w:p w14:paraId="0000002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School of Information Engineering, Jiangxi University of Water Resources and Electric Power</w:t>
            </w:r>
          </w:p>
        </w:tc>
        <w:tc>
          <w:tcPr>
            <w:shd w:val="clear" w:color="auto" w:fill="auto"/>
            <w:tcMar>
              <w:top w:w="100" w:type="dxa"/>
              <w:left w:w="100" w:type="dxa"/>
              <w:bottom w:w="100" w:type="dxa"/>
              <w:right w:w="100" w:type="dxa"/>
            </w:tcMar>
            <w:vAlign w:val="top"/>
          </w:tcPr>
          <w:p w14:paraId="0000002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zhaojia@juwp.edu.cn</w:t>
            </w:r>
          </w:p>
        </w:tc>
        <w:tc>
          <w:tcPr>
            <w:shd w:val="clear" w:color="auto" w:fill="auto"/>
            <w:tcMar>
              <w:top w:w="100" w:type="dxa"/>
              <w:left w:w="100" w:type="dxa"/>
              <w:bottom w:w="100" w:type="dxa"/>
              <w:right w:w="100" w:type="dxa"/>
            </w:tcMar>
            <w:vAlign w:val="top"/>
          </w:tcPr>
          <w:p w14:paraId="0000002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t>https://computer.juwp.edu.cn/info/1059/1896.htm</w:t>
            </w:r>
          </w:p>
        </w:tc>
        <w:tc>
          <w:tcPr>
            <w:shd w:val="clear" w:color="auto" w:fill="auto"/>
            <w:tcMar>
              <w:top w:w="100" w:type="dxa"/>
              <w:left w:w="100" w:type="dxa"/>
              <w:bottom w:w="100" w:type="dxa"/>
              <w:right w:w="100" w:type="dxa"/>
            </w:tcMar>
            <w:vAlign w:val="top"/>
          </w:tcPr>
          <w:p w14:paraId="000000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Professor</w:t>
            </w:r>
          </w:p>
        </w:tc>
      </w:tr>
      <w:tr w14:paraId="236F3F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28">
            <w:pPr>
              <w:widowControl w:val="0"/>
              <w:spacing w:line="240" w:lineRule="auto"/>
            </w:pPr>
            <w:r>
              <w:rPr>
                <w:b w:val="0"/>
                <w:i w:val="0"/>
                <w:rtl w:val="0"/>
              </w:rPr>
              <w:t>Jeng-Shyang Pan</w:t>
            </w:r>
          </w:p>
        </w:tc>
        <w:tc>
          <w:tcPr>
            <w:shd w:val="clear" w:color="auto" w:fill="auto"/>
            <w:tcMar>
              <w:top w:w="100" w:type="dxa"/>
              <w:left w:w="100" w:type="dxa"/>
              <w:bottom w:w="100" w:type="dxa"/>
              <w:right w:w="100" w:type="dxa"/>
            </w:tcMar>
            <w:vAlign w:val="top"/>
          </w:tcPr>
          <w:p w14:paraId="000000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School of Computer Science; School of Artificial Intelligence/School of Future Technology, Nanjing University of Information Science and Technology</w:t>
            </w:r>
          </w:p>
        </w:tc>
        <w:tc>
          <w:tcPr>
            <w:shd w:val="clear" w:color="auto" w:fill="auto"/>
            <w:tcMar>
              <w:top w:w="100" w:type="dxa"/>
              <w:left w:w="100" w:type="dxa"/>
              <w:bottom w:w="100" w:type="dxa"/>
              <w:right w:w="100" w:type="dxa"/>
            </w:tcMar>
            <w:vAlign w:val="top"/>
          </w:tcPr>
          <w:p w14:paraId="00000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100112@nuist.edu.cn</w:t>
            </w:r>
          </w:p>
        </w:tc>
        <w:tc>
          <w:tcPr>
            <w:shd w:val="clear" w:color="auto" w:fill="auto"/>
            <w:tcMar>
              <w:top w:w="100" w:type="dxa"/>
              <w:left w:w="100" w:type="dxa"/>
              <w:bottom w:w="100" w:type="dxa"/>
              <w:right w:w="100" w:type="dxa"/>
            </w:tcMar>
            <w:vAlign w:val="top"/>
          </w:tcPr>
          <w:p w14:paraId="000000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https://faculty.nuist.edu.cn/panzhengxiang/en/index.htm</w:t>
            </w:r>
          </w:p>
        </w:tc>
        <w:tc>
          <w:tcPr>
            <w:shd w:val="clear" w:color="auto" w:fill="auto"/>
            <w:tcMar>
              <w:top w:w="100" w:type="dxa"/>
              <w:left w:w="100" w:type="dxa"/>
              <w:bottom w:w="100" w:type="dxa"/>
              <w:right w:w="100" w:type="dxa"/>
            </w:tcMar>
            <w:vAlign w:val="top"/>
          </w:tcPr>
          <w:p w14:paraId="000000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
              <w:rPr>
                <w:b w:val="0"/>
                <w:i w:val="0"/>
                <w:rtl w:val="0"/>
              </w:rPr>
              <w:t>Professor; corresponding author</w:t>
            </w:r>
          </w:p>
        </w:tc>
      </w:tr>
    </w:tbl>
    <w:p w14:paraId="00000032"/>
    <w:p w14:paraId="00000033"/>
    <w:sectPr>
      <w:headerReference r:id="rId5" w:type="default"/>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8C8AC1A4-86AE-46C5-BAEB-E1AD9ADBC5F3}"/>
  </w:font>
  <w:font w:name="Arial">
    <w:panose1 w:val="020B0604020202020204"/>
    <w:charset w:val="01"/>
    <w:family w:val="swiss"/>
    <w:pitch w:val="default"/>
    <w:sig w:usb0="E0002EFF" w:usb1="C000785B" w:usb2="00000009" w:usb3="00000000" w:csb0="400001FF" w:csb1="FFFF0000"/>
    <w:embedRegular r:id="rId2" w:fontKey="{F056E467-5221-42F6-BC76-14A6A6A7009D}"/>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embedRegular r:id="rId3" w:fontKey="{2CF0DFC0-C6CF-49FE-BD0F-9D09E06B7D2A}"/>
  </w:font>
  <w:font w:name="Symbol">
    <w:panose1 w:val="05050102010706020507"/>
    <w:charset w:val="02"/>
    <w:family w:val="roman"/>
    <w:pitch w:val="default"/>
    <w:sig w:usb0="00000000" w:usb1="00000000" w:usb2="00000000" w:usb3="00000000" w:csb0="80000000" w:csb1="00000000"/>
    <w:embedRegular r:id="rId4" w:fontKey="{FC89E324-6A53-468E-8228-0BFC8FD8C7EC}"/>
  </w:font>
  <w:font w:name="Calibri">
    <w:panose1 w:val="020F0502020204030204"/>
    <w:charset w:val="00"/>
    <w:family w:val="swiss"/>
    <w:pitch w:val="default"/>
    <w:sig w:usb0="E4002EFF" w:usb1="C200247B" w:usb2="00000009" w:usb3="00000000" w:csb0="200001FF" w:csb1="00000000"/>
    <w:embedRegular r:id="rId5" w:fontKey="{1FAB69A8-889F-4955-8777-F4D7A4342022}"/>
  </w:font>
  <w:font w:name="Segoe UI">
    <w:panose1 w:val="020B0502040204020203"/>
    <w:charset w:val="00"/>
    <w:family w:val="auto"/>
    <w:pitch w:val="default"/>
    <w:sig w:usb0="E4002EFF" w:usb1="C000E47F" w:usb2="00000009" w:usb3="00000000" w:csb0="200001FF" w:csb1="00000000"/>
    <w:embedRegular r:id="rId6" w:fontKey="{6B31AEEA-D420-4D2E-98AD-118E81F5C6FD}"/>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3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
  <w:rsids>
    <w:rsidRoot w:val="00000000"/>
    <w:rsid w:val="043005A9"/>
    <w:rsid w:val="086E5CAD"/>
    <w:rsid w:val="16BD570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iCs/>
      <w:color w:val="666666"/>
      <w:sz w:val="22"/>
      <w:szCs w:val="22"/>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8">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9">
    <w:name w:val="Title"/>
    <w:basedOn w:val="1"/>
    <w:next w:val="1"/>
    <w:qFormat/>
    <w:uiPriority w:val="0"/>
    <w:pPr>
      <w:keepNext/>
      <w:keepLines/>
      <w:pageBreakBefore w:val="0"/>
      <w:spacing w:before="0" w:after="60"/>
    </w:pPr>
    <w:rPr>
      <w:sz w:val="52"/>
      <w:szCs w:val="52"/>
    </w:rPr>
  </w:style>
  <w:style w:type="character" w:styleId="12">
    <w:name w:val="Strong"/>
    <w:basedOn w:val="11"/>
    <w:qFormat/>
    <w:uiPriority w:val="0"/>
    <w:rPr>
      <w:b/>
    </w:rPr>
  </w:style>
  <w:style w:type="character" w:styleId="13">
    <w:name w:val="Hyperlink"/>
    <w:basedOn w:val="11"/>
    <w:uiPriority w:val="0"/>
    <w:rPr>
      <w:color w:val="0000FF"/>
      <w:u w:val="single"/>
    </w:rPr>
  </w:style>
  <w:style w:type="table" w:customStyle="1" w:styleId="14">
    <w:name w:val="TableNormal"/>
    <w:qFormat/>
    <w:uiPriority w:val="0"/>
    <w:tblPr>
      <w:tblCellMar>
        <w:top w:w="100" w:type="dxa"/>
        <w:left w:w="100" w:type="dxa"/>
        <w:bottom w:w="100" w:type="dxa"/>
        <w:right w:w="100" w:type="dxa"/>
      </w:tblCellMar>
    </w:tblPr>
  </w:style>
  <w:style w:type="table" w:customStyle="1" w:styleId="15">
    <w:name w:val="_Style 10"/>
    <w:basedOn w:val="14"/>
    <w:qFormat/>
    <w:uiPriority w:val="0"/>
  </w:style>
  <w:style w:type="table" w:customStyle="1" w:styleId="16">
    <w:name w:val="_Style 11"/>
    <w:basedOn w:val="14"/>
    <w:qFormat/>
    <w:uiPriority w:val="0"/>
  </w:style>
  <w:style w:type="table" w:customStyle="1" w:styleId="17">
    <w:name w:val="_Style 12"/>
    <w:basedOn w:val="14"/>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Pages>
  <Words>375</Words>
  <Characters>2707</Characters>
  <TotalTime>0</TotalTime>
  <ScaleCrop>false</ScaleCrop>
  <LinksUpToDate>false</LinksUpToDate>
  <CharactersWithSpaces>3045</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2026-10-20T15:00:00Z</dcterms:created>
  <dc:creator>Jeng-Shyang Pan</dc:creator>
  <cp:lastModifiedBy>zhang yu</cp:lastModifiedBy>
  <dcterms:modified xsi:type="dcterms:W3CDTF">2026-10-20T15:18:33Z</dcterms:modified>
  <dc:subject>Decision-consequence auditing for surrogate-assisted optimization in expensive engineering design</dc:subject>
  <dc:title>Cover Letter for Engineering Optimization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eyJoZGlkIjoiZDVmMDBhZmNkMDk1NGM3Y2NjZjY0MmQwYTU3MDA2MTgiLCJ1c2VySWQiOiIxMzc0NDIzNzg2NjQifQ==</vt:lpwstr>
  </property>
  <property fmtid="{D5CDD505-2E9C-101B-9397-08002B2CF9AE}" pid="3" name="KSOProductBuildVer">
    <vt:lpwstr>2052-12.1.0.29162</vt:lpwstr>
  </property>
  <property fmtid="{D5CDD505-2E9C-101B-9397-08002B2CF9AE}" pid="4" name="ICV">
    <vt:lpwstr>4644A0F05A88423CB5603F5BF700FF01_12</vt:lpwstr>
  </property>
</Properties>
</file>