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120" w:line="240" w:lineRule="auto"/>
        <w:jc w:val="center"/>
      </w:pPr>
      <w:r>
        <w:rPr>
          <w:rFonts w:ascii="Times New Roman" w:hAnsi="Times New Roman"/>
          <w:b/>
          <w:color w:val="000000"/>
          <w:sz w:val="20"/>
        </w:rPr>
        <w:t>ARTICLE</w:t>
      </w:r>
    </w:p>
    <w:p>
      <w:pPr>
        <w:pStyle w:val="Title"/>
        <w:keepNext w:val="0"/>
        <w:spacing w:before="0" w:after="200" w:line="240" w:lineRule="auto"/>
        <w:jc w:val="center"/>
      </w:pPr>
      <w:r>
        <w:rPr>
          <w:rFonts w:ascii="Times New Roman" w:hAnsi="Times New Roman"/>
          <w:b/>
          <w:color w:val="000000"/>
          <w:sz w:val="32"/>
        </w:rPr>
        <w:t>A Decision-Consequence Auditing Framework for Reliable Surrogate-Assisted Optimization in Expensive Engineering Design</w:t>
      </w:r>
    </w:p>
    <w:p>
      <w:pPr>
        <w:keepNext w:val="0"/>
        <w:spacing w:before="0" w:after="100" w:line="240" w:lineRule="auto"/>
        <w:jc w:val="center"/>
      </w:pPr>
      <w:r>
        <w:rPr>
          <w:rFonts w:ascii="Times New Roman" w:hAnsi="Times New Roman"/>
          <w:b/>
          <w:color w:val="000000"/>
          <w:sz w:val="22"/>
        </w:rPr>
        <w:t>Shu-Chuan Chu¹˒², Ya-Yu Zhang¹, Zhenyu Meng³, Jia Zhao⁴, and Jeng-Shyang Pan¹˒²˒*</w:t>
      </w:r>
    </w:p>
    <w:p>
      <w:pPr>
        <w:keepNext w:val="0"/>
        <w:spacing w:before="0" w:after="20" w:line="240" w:lineRule="auto"/>
        <w:jc w:val="center"/>
      </w:pPr>
      <w:r>
        <w:rPr>
          <w:rFonts w:ascii="Times New Roman" w:hAnsi="Times New Roman"/>
          <w:color w:val="000000"/>
          <w:sz w:val="18"/>
        </w:rPr>
        <w:t>¹ School of Computer Science, Nanjing University of Information Science and Technology, Nanjing 210044, Jiangsu, China</w:t>
      </w:r>
    </w:p>
    <w:p>
      <w:pPr>
        <w:keepNext w:val="0"/>
        <w:spacing w:before="0" w:after="20" w:line="240" w:lineRule="auto"/>
        <w:jc w:val="center"/>
      </w:pPr>
      <w:r>
        <w:rPr>
          <w:rFonts w:ascii="Times New Roman" w:hAnsi="Times New Roman"/>
          <w:color w:val="000000"/>
          <w:sz w:val="18"/>
        </w:rPr>
        <w:t>² School of Artificial Intelligence/School of Future Technology, Nanjing University of Information Science and Technology, Nanjing 210044, Jiangsu, China</w:t>
      </w:r>
    </w:p>
    <w:p>
      <w:pPr>
        <w:keepNext w:val="0"/>
        <w:spacing w:before="0" w:after="20" w:line="240" w:lineRule="auto"/>
        <w:jc w:val="center"/>
      </w:pPr>
      <w:r>
        <w:rPr>
          <w:rFonts w:ascii="Times New Roman" w:hAnsi="Times New Roman"/>
          <w:color w:val="000000"/>
          <w:sz w:val="18"/>
        </w:rPr>
        <w:t>³ School of Computer Science and Software, Zhaoqing University, Zhaoqing 526061, China</w:t>
      </w:r>
    </w:p>
    <w:p>
      <w:pPr>
        <w:keepNext w:val="0"/>
        <w:spacing w:before="0" w:after="20" w:line="240" w:lineRule="auto"/>
        <w:jc w:val="center"/>
      </w:pPr>
      <w:r>
        <w:rPr>
          <w:rFonts w:ascii="Times New Roman" w:hAnsi="Times New Roman"/>
          <w:color w:val="000000"/>
          <w:sz w:val="18"/>
        </w:rPr>
        <w:t>⁴ School of Information Engineering, Jiangxi University of Water Resources and Electric Power, Nanchang 330099, China</w:t>
      </w:r>
    </w:p>
    <w:p>
      <w:pPr>
        <w:keepNext w:val="0"/>
        <w:spacing w:before="0" w:after="20" w:line="240" w:lineRule="auto"/>
        <w:jc w:val="center"/>
      </w:pPr>
      <w:r>
        <w:rPr>
          <w:rFonts w:ascii="Times New Roman" w:hAnsi="Times New Roman"/>
          <w:color w:val="000000"/>
          <w:sz w:val="18"/>
        </w:rPr>
        <w:t>* Corresponding author: Jeng-Shyang Pan, 100112@nuist.edu.cn</w:t>
      </w:r>
    </w:p>
    <w:p>
      <w:pPr>
        <w:keepNext w:val="0"/>
        <w:spacing w:before="0" w:after="160" w:line="240" w:lineRule="auto"/>
        <w:jc w:val="center"/>
      </w:pPr>
      <w:r>
        <w:rPr>
          <w:rFonts w:ascii="Times New Roman" w:hAnsi="Times New Roman"/>
          <w:i/>
          <w:color w:val="000000"/>
          <w:sz w:val="17"/>
        </w:rPr>
        <w:t>ORCID: S. Chu, 0000-0003-2117-0618; Y.-Y. Zhang, 0009-0001-2272-4654; Z. Meng, 0000-0002-1466-8082; Jia Zhao, 0000-0002-3652-1903; J.-S. Pan, 0000-0002-3128-9025</w:t>
      </w:r>
    </w:p>
    <w:p>
      <w:pPr>
        <w:keepNext/>
        <w:spacing w:before="120" w:after="60" w:line="240" w:lineRule="auto"/>
        <w:jc w:val="left"/>
      </w:pPr>
      <w:r>
        <w:rPr>
          <w:rFonts w:ascii="Times New Roman" w:hAnsi="Times New Roman"/>
          <w:b/>
          <w:color w:val="000000"/>
          <w:sz w:val="24"/>
        </w:rPr>
        <w:t>Abstract</w:t>
      </w:r>
    </w:p>
    <w:p>
      <w:pPr>
        <w:keepNext w:val="0"/>
        <w:spacing w:before="0" w:after="100" w:line="240" w:lineRule="auto"/>
        <w:jc w:val="both"/>
      </w:pPr>
      <w:r>
        <w:rPr>
          <w:rFonts w:ascii="Times New Roman" w:hAnsi="Times New Roman"/>
          <w:b w:val="0"/>
          <w:i w:val="0"/>
          <w:color w:val="000000"/>
          <w:sz w:val="22"/>
        </w:rPr>
        <w:t>Surrogate-assisted engineering optimization requires reliable evaluation decisions as well as accurate predictions. This study audits the path from surrogate information to paid evaluations through structural checks, frozen-state interventions, independent optimization and complete cost accounting. Exact context-point equivalence permits diagnostic-response reuse; a deterministic-oracle argument specifies the worst-case query requirement. A temporal residual monitor approaches its nominal failure rate but fails the prespecified optimization-benefit gate on the Black-Box Optimization Benchmarking (BBOB) suite and a finite-element beam family. A 120-state Gaussian-process (GP) intervention requires 138 additional finite-element calls. Twenty fresh cases at two previously untested beam load positions show positive 20-step policy improvement despite zero first-step median gain. Pilot selection costs 280 calls versus 626 for a four-policy portfolio, with paired median compliance gaps of 9.014% and 27.217%; fixed policies cost 200 calls. The audit exposes decision redundancy, delayed policy value and cost-performance tradeoffs without establishing universal selector superiority or performance-preserving savings.</w:t>
      </w:r>
    </w:p>
    <w:p>
      <w:pPr>
        <w:keepNext w:val="0"/>
        <w:spacing w:before="0" w:after="160" w:line="240" w:lineRule="auto"/>
        <w:jc w:val="both"/>
      </w:pPr>
      <w:r>
        <w:rPr>
          <w:rFonts w:ascii="Times New Roman" w:hAnsi="Times New Roman"/>
          <w:b/>
          <w:color w:val="000000"/>
          <w:sz w:val="20"/>
        </w:rPr>
        <w:t xml:space="preserve">Keywords: </w:t>
      </w:r>
      <w:r>
        <w:rPr>
          <w:rFonts w:ascii="Times New Roman" w:hAnsi="Times New Roman"/>
          <w:b w:val="0"/>
          <w:i w:val="0"/>
          <w:color w:val="000000"/>
          <w:sz w:val="20"/>
        </w:rPr>
        <w:t>expensive engineering optimization; surrogate model management; decision auditing; evaluation allocation; finite-element design</w:t>
      </w:r>
    </w:p>
    <w:p>
      <w:pPr>
        <w:pStyle w:val="Heading1"/>
        <w:keepNext/>
        <w:spacing w:before="240" w:after="60" w:line="240" w:lineRule="auto"/>
        <w:jc w:val="left"/>
      </w:pPr>
      <w:r>
        <w:rPr>
          <w:rFonts w:ascii="Times New Roman" w:hAnsi="Times New Roman"/>
          <w:b/>
          <w:i w:val="0"/>
          <w:color w:val="000000"/>
          <w:sz w:val="22"/>
        </w:rPr>
        <w:t>1 Introduction</w:t>
      </w:r>
    </w:p>
    <w:p>
      <w:pPr>
        <w:keepNext w:val="0"/>
        <w:spacing w:before="0" w:after="60" w:line="240" w:lineRule="auto"/>
        <w:ind w:firstLine="317"/>
        <w:jc w:val="both"/>
      </w:pPr>
      <w:r>
        <w:rPr>
          <w:rFonts w:ascii="Times New Roman" w:hAnsi="Times New Roman"/>
          <w:b w:val="0"/>
          <w:i w:val="0"/>
          <w:color w:val="000000"/>
          <w:sz w:val="22"/>
        </w:rPr>
        <w:t>Many engineering optimization problems depend on simulations, model training, or experiments whose evaluations dominate the available computational or physical budget. Surrogate-assisted evolutionary algorithms and Bayesian optimization reduce this burden by fitting an inexpensive predictive model and deciding which candidate should receive the next exact evaluation [1-5]. Model management is therefore the operational core of surrogate assistance: surrogate prediction is converted into an acquisition or management decision, that decision allocates a paid evaluation, and the resulting label changes the subsequent optimization state. A reliable predictor is useful only when this chain improves the use of the available budget.</w:t>
      </w:r>
    </w:p>
    <w:p>
      <w:pPr>
        <w:keepNext w:val="0"/>
        <w:spacing w:before="0" w:after="60" w:line="240" w:lineRule="auto"/>
        <w:ind w:firstLine="317"/>
        <w:jc w:val="both"/>
      </w:pPr>
      <w:r>
        <w:rPr>
          <w:rFonts w:ascii="Times New Roman" w:hAnsi="Times New Roman"/>
          <w:b w:val="0"/>
          <w:i w:val="0"/>
          <w:color w:val="000000"/>
          <w:sz w:val="22"/>
        </w:rPr>
        <w:t>This distinction matters directly in simulation-based engineering design. A monitoring signal can redirect finite-element analyses without improving structural performance, even when its aggregate error diagnostic appears satisfactory. Reliable regional Kriging search has connected uncertainty to restricted search regions and infill decisions [35], while diagnostic benchmarking has exposed differences between standard-test and real-application algorithm performance [34]. These studies motivate inspection of the route from surrogate information to paid engineering evaluations. The present beam application examines this route within a constrained design family; broader relevance to materials, manufacturing, robotics, and neural architecture search remains motivation rather than application validation in this study.</w:t>
      </w:r>
    </w:p>
    <w:p>
      <w:pPr>
        <w:keepNext w:val="0"/>
        <w:spacing w:before="0" w:after="60" w:line="240" w:lineRule="auto"/>
        <w:ind w:firstLine="317"/>
        <w:jc w:val="both"/>
      </w:pPr>
      <w:r>
        <w:rPr>
          <w:rFonts w:ascii="Times New Roman" w:hAnsi="Times New Roman"/>
          <w:b w:val="0"/>
          <w:i w:val="0"/>
          <w:color w:val="000000"/>
          <w:sz w:val="22"/>
        </w:rPr>
        <w:t>Recent methods use Gaussian-process uncertainty, ensembles, local models, temporal information, or adaptive infill rules to balance exploitation and exploration [6-11]. Online and conformal calibration research asks whether predictive distributions or bounds retain their intended reliability under sequential selection [12-15]. Calibration alone, however, does not establish that a signal changes candidate ordering, selects a better candidate at the same state, or improves a closed-loop trajectory after the surrogate and candidate distribution adapt. These properties form a decision pathway and must be evaluated separately.</w:t>
      </w:r>
    </w:p>
    <w:p>
      <w:pPr>
        <w:keepNext w:val="0"/>
        <w:spacing w:before="0" w:after="60" w:line="240" w:lineRule="auto"/>
        <w:ind w:firstLine="317"/>
        <w:jc w:val="both"/>
      </w:pPr>
      <w:r>
        <w:rPr>
          <w:rFonts w:ascii="Times New Roman" w:hAnsi="Times New Roman"/>
          <w:b w:val="0"/>
          <w:i w:val="0"/>
          <w:color w:val="000000"/>
          <w:sz w:val="22"/>
        </w:rPr>
        <w:t>A decision-consequence auditing framework is developed for that purpose. The representative temporal post-selection error monitor records predictions before labels, estimates an empirical residual bound, and converts failures, bound width, and stagnation into spatial exploration. The framework is not tied to that monitor: it accepts any surrogate, candidate generator, monitoring signal, and acquisition or model-management rule whose pathway to paid evaluations can be inspected. The monitored controller supplies a demanding case because its calibration diagnostic appears plausible while its decision pathway contains an algebraically redundant exploitation term.</w:t>
      </w:r>
    </w:p>
    <w:p>
      <w:pPr>
        <w:keepNext w:val="0"/>
        <w:spacing w:before="0" w:after="60" w:line="240" w:lineRule="auto"/>
        <w:ind w:firstLine="317"/>
        <w:jc w:val="both"/>
      </w:pPr>
      <w:r>
        <w:rPr>
          <w:rFonts w:ascii="Times New Roman" w:hAnsi="Times New Roman"/>
          <w:b w:val="0"/>
          <w:i w:val="0"/>
          <w:color w:val="000000"/>
          <w:sz w:val="22"/>
        </w:rPr>
        <w:t>The major contributions are as follows.</w:t>
      </w:r>
    </w:p>
    <w:p>
      <w:pPr>
        <w:keepNext w:val="0"/>
        <w:spacing w:before="0" w:after="60" w:line="240" w:lineRule="auto"/>
        <w:ind w:firstLine="317"/>
        <w:jc w:val="both"/>
      </w:pPr>
      <w:r>
        <w:rPr>
          <w:rFonts w:ascii="Times New Roman" w:hAnsi="Times New Roman"/>
          <w:b w:val="0"/>
          <w:i w:val="0"/>
          <w:color w:val="000000"/>
          <w:sz w:val="22"/>
        </w:rPr>
        <w:t>1. An executable audit separates structural decision influence, frozen-state intervention effects, finite-horizon policy performance, and complete physical-call cost. Each stage returns an explicit evidence object and an unsupported-claim boundary, rather than substituting prediction quality for optimization value. 2. Decision equivalence provides a rule for allocating diagnostic evaluations: policies selecting the same exact point in the same deterministic objective context share one response. Proposition 1 establishes the worst-case minimum query count for exact immediate-utility reporting under the declared reuse boundary. The implementation turns 480 GP control-state choices into 261 within-state distinct choices and requires 138 additional finite-element calls after legitimate reuse. 3. Prediction-before-label records, fixed information boundaries, independent validation candidate streams, and a separated physical-call ledger make the audit reproducible. The elementary additive-ranking invariant is one screening case; it is not presented as the principal mathematical innovation or as a convergence theorem. 4. Beyond the residual-monitor case, a frozen 120-state GP acquisition intervention and twenty separately initialized transfer cases under two previously untested beam load positions test actionable rules and longer horizons. They distinguish zero first-step gain from later policy improvement and quantify the performance loss and extra cost hidden by an unqualified claim of cheaper strategy selection. This evidence remains separate from the original statistical families.</w:t>
      </w:r>
    </w:p>
    <w:p>
      <w:pPr>
        <w:keepNext w:val="0"/>
        <w:spacing w:before="0" w:after="60" w:line="240" w:lineRule="auto"/>
        <w:ind w:firstLine="317"/>
        <w:jc w:val="both"/>
      </w:pPr>
      <w:r>
        <w:rPr>
          <w:rFonts w:ascii="Times New Roman" w:hAnsi="Times New Roman"/>
          <w:b w:val="0"/>
          <w:i w:val="0"/>
          <w:color w:val="000000"/>
          <w:sz w:val="22"/>
        </w:rPr>
        <w:t>Algorithm 1 specifies the audit procedure and its required evidence. The contribution is an implemented intervention-and-verification method for surrogate-management mechanisms; no acquisition function or universally superior strategy selector is introduced. Section 2.3 relates its evidence objects to existing model management, diagnostic benchmarking, and algorithm selection; Sections 6.3-6.4 provide the additional GP evidence.</w:t>
      </w:r>
    </w:p>
    <w:p>
      <w:pPr>
        <w:keepNext w:val="0"/>
        <w:spacing w:before="0" w:after="60" w:line="240" w:lineRule="auto"/>
        <w:ind w:firstLine="317"/>
        <w:jc w:val="both"/>
      </w:pPr>
      <w:r>
        <w:rPr>
          <w:rFonts w:ascii="Times New Roman" w:hAnsi="Times New Roman"/>
          <w:b w:val="0"/>
          <w:i w:val="0"/>
          <w:color w:val="000000"/>
          <w:sz w:val="22"/>
        </w:rPr>
        <w:t>Here, reliability refers to the credibility and utility of surrogate-management decisions. It does not denote reliability-based design optimization with structural failure probabilities or probabilistic safety constraints.</w:t>
      </w:r>
    </w:p>
    <w:p>
      <w:pPr>
        <w:keepNext w:val="0"/>
        <w:spacing w:before="0" w:after="60" w:line="240" w:lineRule="auto"/>
        <w:ind w:firstLine="317"/>
        <w:jc w:val="both"/>
      </w:pPr>
      <w:r>
        <w:rPr>
          <w:rFonts w:ascii="Times New Roman" w:hAnsi="Times New Roman"/>
          <w:b w:val="0"/>
          <w:i w:val="0"/>
          <w:color w:val="000000"/>
          <w:sz w:val="22"/>
        </w:rPr>
        <w:t>The claims are deliberately bounded. The empirical residual quantile is not presented as a conformal coverage theorem, false-discovery guarantee, regret bound, or universally effective high-dimensional method. The case-study findings concern a deterministic, single-objective setting, the stated surrogate and candidate process, and the tested budgets. The framework itself supplies a structured test procedure; it does not imply that candidate-dependent uncertainty, expected improvement, confidence bounds, restarts, stopping rules, or uncertainty-aware optimization in general are ineffective.</w:t>
      </w:r>
    </w:p>
    <w:p>
      <w:pPr>
        <w:pStyle w:val="Heading1"/>
        <w:keepNext/>
        <w:spacing w:before="240" w:after="60" w:line="240" w:lineRule="auto"/>
        <w:jc w:val="left"/>
      </w:pPr>
      <w:r>
        <w:rPr>
          <w:rFonts w:ascii="Times New Roman" w:hAnsi="Times New Roman"/>
          <w:b/>
          <w:i w:val="0"/>
          <w:color w:val="000000"/>
          <w:sz w:val="22"/>
        </w:rPr>
        <w:t>2 Related Work</w:t>
      </w:r>
    </w:p>
    <w:p>
      <w:pPr>
        <w:pStyle w:val="Heading2"/>
        <w:keepNext/>
        <w:spacing w:before="160" w:after="60" w:line="240" w:lineRule="auto"/>
        <w:jc w:val="left"/>
      </w:pPr>
      <w:r>
        <w:rPr>
          <w:rFonts w:ascii="Times New Roman" w:hAnsi="Times New Roman"/>
          <w:b/>
          <w:i/>
          <w:color w:val="000000"/>
          <w:sz w:val="22"/>
        </w:rPr>
        <w:t>2.1 Surrogate-assisted optimization and engineering applications</w:t>
      </w:r>
    </w:p>
    <w:p>
      <w:pPr>
        <w:keepNext w:val="0"/>
        <w:spacing w:before="0" w:after="60" w:line="240" w:lineRule="auto"/>
        <w:ind w:firstLine="317"/>
        <w:jc w:val="both"/>
      </w:pPr>
      <w:r>
        <w:rPr>
          <w:rFonts w:ascii="Times New Roman" w:hAnsi="Times New Roman"/>
          <w:b w:val="0"/>
          <w:i w:val="0"/>
          <w:color w:val="000000"/>
          <w:sz w:val="22"/>
        </w:rPr>
        <w:t>Surrogate-assisted evolutionary computation has developed a broad range of models and management policies for expensive optimization [1,2]. Early frameworks combined evolutionary search with approximate fitness functions or Gaussian-process surrogates [3,16]. Later work introduced selective ensembles, local/global models, classification-assisted search, and adaptive infill rules [4,5,17-19]. Differential evolution remains a common search engine in this area; the taxonomy and empirical evidence synthesized by Pan et al. [31] show that exponential-crossover behavior depends strongly on operator design and parameter control. A recent survey identifies model construction and model management as separate determinants of performance [2]. Controlled experiments with adjustable surrogate accuracy likewise show that prediction accuracy affects preselection, individual-based, and generation-based management differently [20].</w:t>
      </w:r>
    </w:p>
    <w:p>
      <w:pPr>
        <w:keepNext w:val="0"/>
        <w:spacing w:before="0" w:after="60" w:line="240" w:lineRule="auto"/>
        <w:ind w:firstLine="317"/>
        <w:jc w:val="both"/>
      </w:pPr>
      <w:r>
        <w:rPr>
          <w:rFonts w:ascii="Times New Roman" w:hAnsi="Times New Roman"/>
          <w:b w:val="0"/>
          <w:i w:val="0"/>
          <w:color w:val="000000"/>
          <w:sz w:val="22"/>
        </w:rPr>
        <w:t>Engineering applications show how these ideas enter expensive computational workflows. Hierarchical surrogate evaluation reduces neural-architecture search cost [27], deep surrogate models support multi-objective robotic linkage design [28], and physics-informed Gaussian-process regression with adaptive Bayesian optimization combines finite-element knowledge with welding-parameter selection [29]. Surrogate-assisted particle swarm optimization (PSO) has also been applied to multi-unmanned-aerial-vehicle (multi-UAV) path planning [33]. These studies motivate reliability checks at the decision layer because prediction accuracy and evaluation savings are valuable only when surrogate outputs lead to useful paid evaluations.</w:t>
      </w:r>
    </w:p>
    <w:p>
      <w:pPr>
        <w:keepNext w:val="0"/>
        <w:spacing w:before="0" w:after="60" w:line="240" w:lineRule="auto"/>
        <w:ind w:firstLine="317"/>
        <w:jc w:val="both"/>
      </w:pPr>
      <w:r>
        <w:rPr>
          <w:rFonts w:ascii="Times New Roman" w:hAnsi="Times New Roman"/>
          <w:b w:val="0"/>
          <w:i w:val="0"/>
          <w:color w:val="000000"/>
          <w:sz w:val="22"/>
        </w:rPr>
        <w:t>Uncertainty-aware surrogate-assisted evolutionary algorithms (SAEAs) typically make uncertainty candidate dependent. The boosting Gaussian-process SAEA (BGP-SAEA) combines a boosting framework with Gaussian-process uncertainty [6], while recent large-scale methods use lower-confidence-bound Gaussian-process models and diversity search [7]. For expensive multi-objective optimization, the multilayer-perceptron sparse-Gaussian-process SAEA (MLPSGP-SAEA) combines multilayer-perceptron variable grouping, sparse Gaussian processes, and an adaptive sparse-and-diverse infill criterion [32]. Other work adapts differential-evolution selection to errors in both decision and objective spaces [8], tightens the search space for high-dimensional expensive problems [9], or draws on multiple spatial, temporal, and performance information sources [10]. These mechanisms can change candidate ranking, local search regions, or population updates.</w:t>
      </w:r>
    </w:p>
    <w:p>
      <w:pPr>
        <w:keepNext w:val="0"/>
        <w:spacing w:before="0" w:after="60" w:line="240" w:lineRule="auto"/>
        <w:ind w:firstLine="317"/>
        <w:jc w:val="both"/>
      </w:pPr>
      <w:r>
        <w:rPr>
          <w:rFonts w:ascii="Times New Roman" w:hAnsi="Times New Roman"/>
          <w:b w:val="0"/>
          <w:i w:val="0"/>
          <w:color w:val="000000"/>
          <w:sz w:val="22"/>
        </w:rPr>
        <w:t>Competitive SAEAs also use evolutionary populations and learned relations rather than a scalar acquisition alone. DRSO retains unevaluated promising solutions in a relation-model-assisted evolutionary loop to preserve useful population information under expensive-evaluation budgets [30]. Its public author implementation makes it suitable for a source-frozen engineering comparison, while its distinct population mechanism broadens the evidence beyond Gaussian-process acquisitions.</w:t>
      </w:r>
    </w:p>
    <w:p>
      <w:pPr>
        <w:pStyle w:val="Heading2"/>
        <w:keepNext/>
        <w:spacing w:before="160" w:after="60" w:line="240" w:lineRule="auto"/>
        <w:jc w:val="left"/>
      </w:pPr>
      <w:r>
        <w:rPr>
          <w:rFonts w:ascii="Times New Roman" w:hAnsi="Times New Roman"/>
          <w:b/>
          <w:i/>
          <w:color w:val="000000"/>
          <w:sz w:val="22"/>
        </w:rPr>
        <w:t>2.2 Reliability-aware surrogate model management</w:t>
      </w:r>
    </w:p>
    <w:p>
      <w:pPr>
        <w:keepNext w:val="0"/>
        <w:spacing w:before="0" w:after="60" w:line="240" w:lineRule="auto"/>
        <w:ind w:firstLine="317"/>
        <w:jc w:val="both"/>
      </w:pPr>
      <w:r>
        <w:rPr>
          <w:rFonts w:ascii="Times New Roman" w:hAnsi="Times New Roman"/>
          <w:b w:val="0"/>
          <w:i w:val="0"/>
          <w:color w:val="000000"/>
          <w:sz w:val="22"/>
        </w:rPr>
        <w:t>Bayesian optimization has incorporated online calibration. Deshpande et al. [12] calibrate predictive distributions and update them online. Localized online conformal Bayesian optimization constructs spatially varying thresholds and a calibrated posterior [13]. Selection-conditional methods use reference sets under explicit invariance and exchangeability conditions [14]. Temporal conformal prediction has also been considered in surrogate-assisted evolutionary optimization [15]. The cross-model residual journal examined here does not establish the assumptions required by those methods and is treated as an empirical monitor without transferred guarantees.</w:t>
      </w:r>
    </w:p>
    <w:p>
      <w:pPr>
        <w:keepNext/>
        <w:spacing w:before="120" w:after="60" w:line="240" w:lineRule="auto"/>
        <w:jc w:val="center"/>
      </w:pPr>
      <w:r>
        <w:rPr>
          <w:rFonts w:ascii="Times New Roman" w:hAnsi="Times New Roman"/>
          <w:color w:val="000000"/>
          <w:sz w:val="20"/>
        </w:rPr>
        <w:t>Table 1: Scope of representative reliability and model-management approaches.</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rPr>
          <w:tblHeader w:val="true"/>
          <w:cantSplit/>
        </w:trPr>
        <w:tc>
          <w:tcPr>
            <w:tcW w:type="dxa" w:w="234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8"/>
              </w:rPr>
              <w:t>Approach</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Primary quantity assessed</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Direct decision question</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Closed-loop consequence required</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Gaussian-process uncertainty</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Predictive confidence</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Does uncertainty modify an acquisition value?</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Usually evaluated by optimizer performance</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Conformal prediction</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Marginal or localized coverage</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Does a calibrated set or bound satisfy its stated guarantee?</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Not implied by coverage alone</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Adaptive infill</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Evaluation selection</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Which candidate receives the next expensive label?</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Evaluated through search performance</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Candidate-dependent SAEA management</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Ranking, region, or population update</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Does surrogate information change the search action?</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Method-specific</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Relation-model DRSO</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Pairwise fitness/category relations and unevaluated population</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Does evolutionary surrogate management preserve promising search information?</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Evaluated by paid-budget endpoint</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Decision-consequence audit</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Calibration, decision influence, utility, and final outcome</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Does the signal change a paid decision and make it more useful?</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Required as the final audit level</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Several studies compare Bayesian, evolutionary, and hybrid surrogate strategies under constrained budgets [21], and others show that unevaluated but surrogate-predicted candidates can influence evolutionary diversity [22]. These optimizers are complementary to the present audit. A change in a coupled trajectory does not, by itself, isolate what the mechanism would have selected at the same learned state. The additional GP intervention freezes that state and candidate pool before consulting alternative outcomes, then evaluates longer-horizon policies separately.</w:t>
      </w:r>
    </w:p>
    <w:p>
      <w:pPr>
        <w:pStyle w:val="Heading2"/>
        <w:keepNext/>
        <w:spacing w:before="160" w:after="60" w:line="240" w:lineRule="auto"/>
        <w:jc w:val="left"/>
      </w:pPr>
      <w:r>
        <w:rPr>
          <w:rFonts w:ascii="Times New Roman" w:hAnsi="Times New Roman"/>
          <w:b/>
          <w:i/>
          <w:color w:val="000000"/>
          <w:sz w:val="22"/>
        </w:rPr>
        <w:t>2.3 Operational distinction from existing model management and selection</w:t>
      </w:r>
    </w:p>
    <w:p>
      <w:pPr>
        <w:keepNext w:val="0"/>
        <w:spacing w:before="0" w:after="60" w:line="240" w:lineRule="auto"/>
        <w:ind w:firstLine="317"/>
        <w:jc w:val="both"/>
      </w:pPr>
      <w:r>
        <w:rPr>
          <w:rFonts w:ascii="Times New Roman" w:hAnsi="Times New Roman"/>
          <w:b w:val="0"/>
          <w:i w:val="0"/>
          <w:color w:val="000000"/>
          <w:sz w:val="22"/>
        </w:rPr>
        <w:t>Reliable regional Kriging supplies a variance-guided search region and adaptive infill mechanism [35]; surrogate-management frameworks can also provide convergence guarantees under their assumptions [38]. The present method does not replace these search rules or inherit their convergence guarantees. It evaluates the route from an existing rule to a paid action and the evidence needed to justify that route. Hanawa et al. [20] vary the accuracy of a pseudo-surrogate to compare management strategies. Here the intervention instead holds an actually learned GP state fixed and varies its acquisition rule; posterior uncertainty and training labels are not replaced by synthetic accuracy levels.</w:t>
      </w:r>
    </w:p>
    <w:p>
      <w:pPr>
        <w:keepNext w:val="0"/>
        <w:spacing w:before="0" w:after="60" w:line="240" w:lineRule="auto"/>
        <w:ind w:firstLine="317"/>
        <w:jc w:val="both"/>
      </w:pPr>
      <w:r>
        <w:rPr>
          <w:rFonts w:ascii="Times New Roman" w:hAnsi="Times New Roman"/>
          <w:b w:val="0"/>
          <w:i w:val="0"/>
          <w:color w:val="000000"/>
          <w:sz w:val="22"/>
        </w:rPr>
        <w:t>Diagnostic benchmarking [34] studies effectiveness, efficiency, reliability, parameter controllability, and runtime dynamics on real applications. The unit of intervention used here is the mechanism decision within a frozen optimization state, followed by a distinct policy-level validation. Algorithm selection and its data-acquisition cost are established topics [36,37]. In particular, trajectory-based warm-starting reuses search information when switching algorithms [37]. The twenty-step selection workflow deliberately discards pilot labels from validation training to measure selection transfer under an intact information boundary. It is a diagnostic case, not a claimed advance over warm-starting selectors; a production workflow could reuse pilot information and would require its own validation.</w:t>
      </w:r>
    </w:p>
    <w:p>
      <w:pPr>
        <w:keepNext w:val="0"/>
        <w:spacing w:before="0" w:after="60" w:line="240" w:lineRule="auto"/>
        <w:ind w:firstLine="317"/>
        <w:jc w:val="both"/>
      </w:pPr>
      <w:r>
        <w:rPr>
          <w:rFonts w:ascii="Times New Roman" w:hAnsi="Times New Roman"/>
          <w:b/>
          <w:i w:val="0"/>
          <w:color w:val="000000"/>
          <w:sz w:val="22"/>
        </w:rPr>
        <w:t>Relation to representative prior work and the evidence object added here. The comparison concerns the stated studies, not the absence of these ideas throughout the literature.</w:t>
      </w:r>
    </w:p>
    <w:p>
      <w:pPr>
        <w:keepNext/>
        <w:spacing w:before="120" w:after="60" w:line="240" w:lineRule="auto"/>
        <w:jc w:val="center"/>
      </w:pPr>
      <w:r>
        <w:rPr>
          <w:rFonts w:ascii="Times New Roman" w:hAnsi="Times New Roman"/>
          <w:color w:val="000000"/>
          <w:sz w:val="20"/>
        </w:rPr>
        <w:t>Table 2: Results for Operational distinction from existing model management and selection</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120"/>
        <w:gridCol w:w="3120"/>
        <w:gridCol w:w="3120"/>
      </w:tblGrid>
      <w:tr>
        <w:trPr>
          <w:tblHeader w:val="true"/>
          <w:cantSplit/>
        </w:trPr>
        <w:tc>
          <w:tcPr>
            <w:tcW w:type="dxa" w:w="312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8"/>
              </w:rPr>
              <w:t>Representative work</w:t>
            </w:r>
          </w:p>
        </w:tc>
        <w:tc>
          <w:tcPr>
            <w:tcW w:type="dxa" w:w="312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Reported focus</w:t>
            </w:r>
          </w:p>
        </w:tc>
        <w:tc>
          <w:tcPr>
            <w:tcW w:type="dxa" w:w="312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Operational evidence in the present implementation</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Reliable regional Kriging [35]</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Variance-guided reliable regions and sequential infill</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Exact chosen-action equivalence and separate intervention labels at a frozen state</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Surrogate management [38]</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Managing approximation models with convergence analysis</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An evidence audit without inheriting an optimizer's convergence guarantee</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Adjustable-accuracy management study [20]</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Search response to controlled pseudo-surrogate accuracy</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Fixed learned posterior, identical candidate pool, and acquisition-only intervention</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Diagnostic benchmarking [34]</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Effectiveness, efficiency, reliability, parameter controllability, and runtime dynamics across real applications</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Mechanism-level decision effects connected to separate closed-loop outcomes</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Frugal selection [36] and trajectory warm-starting [37]</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Selection data cost and reuse of search information</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Independent pilot-to-validation transfer, exact paid ledger, and explicit endpoint/cost boundaries</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reusable technical object is the frozen decision record plus its equivalence classes, response ledger, and subsequent validation record. Neither logging, matched initialization, additive ranking invariance, nor counting diagnostic overhead is claimed as a standalone contribution. The methodological advance argued here is their joint use to make a signal-to-action claim falsifiable before treating it as demonstrated engineering-budget value. The evidence tests that method on a residual controller and four GP acquisition policies; it does not establish general superiority across all surrogate or selector families.</w:t>
      </w:r>
    </w:p>
    <w:p>
      <w:pPr>
        <w:pStyle w:val="Heading1"/>
        <w:keepNext/>
        <w:spacing w:before="240" w:after="60" w:line="240" w:lineRule="auto"/>
        <w:jc w:val="left"/>
      </w:pPr>
      <w:r>
        <w:rPr>
          <w:rFonts w:ascii="Times New Roman" w:hAnsi="Times New Roman"/>
          <w:b/>
          <w:i w:val="0"/>
          <w:color w:val="000000"/>
          <w:sz w:val="22"/>
        </w:rPr>
        <w:t>3 Decision-Consequence Auditing Framework for Surrogate-Assisted Model Management</w:t>
      </w:r>
    </w:p>
    <w:p>
      <w:pPr>
        <w:pStyle w:val="Heading2"/>
        <w:keepNext/>
        <w:spacing w:before="160" w:after="60" w:line="240" w:lineRule="auto"/>
        <w:jc w:val="left"/>
      </w:pPr>
      <w:r>
        <w:rPr>
          <w:rFonts w:ascii="Times New Roman" w:hAnsi="Times New Roman"/>
          <w:b/>
          <w:i/>
          <w:color w:val="000000"/>
          <w:sz w:val="22"/>
        </w:rPr>
        <w:t>3.1 Optimization system and information boundary</w:t>
      </w:r>
    </w:p>
    <w:p>
      <w:pPr>
        <w:keepNext w:val="0"/>
        <w:spacing w:before="0" w:after="60" w:line="240" w:lineRule="auto"/>
        <w:ind w:firstLine="317"/>
        <w:jc w:val="both"/>
      </w:pPr>
      <w:r>
        <w:rPr>
          <w:rFonts w:ascii="Times New Roman" w:hAnsi="Times New Roman"/>
          <w:b w:val="0"/>
          <w:i w:val="0"/>
          <w:color w:val="000000"/>
          <w:sz w:val="22"/>
        </w:rPr>
        <w:t>A deterministic objective f(x) is minimized over a bounded continuous domain under budget B. At evaluation t, the labeled history contains only observations acquired before t. A surrogate fitted to that history supplies predictions for a candidate set, while a monitoring signal and model-management rule determine which candidate, region, evaluation gate, restart, or stopping action is used. The audit treats the full chain from surrogate output to paid evaluation as its object of analysis.</w:t>
      </w:r>
    </w:p>
    <w:p>
      <w:pPr>
        <w:keepNext w:val="0"/>
        <w:spacing w:before="0" w:after="60" w:line="240" w:lineRule="auto"/>
        <w:ind w:firstLine="317"/>
        <w:jc w:val="both"/>
      </w:pPr>
      <w:r>
        <w:rPr>
          <w:rFonts w:ascii="Times New Roman" w:hAnsi="Times New Roman"/>
          <w:b w:val="0"/>
          <w:i w:val="0"/>
          <w:color w:val="000000"/>
          <w:sz w:val="22"/>
        </w:rPr>
        <w:t>Before the objective is called, a prediction-before-label journal stores the candidate set or its reproducible identifier, selected point, surrogate outputs, monitoring signal, incumbent, decision mode, support indicators, and random-state identifiers. The record is flushed before the label is obtained. Labels acquired solely for frozen-state diagnostics remain separate and never return to the optimizer. This boundary prevents outcome information from leaking into the decision being audited.</w:t>
      </w:r>
    </w:p>
    <w:p>
      <w:pPr>
        <w:keepNext w:val="0"/>
        <w:spacing w:before="0" w:after="60" w:line="240" w:lineRule="auto"/>
        <w:ind w:firstLine="317"/>
        <w:jc w:val="both"/>
      </w:pPr>
      <w:r>
        <w:rPr>
          <w:rFonts w:ascii="Times New Roman" w:hAnsi="Times New Roman"/>
          <w:b w:val="0"/>
          <w:i w:val="0"/>
          <w:color w:val="000000"/>
          <w:sz w:val="22"/>
        </w:rPr>
        <w:t>The role of the framework in a surrogate-assisted optimization loop is shown in Figure 1.</w:t>
      </w:r>
    </w:p>
    <w:p>
      <w:pPr>
        <w:keepNext/>
        <w:spacing w:before="120" w:after="40" w:line="240" w:lineRule="auto"/>
        <w:jc w:val="center"/>
      </w:pPr>
      <w:r>
        <w:drawing>
          <wp:inline xmlns:a="http://schemas.openxmlformats.org/drawingml/2006/main" xmlns:pic="http://schemas.openxmlformats.org/drawingml/2006/picture">
            <wp:extent cx="5760720" cy="2565699"/>
            <wp:docPr id="1" name="Picture 1" descr="Decision-consequence auditing framework for surrogate-assisted optimization."/>
            <wp:cNvGraphicFramePr>
              <a:graphicFrameLocks noChangeAspect="1"/>
            </wp:cNvGraphicFramePr>
            <a:graphic>
              <a:graphicData uri="http://schemas.openxmlformats.org/drawingml/2006/picture">
                <pic:pic>
                  <pic:nvPicPr>
                    <pic:cNvPr id="0" name="decision_consequence_framework.png"/>
                    <pic:cNvPicPr/>
                  </pic:nvPicPr>
                  <pic:blipFill>
                    <a:blip r:embed="rId10"/>
                    <a:stretch>
                      <a:fillRect/>
                    </a:stretch>
                  </pic:blipFill>
                  <pic:spPr>
                    <a:xfrm>
                      <a:off x="0" y="0"/>
                      <a:ext cx="5760720" cy="2565699"/>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1: Decision-consequence auditing framework for surrogate-assisted optimization.</w:t>
      </w:r>
    </w:p>
    <w:p>
      <w:pPr>
        <w:keepNext w:val="0"/>
        <w:spacing w:before="0" w:after="60" w:line="240" w:lineRule="auto"/>
        <w:ind w:firstLine="317"/>
        <w:jc w:val="both"/>
      </w:pPr>
      <w:r>
        <w:rPr>
          <w:rFonts w:ascii="Times New Roman" w:hAnsi="Times New Roman"/>
          <w:b w:val="0"/>
          <w:i w:val="0"/>
          <w:color w:val="000000"/>
          <w:sz w:val="22"/>
        </w:rPr>
        <w:t>Figure 1 locates the three audit levels along the operational chain from an expensive engineering problem to surrogate prediction, model-management choice, paid evaluation, and closed-loop outcome. Calibration assesses the signal encountered by the optimizer; decision analysis tests whether the signal changes a choice and improves common-state utility; closed-loop validation measures the final consequence after histories diverge.</w:t>
      </w:r>
    </w:p>
    <w:p>
      <w:pPr>
        <w:pStyle w:val="Heading2"/>
        <w:keepNext/>
        <w:spacing w:before="160" w:after="60" w:line="240" w:lineRule="auto"/>
        <w:jc w:val="left"/>
      </w:pPr>
      <w:r>
        <w:rPr>
          <w:rFonts w:ascii="Times New Roman" w:hAnsi="Times New Roman"/>
          <w:b/>
          <w:i/>
          <w:color w:val="000000"/>
          <w:sz w:val="22"/>
        </w:rPr>
        <w:t>3.2 Decision pathways and ranking invariance</w:t>
      </w:r>
    </w:p>
    <w:p>
      <w:pPr>
        <w:keepNext w:val="0"/>
        <w:spacing w:before="0" w:after="60" w:line="240" w:lineRule="auto"/>
        <w:ind w:firstLine="317"/>
        <w:jc w:val="both"/>
      </w:pPr>
      <w:r>
        <w:rPr>
          <w:rFonts w:ascii="Times New Roman" w:hAnsi="Times New Roman"/>
          <w:b w:val="0"/>
          <w:i w:val="0"/>
          <w:color w:val="000000"/>
          <w:sz w:val="22"/>
        </w:rPr>
        <w:t>A monitoring mechanism can affect optimization through candidate-specific ranking, an evaluation gate, a restart or stopping rule, a change of search region or population, or a stochastic exploration controller. The first audit step identifies at least one such path before additional expensive experiments are authorized.</w:t>
      </w:r>
    </w:p>
    <w:p>
      <w:pPr>
        <w:keepNext w:val="0"/>
        <w:spacing w:before="0" w:after="60" w:line="240" w:lineRule="auto"/>
        <w:ind w:firstLine="317"/>
        <w:jc w:val="both"/>
      </w:pPr>
      <w:r>
        <w:rPr>
          <w:rFonts w:ascii="Times New Roman" w:hAnsi="Times New Roman"/>
          <w:b/>
          <w:i w:val="0"/>
          <w:color w:val="000000"/>
          <w:sz w:val="22"/>
        </w:rPr>
        <w:t>Lemma 1 (ranking invariance under a candidate-independent additive correction).</w:t>
      </w:r>
      <w:r>
        <w:rPr>
          <w:rFonts w:ascii="Times New Roman" w:hAnsi="Times New Roman"/>
          <w:b w:val="0"/>
          <w:i w:val="0"/>
          <w:color w:val="000000"/>
          <w:sz w:val="22"/>
        </w:rPr>
        <w:t xml:space="preserve"> At evaluation t, suppose two rules receive an identical indexed candidate set, use deterministic and identical tie-breaking, and are evaluated in exact arithmetic. If every supported candidate shares the same additive correction cₜ, then minimizing Hₜ(x)=μₜ(x)+cₜ returns the same minimizer index as minimizing μₜ(x).</w:t>
      </w:r>
    </w:p>
    <w:p>
      <w:pPr>
        <w:keepNext w:val="0"/>
        <w:spacing w:before="0" w:after="60" w:line="240" w:lineRule="auto"/>
        <w:jc w:val="both"/>
      </w:pPr>
      <w:r>
        <w:rPr>
          <w:rFonts w:ascii="Times New Roman" w:hAnsi="Times New Roman"/>
          <w:b/>
          <w:i w:val="0"/>
          <w:color w:val="000000"/>
          <w:sz w:val="22"/>
        </w:rPr>
        <w:t>Proof.</w:t>
      </w:r>
      <w:r>
        <w:rPr>
          <w:rFonts w:ascii="Times New Roman" w:hAnsi="Times New Roman"/>
          <w:b w:val="0"/>
          <w:i w:val="0"/>
          <w:color w:val="000000"/>
          <w:sz w:val="22"/>
        </w:rPr>
        <w:t xml:space="preserve"> For any indexed candidates xᵢ and xⱼ, Hₜ(xᵢ)-Hₜ(xⱼ)=μₜ(xᵢ)-μₜ(xⱼ). Every strict comparison and exact tie is therefore preserved under the stated tie-breaking rule. The same indexed minimizer follows. ∎</w:t>
      </w:r>
    </w:p>
    <w:p>
      <w:pPr>
        <w:keepNext w:val="0"/>
        <w:spacing w:before="0" w:after="60" w:line="240" w:lineRule="auto"/>
        <w:jc w:val="both"/>
      </w:pPr>
      <w:r>
        <w:rPr>
          <w:rFonts w:ascii="Times New Roman" w:hAnsi="Times New Roman"/>
          <w:b/>
          <w:i w:val="0"/>
          <w:color w:val="000000"/>
          <w:sz w:val="22"/>
        </w:rPr>
        <w:t>Corollary 1.</w:t>
      </w:r>
      <w:r>
        <w:rPr>
          <w:rFonts w:ascii="Times New Roman" w:hAnsi="Times New Roman"/>
          <w:b w:val="0"/>
          <w:i w:val="0"/>
          <w:color w:val="000000"/>
          <w:sz w:val="22"/>
        </w:rPr>
        <w:t xml:space="preserve"> If two configurations also share initialization, candidate generation, exploration decisions, all random streams and stochastic operators, numerical precision, and optimizer-state updates, and differ only by replacing the common-correction minimizer with the mean minimizer, their trajectories are identical by induction over evaluations. Finite-precision agreement is an implementation property and is checked separately in the experiment audit.</w:t>
      </w:r>
    </w:p>
    <w:p>
      <w:pPr>
        <w:keepNext w:val="0"/>
        <w:spacing w:before="0" w:after="60" w:line="240" w:lineRule="auto"/>
        <w:ind w:firstLine="317"/>
        <w:jc w:val="both"/>
      </w:pPr>
      <w:r>
        <w:rPr>
          <w:rFonts w:ascii="Times New Roman" w:hAnsi="Times New Roman"/>
          <w:b w:val="0"/>
          <w:i w:val="0"/>
          <w:color w:val="000000"/>
          <w:sz w:val="22"/>
        </w:rPr>
        <w:t>This result identifies a structural limitation of candidate-independent corrections; it does not invalidate uncertainty-aware surrogate management in general. Candidate-dependent posterior uncertainty, expected improvement, lower-confidence bounds, support-dependent rules, evaluation gates, restarts, and stopping policies may create decision paths that Lemma 1 does not remove.</w:t>
      </w:r>
    </w:p>
    <w:p>
      <w:pPr>
        <w:pStyle w:val="Heading2"/>
        <w:keepNext/>
        <w:spacing w:before="160" w:after="60" w:line="240" w:lineRule="auto"/>
        <w:jc w:val="left"/>
      </w:pPr>
      <w:r>
        <w:rPr>
          <w:rFonts w:ascii="Times New Roman" w:hAnsi="Times New Roman"/>
          <w:b/>
          <w:i/>
          <w:color w:val="000000"/>
          <w:sz w:val="22"/>
        </w:rPr>
        <w:t>3.3 Three audit levels and promotion gate</w:t>
      </w:r>
    </w:p>
    <w:p>
      <w:pPr>
        <w:keepNext w:val="0"/>
        <w:spacing w:before="0" w:after="60" w:line="240" w:lineRule="auto"/>
        <w:ind w:firstLine="317"/>
        <w:jc w:val="both"/>
      </w:pPr>
      <w:r>
        <w:rPr>
          <w:rFonts w:ascii="Times New Roman" w:hAnsi="Times New Roman"/>
          <w:b w:val="0"/>
          <w:i w:val="0"/>
          <w:color w:val="000000"/>
          <w:sz w:val="22"/>
        </w:rPr>
        <w:t>Common-history calibration fits the same frozen model and candidate pool, then evaluates monitoring losses and failures without updating the search. Common-state decision analysis compares the action with and without the mechanism at the same state; when actions differ, separate diagnostic labels measure true one-step utility. Independent closed-loop experiments then allow each policy to update its own history and evaluate final optimization behavior. One-step improvement diagnoses immediate exploitation value but is not a necessary condition for useful exploration. A lower immediate gain therefore identifies a need for delayed-value assessment rather than, by itself, grounds for stopping an exploration mechanism. The following procedure clarifies the interpretation of audit stages; it does not retrospectively alter any frozen experimental protocol or statistical comparison.</w:t>
      </w:r>
    </w:p>
    <w:p>
      <w:pPr>
        <w:keepNext w:val="0"/>
        <w:spacing w:before="0" w:after="60" w:line="240" w:lineRule="auto"/>
        <w:ind w:firstLine="317"/>
        <w:jc w:val="both"/>
      </w:pPr>
      <w:r>
        <w:rPr>
          <w:rFonts w:ascii="Times New Roman" w:hAnsi="Times New Roman"/>
          <w:b/>
          <w:i w:val="0"/>
          <w:color w:val="000000"/>
          <w:sz w:val="22"/>
        </w:rPr>
        <w:t>Algorithm 1. Decision-consequence audit for a surrogate-assisted model-management mechanism.</w:t>
      </w:r>
    </w:p>
    <w:p>
      <w:pPr>
        <w:keepNext w:val="0"/>
        <w:spacing w:before="0" w:after="60" w:line="240" w:lineRule="auto"/>
        <w:ind w:firstLine="317"/>
        <w:jc w:val="both"/>
      </w:pPr>
      <w:r>
        <w:rPr>
          <w:rFonts w:ascii="Times New Roman" w:hAnsi="Times New Roman"/>
          <w:b/>
          <w:i w:val="0"/>
          <w:color w:val="000000"/>
          <w:sz w:val="22"/>
        </w:rPr>
        <w:t>Step 1 — Specify.</w:t>
      </w:r>
      <w:r>
        <w:rPr>
          <w:rFonts w:ascii="Times New Roman" w:hAnsi="Times New Roman"/>
          <w:b w:val="0"/>
          <w:i w:val="0"/>
          <w:color w:val="000000"/>
          <w:sz w:val="22"/>
        </w:rPr>
        <w:t xml:space="preserve"> Freeze the surrogate, candidate generator, monitoring signal, management or acquisition rule, expensive objective, budget, and deterministic replay information. Output: protocol and information boundary.</w:t>
      </w:r>
    </w:p>
    <w:p>
      <w:pPr>
        <w:keepNext w:val="0"/>
        <w:spacing w:before="0" w:after="60" w:line="240" w:lineRule="auto"/>
        <w:ind w:firstLine="317"/>
        <w:jc w:val="both"/>
      </w:pPr>
      <w:r>
        <w:rPr>
          <w:rFonts w:ascii="Times New Roman" w:hAnsi="Times New Roman"/>
          <w:b/>
          <w:i w:val="0"/>
          <w:color w:val="000000"/>
          <w:sz w:val="22"/>
        </w:rPr>
        <w:t>Step 2 — Trace.</w:t>
      </w:r>
      <w:r>
        <w:rPr>
          <w:rFonts w:ascii="Times New Roman" w:hAnsi="Times New Roman"/>
          <w:b w:val="0"/>
          <w:i w:val="0"/>
          <w:color w:val="000000"/>
          <w:sz w:val="22"/>
        </w:rPr>
        <w:t xml:space="preserve"> Follow the signal through ranking, evaluation, region, population, restart, stopping, or stochastic-exploration decisions. Gate: at least one candidate-dependent or otherwise actionable path.</w:t>
      </w:r>
    </w:p>
    <w:p>
      <w:pPr>
        <w:keepNext w:val="0"/>
        <w:spacing w:before="0" w:after="60" w:line="240" w:lineRule="auto"/>
        <w:ind w:firstLine="317"/>
        <w:jc w:val="both"/>
      </w:pPr>
      <w:r>
        <w:rPr>
          <w:rFonts w:ascii="Times New Roman" w:hAnsi="Times New Roman"/>
          <w:b/>
          <w:i w:val="0"/>
          <w:color w:val="000000"/>
          <w:sz w:val="22"/>
        </w:rPr>
        <w:t>Step 3 — Record and calibrate.</w:t>
      </w:r>
      <w:r>
        <w:rPr>
          <w:rFonts w:ascii="Times New Roman" w:hAnsi="Times New Roman"/>
          <w:b w:val="0"/>
          <w:i w:val="0"/>
          <w:color w:val="000000"/>
          <w:sz w:val="22"/>
        </w:rPr>
        <w:t xml:space="preserve"> Persist every decision before its label. If the mechanism makes a calibrated-error claim, assess that claim on appropriately separated diagnostic data. Gate: an intact information boundary and evidence supporting the stated claim. Mechanisms that make no calibration claim are not required to pass a coverage test.</w:t>
      </w:r>
    </w:p>
    <w:p>
      <w:pPr>
        <w:keepNext w:val="0"/>
        <w:spacing w:before="0" w:after="60" w:line="240" w:lineRule="auto"/>
        <w:ind w:firstLine="317"/>
        <w:jc w:val="both"/>
      </w:pPr>
      <w:r>
        <w:rPr>
          <w:rFonts w:ascii="Times New Roman" w:hAnsi="Times New Roman"/>
          <w:b/>
          <w:i w:val="0"/>
          <w:color w:val="000000"/>
          <w:sz w:val="22"/>
        </w:rPr>
        <w:t>Step 4 — Test common-state utility.</w:t>
      </w:r>
      <w:r>
        <w:rPr>
          <w:rFonts w:ascii="Times New Roman" w:hAnsi="Times New Roman"/>
          <w:b w:val="0"/>
          <w:i w:val="0"/>
          <w:color w:val="000000"/>
          <w:sz w:val="22"/>
        </w:rPr>
        <w:t xml:space="preserve"> Freeze optimization states and candidate pools, compare baseline and mechanism actions, and label only the prespecified diagnostic alternatives. Report decision-change frequency and immediate utility. For exploration, region, restart, or stopping mechanisms, prespecify a delayed-value assessment where needed. Gate: an identifiable decision consequence and sufficient evidence to justify the next diagnostic expenditure; lower one-step improvement alone does not reject exploration.</w:t>
      </w:r>
    </w:p>
    <w:p>
      <w:pPr>
        <w:keepNext w:val="0"/>
        <w:spacing w:before="0" w:after="60" w:line="240" w:lineRule="auto"/>
        <w:ind w:firstLine="317"/>
        <w:jc w:val="both"/>
      </w:pPr>
      <w:r>
        <w:rPr>
          <w:rFonts w:ascii="Times New Roman" w:hAnsi="Times New Roman"/>
          <w:b/>
          <w:i w:val="0"/>
          <w:color w:val="000000"/>
          <w:sz w:val="22"/>
        </w:rPr>
        <w:t>Step 5 — Validate the closed loop.</w:t>
      </w:r>
      <w:r>
        <w:rPr>
          <w:rFonts w:ascii="Times New Roman" w:hAnsi="Times New Roman"/>
          <w:b w:val="0"/>
          <w:i w:val="0"/>
          <w:color w:val="000000"/>
          <w:sz w:val="22"/>
        </w:rPr>
        <w:t xml:space="preserve"> Run independent optimization on held-out instances or engineering conditions under matched optimizer budgets, including when exploration requires a delayed-value test. Record diagnostic calls separately and include them in any deployment-cost comparison. Output: final objective consequence and total cost boundary.</w:t>
      </w:r>
    </w:p>
    <w:p>
      <w:pPr>
        <w:keepNext w:val="0"/>
        <w:spacing w:before="0" w:after="60" w:line="240" w:lineRule="auto"/>
        <w:ind w:firstLine="317"/>
        <w:jc w:val="both"/>
      </w:pPr>
      <w:r>
        <w:rPr>
          <w:rFonts w:ascii="Times New Roman" w:hAnsi="Times New Roman"/>
          <w:b/>
          <w:i w:val="0"/>
          <w:color w:val="000000"/>
          <w:sz w:val="22"/>
        </w:rPr>
        <w:t>Step 6 — Decide.</w:t>
      </w:r>
      <w:r>
        <w:rPr>
          <w:rFonts w:ascii="Times New Roman" w:hAnsi="Times New Roman"/>
          <w:b w:val="0"/>
          <w:i w:val="0"/>
          <w:color w:val="000000"/>
          <w:sz w:val="22"/>
        </w:rPr>
        <w:t xml:space="preserve"> Promote, revise, stop, or retain an inconclusive decision using prespecified outcome tolerances and cost limits. Report the first unsupported claim and the evidence needed to resolve it. Promotion requires closed-loop evidence for the intended engineering use. Output: stage-wise audit record.</w:t>
      </w:r>
    </w:p>
    <w:p>
      <w:pPr>
        <w:keepNext w:val="0"/>
        <w:spacing w:before="0" w:after="60" w:line="240" w:lineRule="auto"/>
        <w:ind w:firstLine="317"/>
        <w:jc w:val="both"/>
      </w:pPr>
      <w:r>
        <w:rPr>
          <w:rFonts w:ascii="Times New Roman" w:hAnsi="Times New Roman"/>
          <w:b w:val="0"/>
          <w:i w:val="0"/>
          <w:color w:val="000000"/>
          <w:sz w:val="22"/>
        </w:rPr>
        <w:t>The framework can return a positive result. Classical GP expected improvement is a candidate-dependent positive control: both its predicted improvement and uncertainty vary across candidates, so its acquisition can change ranking and passes the structural decision-influence check. Passing that first check does not guarantee superior endpoints; it authorizes empirical utility and closed-loop evaluation.</w:t>
      </w:r>
    </w:p>
    <w:p>
      <w:pPr>
        <w:pStyle w:val="Heading2"/>
        <w:keepNext/>
        <w:spacing w:before="160" w:after="60" w:line="240" w:lineRule="auto"/>
        <w:jc w:val="left"/>
      </w:pPr>
      <w:r>
        <w:rPr>
          <w:rFonts w:ascii="Times New Roman" w:hAnsi="Times New Roman"/>
          <w:b/>
          <w:i/>
          <w:color w:val="000000"/>
          <w:sz w:val="22"/>
        </w:rPr>
        <w:t>3.4 Diagnostic cost and scope of deployment claims</w:t>
      </w:r>
    </w:p>
    <w:p>
      <w:pPr>
        <w:keepNext w:val="0"/>
        <w:spacing w:before="0" w:after="60" w:line="240" w:lineRule="auto"/>
        <w:ind w:firstLine="317"/>
        <w:jc w:val="both"/>
      </w:pPr>
      <w:r>
        <w:rPr>
          <w:rFonts w:ascii="Times New Roman" w:hAnsi="Times New Roman"/>
          <w:b w:val="0"/>
          <w:i w:val="0"/>
          <w:color w:val="000000"/>
          <w:sz w:val="22"/>
        </w:rPr>
        <w:t>The optimization budget and the audit budget are different quantities. The total physical-call cost includes additional optimizer evaluations, diagnostic evaluations, and recovery or verification calls; previously paid deterministic labels reused from an archive are identified separately. A comparison of optimizer endpoints at equal budgets does not establish that the audit itself saves evaluations.</w:t>
      </w:r>
    </w:p>
    <w:p>
      <w:pPr>
        <w:keepNext w:val="0"/>
        <w:spacing w:before="0" w:after="60" w:line="240" w:lineRule="auto"/>
        <w:ind w:firstLine="317"/>
        <w:jc w:val="both"/>
      </w:pPr>
      <w:r>
        <w:rPr>
          <w:rFonts w:ascii="Times New Roman" w:hAnsi="Times New Roman"/>
          <w:b w:val="0"/>
          <w:i w:val="0"/>
          <w:color w:val="000000"/>
          <w:sz w:val="22"/>
        </w:rPr>
        <w:t>The independent internal validation uses 907,200 optimization evaluations and 1,990,656 additional diagnostic labels. Those full-pool diagnostics support mechanism analysis on inexpensive benchmark functions, but are not proposed as the default screening cost for expensive engineering simulations. A bounded engineering audit should prespecify states, label the union of selected alternatives where possible, and stop or report inconclusive when its diagnostic limit is reached. Any claim of net savings must compare the audited workflow with a prespecified unaudited workflow, including diagnostic overhead. Section 6.4 reports a complete paid-workflow comparison with endpoint losses; it does not establish performance-preserving net savings.</w:t>
      </w:r>
    </w:p>
    <w:p>
      <w:pPr>
        <w:pStyle w:val="Heading2"/>
        <w:keepNext/>
        <w:spacing w:before="160" w:after="60" w:line="240" w:lineRule="auto"/>
        <w:jc w:val="left"/>
      </w:pPr>
      <w:r>
        <w:rPr>
          <w:rFonts w:ascii="Times New Roman" w:hAnsi="Times New Roman"/>
          <w:b/>
          <w:i/>
          <w:color w:val="000000"/>
          <w:sz w:val="22"/>
        </w:rPr>
        <w:t>3.5 Decision equivalence and the minimum immediate diagnostic budget</w:t>
      </w:r>
    </w:p>
    <w:p>
      <w:pPr>
        <w:keepNext w:val="0"/>
        <w:spacing w:before="0" w:after="60" w:line="240" w:lineRule="auto"/>
        <w:ind w:firstLine="317"/>
        <w:jc w:val="both"/>
      </w:pPr>
      <w:r>
        <w:rPr>
          <w:rFonts w:ascii="Times New Roman" w:hAnsi="Times New Roman"/>
          <w:b w:val="0"/>
          <w:i w:val="0"/>
          <w:color w:val="000000"/>
          <w:sz w:val="22"/>
        </w:rPr>
        <w:t>For a frozen state s, let aⱼ(s) be the exact point selected by policy j and let c identify the deterministic objective context: simulator, physical condition, parameterization, and numerical configuration. Policies are immediately decision-equivalent when they select the same bitwise point under the same c. This is a local relation. Equivalent first actions do not make later policies equivalent, and labels must not be reused across changed physical conditions or noisy objectives without an additional justification.</w:t>
      </w:r>
    </w:p>
    <w:p>
      <w:pPr>
        <w:keepNext w:val="0"/>
        <w:spacing w:before="0" w:after="60" w:line="240" w:lineRule="auto"/>
        <w:ind w:firstLine="317"/>
        <w:jc w:val="both"/>
      </w:pPr>
      <w:r>
        <w:rPr>
          <w:rFonts w:ascii="Times New Roman" w:hAnsi="Times New Roman"/>
          <w:b w:val="0"/>
          <w:i w:val="0"/>
          <w:color w:val="000000"/>
          <w:sz w:val="22"/>
        </w:rPr>
        <w:t>Let X be the union of distinct context-point pairs selected by all prespecified states and policies, and let A contain the exact responses that the auditor is permitted to reuse after decisions have been frozen. For incumbent m_s and fixed positive scale v_s, the reported immediate utility is uⱼ(s)=max(0,m_s-f_c(aⱼ(s)))/v_s. The additional deterministic query requirement is</w:t>
      </w:r>
    </w:p>
    <w:p>
      <w:pPr>
        <w:keepNext w:val="0"/>
        <w:spacing w:before="0" w:after="60" w:line="240" w:lineRule="auto"/>
        <w:ind w:firstLine="317"/>
        <w:jc w:val="both"/>
      </w:pPr>
      <w:r>
        <w:rPr>
          <w:rFonts w:ascii="Times New Roman" w:hAnsi="Times New Roman"/>
          <w:b/>
          <w:i w:val="0"/>
          <w:color w:val="000000"/>
          <w:sz w:val="22"/>
        </w:rPr>
        <w:t>Diagnostic query requirement:</w:t>
      </w:r>
      <w:r>
        <w:rPr>
          <w:rFonts w:ascii="Times New Roman" w:hAnsi="Times New Roman"/>
          <w:b w:val="0"/>
          <w:i w:val="0"/>
          <w:color w:val="000000"/>
          <w:sz w:val="22"/>
        </w:rPr>
        <w:t xml:space="preserve"> </w:t>
      </w:r>
      <w:r>
        <w:rPr>
          <w:rFonts w:ascii="Times New Roman" w:hAnsi="Times New Roman"/>
          <w:b w:val="0"/>
          <w:i/>
          <w:color w:val="000000"/>
          <w:sz w:val="22"/>
        </w:rPr>
        <w:t>N</w:t>
      </w:r>
      <w:r>
        <w:rPr>
          <w:rFonts w:ascii="Times New Roman" w:hAnsi="Times New Roman"/>
          <w:b w:val="0"/>
          <w:i w:val="0"/>
          <w:color w:val="000000"/>
          <w:sz w:val="22"/>
        </w:rPr>
        <w:t>diag = |</w:t>
      </w:r>
      <w:r>
        <w:rPr>
          <w:rFonts w:ascii="Times New Roman" w:hAnsi="Times New Roman"/>
          <w:b w:val="0"/>
          <w:i/>
          <w:color w:val="000000"/>
          <w:sz w:val="22"/>
        </w:rPr>
        <w:t>X</w:t>
      </w:r>
      <w:r>
        <w:rPr>
          <w:rFonts w:ascii="Times New Roman" w:hAnsi="Times New Roman"/>
          <w:b w:val="0"/>
          <w:i w:val="0"/>
          <w:color w:val="000000"/>
          <w:sz w:val="22"/>
        </w:rPr>
        <w:t xml:space="preserve"> − </w:t>
      </w:r>
      <w:r>
        <w:rPr>
          <w:rFonts w:ascii="Times New Roman" w:hAnsi="Times New Roman"/>
          <w:b w:val="0"/>
          <w:i/>
          <w:color w:val="000000"/>
          <w:sz w:val="22"/>
        </w:rPr>
        <w:t>A</w:t>
      </w:r>
      <w:r>
        <w:rPr>
          <w:rFonts w:ascii="Times New Roman" w:hAnsi="Times New Roman"/>
          <w:b w:val="0"/>
          <w:i w:val="0"/>
          <w:color w:val="000000"/>
          <w:sz w:val="22"/>
        </w:rPr>
        <w:t>|.</w:t>
      </w:r>
    </w:p>
    <w:p>
      <w:pPr>
        <w:keepNext w:val="0"/>
        <w:spacing w:before="0" w:after="60" w:line="240" w:lineRule="auto"/>
        <w:jc w:val="both"/>
      </w:pPr>
      <w:r>
        <w:rPr>
          <w:rFonts w:ascii="Times New Roman" w:hAnsi="Times New Roman"/>
          <w:b/>
          <w:i w:val="0"/>
          <w:color w:val="000000"/>
          <w:sz w:val="22"/>
        </w:rPr>
        <w:t>Proposition 1 (minimum worst-case immediate diagnostic queries).</w:t>
      </w:r>
      <w:r>
        <w:rPr>
          <w:rFonts w:ascii="Times New Roman" w:hAnsi="Times New Roman"/>
          <w:b w:val="0"/>
          <w:i w:val="0"/>
          <w:color w:val="000000"/>
          <w:sz w:val="22"/>
        </w:rPr>
        <w:t xml:space="preserve"> Suppose the objective is an unrestricted deterministic oracle, all selected points and incumbents are frozen, and each unqueried response can independently lie on either side of at least one associated incumbent while all other responses remain fixed. Querying each member of X outside A once suffices to report every immediate utility. In the worst case, fewer queries cannot determine all utilities exactly.</w:t>
      </w:r>
    </w:p>
    <w:p>
      <w:pPr>
        <w:keepNext w:val="0"/>
        <w:spacing w:before="0" w:after="60" w:line="240" w:lineRule="auto"/>
        <w:jc w:val="both"/>
      </w:pPr>
      <w:r>
        <w:rPr>
          <w:rFonts w:ascii="Times New Roman" w:hAnsi="Times New Roman"/>
          <w:b/>
          <w:i w:val="0"/>
          <w:color w:val="000000"/>
          <w:sz w:val="22"/>
        </w:rPr>
        <w:t>Proof.</w:t>
      </w:r>
      <w:r>
        <w:rPr>
          <w:rFonts w:ascii="Times New Roman" w:hAnsi="Times New Roman"/>
          <w:b w:val="0"/>
          <w:i w:val="0"/>
          <w:color w:val="000000"/>
          <w:sz w:val="22"/>
        </w:rPr>
        <w:t xml:space="preserve"> Sufficiency follows by assigning the same exact response to every context-point equivalence class and reusing only permitted responses. For necessity, consider an unqueried member </w:t>
      </w:r>
      <w:r>
        <w:rPr>
          <w:rFonts w:ascii="Times New Roman" w:hAnsi="Times New Roman"/>
          <w:b w:val="0"/>
          <w:i/>
          <w:color w:val="000000"/>
          <w:sz w:val="22"/>
        </w:rPr>
        <w:t>x</w:t>
      </w:r>
      <w:r>
        <w:rPr>
          <w:rFonts w:ascii="Times New Roman" w:hAnsi="Times New Roman"/>
          <w:b w:val="0"/>
          <w:i w:val="0"/>
          <w:color w:val="000000"/>
          <w:sz w:val="22"/>
        </w:rPr>
        <w:t xml:space="preserve"> in a class with incumbent </w:t>
      </w:r>
      <w:r>
        <w:rPr>
          <w:rFonts w:ascii="Times New Roman" w:hAnsi="Times New Roman"/>
          <w:b w:val="0"/>
          <w:i/>
          <w:color w:val="000000"/>
          <w:sz w:val="22"/>
        </w:rPr>
        <w:t>m</w:t>
      </w:r>
      <w:r>
        <w:rPr>
          <w:rFonts w:ascii="Times New Roman" w:hAnsi="Times New Roman"/>
          <w:b w:val="0"/>
          <w:i w:val="0"/>
          <w:color w:val="000000"/>
          <w:sz w:val="22"/>
        </w:rPr>
        <w:t xml:space="preserve">. Two objectives can agree on all available and queried responses while taking values </w:t>
      </w:r>
      <w:r>
        <w:rPr>
          <w:rFonts w:ascii="Times New Roman" w:hAnsi="Times New Roman"/>
          <w:b w:val="0"/>
          <w:i/>
          <w:color w:val="000000"/>
          <w:sz w:val="22"/>
        </w:rPr>
        <w:t>m</w:t>
      </w:r>
      <w:r>
        <w:rPr>
          <w:rFonts w:ascii="Times New Roman" w:hAnsi="Times New Roman"/>
          <w:b w:val="0"/>
          <w:i w:val="0"/>
          <w:color w:val="000000"/>
          <w:sz w:val="22"/>
        </w:rPr>
        <w:t xml:space="preserve"> − δ and </w:t>
      </w:r>
      <w:r>
        <w:rPr>
          <w:rFonts w:ascii="Times New Roman" w:hAnsi="Times New Roman"/>
          <w:b w:val="0"/>
          <w:i/>
          <w:color w:val="000000"/>
          <w:sz w:val="22"/>
        </w:rPr>
        <w:t>m</w:t>
      </w:r>
      <w:r>
        <w:rPr>
          <w:rFonts w:ascii="Times New Roman" w:hAnsi="Times New Roman"/>
          <w:b w:val="0"/>
          <w:i w:val="0"/>
          <w:color w:val="000000"/>
          <w:sz w:val="22"/>
        </w:rPr>
        <w:t xml:space="preserve"> + δ at </w:t>
      </w:r>
      <w:r>
        <w:rPr>
          <w:rFonts w:ascii="Times New Roman" w:hAnsi="Times New Roman"/>
          <w:b w:val="0"/>
          <w:i/>
          <w:color w:val="000000"/>
          <w:sz w:val="22"/>
        </w:rPr>
        <w:t>x</w:t>
      </w:r>
      <w:r>
        <w:rPr>
          <w:rFonts w:ascii="Times New Roman" w:hAnsi="Times New Roman"/>
          <w:b w:val="0"/>
          <w:i w:val="0"/>
          <w:color w:val="000000"/>
          <w:sz w:val="22"/>
        </w:rPr>
        <w:t xml:space="preserve"> for δ &gt; 0 (δ &lt; </w:t>
      </w:r>
      <w:r>
        <w:rPr>
          <w:rFonts w:ascii="Times New Roman" w:hAnsi="Times New Roman"/>
          <w:b w:val="0"/>
          <w:i/>
          <w:color w:val="000000"/>
          <w:sz w:val="22"/>
        </w:rPr>
        <w:t>m</w:t>
      </w:r>
      <w:r>
        <w:rPr>
          <w:rFonts w:ascii="Times New Roman" w:hAnsi="Times New Roman"/>
          <w:b w:val="0"/>
          <w:i w:val="0"/>
          <w:color w:val="000000"/>
          <w:sz w:val="22"/>
        </w:rPr>
        <w:t xml:space="preserve"> for a positive objective); the resulting utilities differ. No procedure using only those shared observations can distinguish them. For a finite set of distinct points, disjoint smooth local interpolants can realize these assignments, so smoothness alone does not remove the ambiguity. Querying each undetermined member resolves it. A certified response bound or a restricted physical objective class may reduce this worst-case requirement; no such additional exact inference is used here. ∎</w:t>
      </w:r>
    </w:p>
    <w:p>
      <w:pPr>
        <w:keepNext w:val="0"/>
        <w:spacing w:before="0" w:after="60" w:line="240" w:lineRule="auto"/>
        <w:ind w:firstLine="317"/>
        <w:jc w:val="both"/>
      </w:pPr>
      <w:r>
        <w:rPr>
          <w:rFonts w:ascii="Times New Roman" w:hAnsi="Times New Roman"/>
          <w:b w:val="0"/>
          <w:i w:val="0"/>
          <w:color w:val="000000"/>
          <w:sz w:val="22"/>
        </w:rPr>
        <w:t>The proposition is an allocation rule for a specified exact diagnostic report, not a lower bound on all possible optimization audits. It does not prove that the queries improve search. Section 6.3 illustrates both the within-state equivalence reduction and the additional reduction from permitted source-response and diagnostic-cache reuse. The source label at a frozen original action is consulted only after the intervention choices are fixed; it never enters the predecision GP fit. All thresholds for a deployment decision must still be fixed for the intended engineering use before its validation outcomes are observed. The added transfer study supplies descriptive evidence, not a retrospectively chosen promotion threshold.</w:t>
      </w:r>
    </w:p>
    <w:p>
      <w:pPr>
        <w:pStyle w:val="Heading1"/>
        <w:keepNext/>
        <w:spacing w:before="240" w:after="60" w:line="240" w:lineRule="auto"/>
        <w:jc w:val="left"/>
      </w:pPr>
      <w:r>
        <w:rPr>
          <w:rFonts w:ascii="Times New Roman" w:hAnsi="Times New Roman"/>
          <w:b/>
          <w:i w:val="0"/>
          <w:color w:val="000000"/>
          <w:sz w:val="22"/>
        </w:rPr>
        <w:t>4 Experimental Design</w:t>
      </w:r>
    </w:p>
    <w:p>
      <w:pPr>
        <w:pStyle w:val="Heading2"/>
        <w:keepNext/>
        <w:spacing w:before="160" w:after="60" w:line="240" w:lineRule="auto"/>
        <w:jc w:val="left"/>
      </w:pPr>
      <w:r>
        <w:rPr>
          <w:rFonts w:ascii="Times New Roman" w:hAnsi="Times New Roman"/>
          <w:b/>
          <w:i/>
          <w:color w:val="000000"/>
          <w:sz w:val="22"/>
        </w:rPr>
        <w:t>4.1 Representative monitored optimizer and search framework</w:t>
      </w:r>
    </w:p>
    <w:p>
      <w:pPr>
        <w:keepNext w:val="0"/>
        <w:spacing w:before="0" w:after="60" w:line="240" w:lineRule="auto"/>
        <w:ind w:firstLine="317"/>
        <w:jc w:val="both"/>
      </w:pPr>
      <w:r>
        <w:rPr>
          <w:rFonts w:ascii="Times New Roman" w:hAnsi="Times New Roman"/>
          <w:b w:val="0"/>
          <w:i w:val="0"/>
          <w:color w:val="000000"/>
          <w:sz w:val="22"/>
        </w:rPr>
        <w:t>A temporal residual monitor is used as the representative audited mechanism. For a selected point xₜ, the standardized signed residual is rₜ=[yₜ-μₜ(xₜ)]/sₜ, where sₜ is the standard deviation of the current training labels and is replaced by one if it is zero. Historical residuals retain their prediction-time models and scales. For candidate x, the monitor forms Hₜ(x)=μₜ(x)+sₜ qₜ(x), where qₜ(x) is the nonnegative weighted 0.9 quantile of at most the latest 100 residuals. Temporal weights have a half-life of 25 evaluations; spatial variants use a Gaussian kernel and an effective-sample-size support guard of 20.</w:t>
      </w:r>
    </w:p>
    <w:p>
      <w:pPr>
        <w:keepNext w:val="0"/>
        <w:spacing w:before="0" w:after="60" w:line="240" w:lineRule="auto"/>
        <w:ind w:firstLine="317"/>
        <w:jc w:val="both"/>
      </w:pPr>
      <w:r>
        <w:rPr>
          <w:rFonts w:ascii="Times New Roman" w:hAnsi="Times New Roman"/>
          <w:b w:val="0"/>
          <w:i w:val="0"/>
          <w:color w:val="000000"/>
          <w:sz w:val="22"/>
        </w:rPr>
        <w:t>The prediction-error-monitoring prototype with temporal weighting (PEM-T) converts recent failures, normalized bound width, and evaluations without incumbent improvement into an exploration probability between 0.1 and 0.8. Exploration selects the candidate with the largest minimum distance to the archive. Otherwise, the smallest supported upper value is used when an improvement declaration is available and the monitor is not alarmed; the smallest predicted mean is used in the remaining cases. Fixed01 retains the same model and candidate process with exploration probability 0.1. Under the temporal bound, qₜ and sₜ are common to supported candidates, so Lemma 1 predicts that the upper-value and mean exploitation rankings coincide.</w:t>
      </w:r>
    </w:p>
    <w:p>
      <w:pPr>
        <w:keepNext w:val="0"/>
        <w:spacing w:before="0" w:after="60" w:line="240" w:lineRule="auto"/>
        <w:ind w:firstLine="317"/>
        <w:jc w:val="both"/>
      </w:pPr>
      <w:r>
        <w:rPr>
          <w:rFonts w:ascii="Times New Roman" w:hAnsi="Times New Roman"/>
          <w:b w:val="0"/>
          <w:i w:val="0"/>
          <w:color w:val="000000"/>
          <w:sz w:val="22"/>
        </w:rPr>
        <w:t>The internal optimizer uses a randomized Latin hypercube with 2D+20 initialization points, where D denotes the problem dimension. The first D+10 points train the initial model; the remaining D+10 are predicted before labeling and create startup residuals. Inputs are scaled to the unit cube. A regularized Gaussian radial-basis-function (RBF) surrogate uses distance divided by the square root of D, length scale 0.25, ridge 10^-6, and standardized labels. At most 256 observations are retained through an elite-plus-farthest-point rule.</w:t>
      </w:r>
    </w:p>
    <w:p>
      <w:pPr>
        <w:keepNext w:val="0"/>
        <w:spacing w:before="0" w:after="60" w:line="240" w:lineRule="auto"/>
        <w:ind w:firstLine="317"/>
        <w:jc w:val="both"/>
      </w:pPr>
      <w:r>
        <w:rPr>
          <w:rFonts w:ascii="Times New Roman" w:hAnsi="Times New Roman"/>
          <w:b w:val="0"/>
          <w:i w:val="0"/>
          <w:color w:val="000000"/>
          <w:sz w:val="22"/>
        </w:rPr>
        <w:t>Each iteration proposes 256 candidates: 128 reflected differential-evolution proposals and 128 scrambled Sobol points. Duplicates and candidates within 10^-10 of evaluated points are replaced. Purpose-specific random streams depend on seed and evaluation index rather than the total budget.</w:t>
      </w:r>
    </w:p>
    <w:p>
      <w:pPr>
        <w:pStyle w:val="Heading2"/>
        <w:keepNext/>
        <w:spacing w:before="160" w:after="60" w:line="240" w:lineRule="auto"/>
        <w:jc w:val="left"/>
      </w:pPr>
      <w:r>
        <w:rPr>
          <w:rFonts w:ascii="Times New Roman" w:hAnsi="Times New Roman"/>
          <w:b/>
          <w:i/>
          <w:color w:val="000000"/>
          <w:sz w:val="22"/>
        </w:rPr>
        <w:t>4.2 Development and independent validation</w:t>
      </w:r>
    </w:p>
    <w:p>
      <w:pPr>
        <w:keepNext w:val="0"/>
        <w:spacing w:before="0" w:after="60" w:line="240" w:lineRule="auto"/>
        <w:ind w:firstLine="317"/>
        <w:jc w:val="both"/>
      </w:pPr>
      <w:r>
        <w:rPr>
          <w:rFonts w:ascii="Times New Roman" w:hAnsi="Times New Roman"/>
          <w:b w:val="0"/>
          <w:i w:val="0"/>
          <w:color w:val="000000"/>
          <w:sz w:val="22"/>
        </w:rPr>
        <w:t>Development uses eight prespecified BBOB functions, dimensions 10 and 20, instances 1-3, and three repeats. Thirteen internal configurations separate exploration, residual weighting, and feedback components. The budget is 10D. The required gate compares PEM-T with a fixed exploration control selected only within the development protocol. Failure of the gate prevents any optimization-superiority claim.</w:t>
      </w:r>
    </w:p>
    <w:p>
      <w:pPr>
        <w:keepNext w:val="0"/>
        <w:spacing w:before="0" w:after="60" w:line="240" w:lineRule="auto"/>
        <w:ind w:firstLine="317"/>
        <w:jc w:val="both"/>
      </w:pPr>
      <w:r>
        <w:rPr>
          <w:rFonts w:ascii="Times New Roman" w:hAnsi="Times New Roman"/>
          <w:b w:val="0"/>
          <w:i w:val="0"/>
          <w:color w:val="000000"/>
          <w:sz w:val="22"/>
        </w:rPr>
        <w:t>After the gate fails, the unchanged mechanism is frozen on all 24 noiseless BBOB functions, dimensions 10, 20, and 40, instances 11-13, and three repeats. Six internal configurations produce 3,888 runs and 907,200 paid evaluations. Three history policies produce 7,776 frozen states and 1,990,656 diagnostic labels. Development and validation estimates are never pooled.</w:t>
      </w:r>
    </w:p>
    <w:p>
      <w:pPr>
        <w:keepNext w:val="0"/>
        <w:spacing w:before="0" w:after="60" w:line="240" w:lineRule="auto"/>
        <w:ind w:firstLine="317"/>
        <w:jc w:val="both"/>
      </w:pPr>
      <w:r>
        <w:rPr>
          <w:rFonts w:ascii="Times New Roman" w:hAnsi="Times New Roman"/>
          <w:b w:val="0"/>
          <w:i w:val="0"/>
          <w:color w:val="000000"/>
          <w:sz w:val="22"/>
        </w:rPr>
        <w:t>The endpoint is the base-10 logarithm of final error relative to common initialization error, with numerical flooring at 10^-12. Repeats are summarized within function-instance cells, instances are averaged, and functions receive equal weight. Nine prespecified validation contrasts form one Holm family. Paired hierarchical bootstrap intervals resample functions, instances, and common repeat indices. These intervals summarize suite heterogeneity and are not presented as a population theorem for all black-box tasks.</w:t>
      </w:r>
    </w:p>
    <w:p>
      <w:pPr>
        <w:pStyle w:val="Heading2"/>
        <w:keepNext/>
        <w:spacing w:before="160" w:after="60" w:line="240" w:lineRule="auto"/>
        <w:jc w:val="left"/>
      </w:pPr>
      <w:r>
        <w:rPr>
          <w:rFonts w:ascii="Times New Roman" w:hAnsi="Times New Roman"/>
          <w:b/>
          <w:i/>
          <w:color w:val="000000"/>
          <w:sz w:val="22"/>
        </w:rPr>
        <w:t>4.3 External and application evidence</w:t>
      </w:r>
    </w:p>
    <w:p>
      <w:pPr>
        <w:keepNext w:val="0"/>
        <w:spacing w:before="0" w:after="60" w:line="240" w:lineRule="auto"/>
        <w:ind w:firstLine="317"/>
        <w:jc w:val="both"/>
      </w:pPr>
      <w:r>
        <w:rPr>
          <w:rFonts w:ascii="Times New Roman" w:hAnsi="Times New Roman"/>
          <w:b w:val="0"/>
          <w:i w:val="0"/>
          <w:color w:val="000000"/>
          <w:sz w:val="22"/>
        </w:rPr>
        <w:t>Sobol, covariance matrix adaptation evolution strategy (CMA-ES), classical GP expected improvement, and trust-region Bayesian optimization (TuRBO-1) provide budget-matched descriptive references [25]. They retain their own initialization and search mechanisms, so these comparisons are not same-history causal effects. In the finite-element application, GP expected improvement (GP-EI), GP probability of improvement (GP-PI), and the lower-confidence-bound form of GP upper confidence bound (GP-UCB) are additionally run from the same initial observations as the internal methods. All three acquisitions use the same Matérn-5/2 Gaussian process, candidate pool, and local-search budget; GP-PI uses a margin equal to 0.01 times the observed response standard deviation, and GP-UCB uses a fixed confidence multiplier of 2.0. DRSO uses the authors' public relation-model-assisted evolutionary implementation at commit 03c19d4 [30]. The population size is set to 58 solely to accept the common initial archive; its relation models, unevaluated-population update, reproduction, training cap, and remaining defaults are unchanged. Three LassoBench tasks provide application transfer under fixed data and splits [24]. The BBOB implementation and reporting follow the Comparing Continuous Optimizers (COCO) framework [26]. Complete tables, the 300-dimensional extension, resource measurements, sensitivity studies, interruption accounting, and file-level audits appear in the Supplementary Materials.</w:t>
      </w:r>
    </w:p>
    <w:p>
      <w:pPr>
        <w:pStyle w:val="Heading1"/>
        <w:keepNext/>
        <w:spacing w:before="240" w:after="60" w:line="240" w:lineRule="auto"/>
        <w:jc w:val="left"/>
      </w:pPr>
      <w:r>
        <w:rPr>
          <w:rFonts w:ascii="Times New Roman" w:hAnsi="Times New Roman"/>
          <w:b/>
          <w:i w:val="0"/>
          <w:color w:val="000000"/>
          <w:sz w:val="22"/>
        </w:rPr>
        <w:t>5 Mechanism Results</w:t>
      </w:r>
    </w:p>
    <w:p>
      <w:pPr>
        <w:pStyle w:val="Heading2"/>
        <w:keepNext/>
        <w:spacing w:before="160" w:after="60" w:line="240" w:lineRule="auto"/>
        <w:jc w:val="left"/>
      </w:pPr>
      <w:r>
        <w:rPr>
          <w:rFonts w:ascii="Times New Roman" w:hAnsi="Times New Roman"/>
          <w:b/>
          <w:i/>
          <w:color w:val="000000"/>
          <w:sz w:val="22"/>
        </w:rPr>
        <w:t>5.1 Development gate and implementation invariants</w:t>
      </w:r>
    </w:p>
    <w:p>
      <w:pPr>
        <w:keepNext w:val="0"/>
        <w:spacing w:before="0" w:after="60" w:line="240" w:lineRule="auto"/>
        <w:ind w:firstLine="317"/>
        <w:jc w:val="both"/>
      </w:pPr>
      <w:r>
        <w:rPr>
          <w:rFonts w:ascii="Times New Roman" w:hAnsi="Times New Roman"/>
          <w:b w:val="0"/>
          <w:i w:val="0"/>
          <w:color w:val="000000"/>
          <w:sz w:val="22"/>
        </w:rPr>
        <w:t>All 1,872 development optimization runs and 432 common-history runs complete without exceptions. PEM-T and the configuration that removes its upper-value mode have identical trajectories in all 144 matched pairs. Temporal monitoring with fixed 0.3 management likewise matches fixed 0.3 mixing in all 144 pairs. These are implementation confirmations of Lemma 1 and Corollary 1, rather than independent effective components.</w:t>
      </w:r>
    </w:p>
    <w:p>
      <w:pPr>
        <w:keepNext w:val="0"/>
        <w:spacing w:before="0" w:after="60" w:line="240" w:lineRule="auto"/>
        <w:ind w:firstLine="317"/>
        <w:jc w:val="both"/>
      </w:pPr>
      <w:r>
        <w:rPr>
          <w:rFonts w:ascii="Times New Roman" w:hAnsi="Times New Roman"/>
          <w:b w:val="0"/>
          <w:i w:val="0"/>
          <w:color w:val="000000"/>
          <w:sz w:val="22"/>
        </w:rPr>
        <w:t>The development-selected control is fixed 01. PEM-T is worse on all eight development functions in both dimensions. Its function-weighted log-relative endpoint difference is +0.2831 in D=10 and +0.1810 in D=20, where positive values favor fixed 01. The required optimization-benefit gate is therefore unmet before the independent validation begins.</w:t>
      </w:r>
    </w:p>
    <w:p>
      <w:pPr>
        <w:pStyle w:val="Heading2"/>
        <w:keepNext/>
        <w:spacing w:before="160" w:after="60" w:line="240" w:lineRule="auto"/>
        <w:jc w:val="left"/>
      </w:pPr>
      <w:r>
        <w:rPr>
          <w:rFonts w:ascii="Times New Roman" w:hAnsi="Times New Roman"/>
          <w:b/>
          <w:i/>
          <w:color w:val="000000"/>
          <w:sz w:val="22"/>
        </w:rPr>
        <w:t>5.2 Independent endpoint and immediate decision effects</w:t>
      </w:r>
    </w:p>
    <w:p>
      <w:pPr>
        <w:keepNext w:val="0"/>
        <w:spacing w:before="0" w:after="60" w:line="240" w:lineRule="auto"/>
        <w:ind w:firstLine="317"/>
        <w:jc w:val="both"/>
      </w:pPr>
      <w:r>
        <w:rPr>
          <w:rFonts w:ascii="Times New Roman" w:hAnsi="Times New Roman"/>
          <w:b w:val="0"/>
          <w:i w:val="0"/>
          <w:color w:val="000000"/>
          <w:sz w:val="22"/>
        </w:rPr>
        <w:t>Table 2 reports the nine prespecified validation comparisons. PEM-T increases final relative error in all three dimensions. The base-10 differences correspond to geometric error ratios of 1.468, 1.258, and 1.159 for dimensions 10, 20, and 40. The effect decreases with dimension but remains in the unfavorable direction for 60 of 72 function-level comparisons. Common-state feedback decisions also have lower true immediate improvement than mean-greedy decisions in every dimension.</w:t>
      </w:r>
    </w:p>
    <w:p>
      <w:pPr>
        <w:keepNext/>
        <w:spacing w:before="120" w:after="60" w:line="240" w:lineRule="auto"/>
        <w:jc w:val="center"/>
      </w:pPr>
      <w:r>
        <w:rPr>
          <w:rFonts w:ascii="Times New Roman" w:hAnsi="Times New Roman"/>
          <w:color w:val="000000"/>
          <w:sz w:val="20"/>
        </w:rPr>
        <w:t>Table 3: Prespecified independent validation contrasts. Endpoint values above zero favor fixed 01; immediate values below zero favor mean-greedy selection.</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560"/>
        <w:gridCol w:w="1560"/>
        <w:gridCol w:w="1560"/>
        <w:gridCol w:w="1560"/>
        <w:gridCol w:w="1560"/>
        <w:gridCol w:w="1560"/>
      </w:tblGrid>
      <w:tr>
        <w:trPr>
          <w:tblHeader w:val="true"/>
          <w:cantSplit/>
        </w:trPr>
        <w:tc>
          <w:tcPr>
            <w:tcW w:type="dxa" w:w="156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Dimension</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Contrast</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Estimate</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95% bootstrap interval</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Direction count</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Holm p</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PEM-T minus fixed01 endpoint</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0.1668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[0.0749, 0.2391]</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22 positive, 2 negative</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5.36e-6</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PEM-T minus fixed01 endpoint</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0.0998</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[0.0467, 0.1905]</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19 positive, 5 negative</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0.00170</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PEM-T minus fixed01 endpoint</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0.0639</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[0.0130, 0.1123]</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19 positive, 5 negative</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0.00170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10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Feedback minus mean immediate improvement</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-0.0170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[-0.0431, -0.0067]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 positive, 18 negative</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0.00078</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Feedback minus mean immediate improvement</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-0.0158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[-0.0352, -0.0079]</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 positive, 21 negative</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0.00048</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Feedback minus mean immediate improvement</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-0.0344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[-0.0630, -0.0100]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 positive, 20 negative</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0.00048</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function-level distribution underlying the aggregate endpoint contrasts is shown in Figure 2.</w:t>
      </w:r>
    </w:p>
    <w:p>
      <w:pPr>
        <w:keepNext/>
        <w:spacing w:before="120" w:after="40" w:line="240" w:lineRule="auto"/>
        <w:jc w:val="center"/>
      </w:pPr>
      <w:r>
        <w:drawing>
          <wp:inline xmlns:a="http://schemas.openxmlformats.org/drawingml/2006/main" xmlns:pic="http://schemas.openxmlformats.org/drawingml/2006/picture">
            <wp:extent cx="5760720" cy="1880557"/>
            <wp:docPr id="2" name="Picture 2" descr="Function-level endpoint effects in the independent BBOB validation. Positive values indicate larger PEM-T errors."/>
            <wp:cNvGraphicFramePr>
              <a:graphicFrameLocks noChangeAspect="1"/>
            </wp:cNvGraphicFramePr>
            <a:graphic>
              <a:graphicData uri="http://schemas.openxmlformats.org/drawingml/2006/picture">
                <pic:pic>
                  <pic:nvPicPr>
                    <pic:cNvPr id="0" name="endpoint_function_effects.png"/>
                    <pic:cNvPicPr/>
                  </pic:nvPicPr>
                  <pic:blipFill>
                    <a:blip r:embed="rId11"/>
                    <a:stretch>
                      <a:fillRect/>
                    </a:stretch>
                  </pic:blipFill>
                  <pic:spPr>
                    <a:xfrm>
                      <a:off x="0" y="0"/>
                      <a:ext cx="5760720" cy="1880557"/>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2: Function-level endpoint effects in the independent BBOB validation. Positive values indicate larger PEM-T errors.</w:t>
      </w:r>
    </w:p>
    <w:p>
      <w:pPr>
        <w:keepNext w:val="0"/>
        <w:spacing w:before="0" w:after="60" w:line="240" w:lineRule="auto"/>
        <w:ind w:firstLine="317"/>
        <w:jc w:val="both"/>
      </w:pPr>
      <w:r>
        <w:rPr>
          <w:rFonts w:ascii="Times New Roman" w:hAnsi="Times New Roman"/>
          <w:b w:val="0"/>
          <w:i w:val="0"/>
          <w:color w:val="000000"/>
          <w:sz w:val="22"/>
        </w:rPr>
        <w:t>Figure 2 displays all 24 function-level effects separately for each dimension rather than only the suite average. Most bars lie above the zero line: 22 of 24 in dimension 10 and 19 of 24 in both dimensions 20 and 40. The few negative bars show that the result is not pointwise uniform, while the shrinking bar heights across panels agree with the smaller aggregate effect at higher dimension. The conclusion is therefore based on a broad directional pattern with disclosed exceptions, not on one dominant benchmark function.</w:t>
      </w:r>
    </w:p>
    <w:p>
      <w:pPr>
        <w:pStyle w:val="Heading2"/>
        <w:keepNext/>
        <w:spacing w:before="160" w:after="60" w:line="240" w:lineRule="auto"/>
        <w:jc w:val="left"/>
      </w:pPr>
      <w:r>
        <w:rPr>
          <w:rFonts w:ascii="Times New Roman" w:hAnsi="Times New Roman"/>
          <w:b/>
          <w:i/>
          <w:color w:val="000000"/>
          <w:sz w:val="22"/>
        </w:rPr>
        <w:t>5.3 Calibration does not identify optimization utility</w:t>
      </w:r>
    </w:p>
    <w:p>
      <w:pPr>
        <w:keepNext w:val="0"/>
        <w:spacing w:before="0" w:after="60" w:line="240" w:lineRule="auto"/>
        <w:ind w:firstLine="317"/>
        <w:jc w:val="both"/>
      </w:pPr>
      <w:r>
        <w:rPr>
          <w:rFonts w:ascii="Times New Roman" w:hAnsi="Times New Roman"/>
          <w:b w:val="0"/>
          <w:i w:val="0"/>
          <w:color w:val="000000"/>
          <w:sz w:val="22"/>
        </w:rPr>
        <w:t>PEM-T explores 39.7%, 36.4%, and 34.4% of post-initialization evaluations in dimensions 10, 20, and 40, compared with approximately 10% for fixed 01. Its observed selected-point upper-bound failure fractions are 0.1008, 0.0942, and 0.0964, close to the nominal monitoring level. Nevertheless, its endpoints and common-state decisions are worse. A near-target aggregate failure fraction therefore does not imply efficient budget allocation.</w:t>
      </w:r>
    </w:p>
    <w:p>
      <w:pPr>
        <w:keepNext w:val="0"/>
        <w:spacing w:before="0" w:after="60" w:line="240" w:lineRule="auto"/>
        <w:ind w:firstLine="317"/>
        <w:jc w:val="both"/>
      </w:pPr>
      <w:r>
        <w:rPr>
          <w:rFonts w:ascii="Times New Roman" w:hAnsi="Times New Roman"/>
          <w:b w:val="0"/>
          <w:i w:val="0"/>
          <w:color w:val="000000"/>
          <w:sz w:val="22"/>
        </w:rPr>
        <w:t>Improvement declarations provide a second example. PEM-T makes 31, 34, and 155 declarations across the three dimensions; 20, 27, and 30 are false. The corresponding pooled false-declaration fractions are 0.645, 0.794, and 0.194. A one-sided failure rate near 0.1 cannot control the conditional error among the small subset declared to improve the incumbent.</w:t>
      </w:r>
    </w:p>
    <w:p>
      <w:pPr>
        <w:keepNext w:val="0"/>
        <w:spacing w:before="0" w:after="60" w:line="240" w:lineRule="auto"/>
        <w:ind w:firstLine="317"/>
        <w:jc w:val="both"/>
      </w:pPr>
      <w:r>
        <w:rPr>
          <w:rFonts w:ascii="Times New Roman" w:hAnsi="Times New Roman"/>
          <w:b w:val="0"/>
          <w:i w:val="0"/>
          <w:color w:val="000000"/>
          <w:sz w:val="22"/>
        </w:rPr>
        <w:t>History also changes the object being monitored. Under fixed 0.3 mixing, selected-point failures exceed pool failures, whereas under greedy histories the relationship reverses. The prespecified interaction is positive in all three dimensions and passes Holm adjustment. Selection-induced differences should therefore be attributed to the coupled history and policy, not treated as a universal direction of undercoverage.</w:t>
      </w:r>
    </w:p>
    <w:p>
      <w:pPr>
        <w:keepNext w:val="0"/>
        <w:spacing w:before="0" w:after="60" w:line="240" w:lineRule="auto"/>
        <w:ind w:firstLine="317"/>
        <w:jc w:val="both"/>
      </w:pPr>
      <w:r>
        <w:rPr>
          <w:rFonts w:ascii="Times New Roman" w:hAnsi="Times New Roman"/>
          <w:b w:val="0"/>
          <w:i w:val="0"/>
          <w:color w:val="000000"/>
          <w:sz w:val="22"/>
        </w:rPr>
        <w:t>The reversal of selected-point and pool failure differences across frozen history policies is shown in Figure 3.</w:t>
      </w:r>
    </w:p>
    <w:p>
      <w:pPr>
        <w:keepNext/>
        <w:spacing w:before="120" w:after="40" w:line="240" w:lineRule="auto"/>
        <w:jc w:val="center"/>
      </w:pPr>
      <w:r>
        <w:drawing>
          <wp:inline xmlns:a="http://schemas.openxmlformats.org/drawingml/2006/main" xmlns:pic="http://schemas.openxmlformats.org/drawingml/2006/picture">
            <wp:extent cx="5760720" cy="1649984"/>
            <wp:docPr id="3" name="Picture 3" descr="Selected-point minus pool failure differences under frozen history policies."/>
            <wp:cNvGraphicFramePr>
              <a:graphicFrameLocks noChangeAspect="1"/>
            </wp:cNvGraphicFramePr>
            <a:graphic>
              <a:graphicData uri="http://schemas.openxmlformats.org/drawingml/2006/picture">
                <pic:pic>
                  <pic:nvPicPr>
                    <pic:cNvPr id="0" name="history_object_differences.png"/>
                    <pic:cNvPicPr/>
                  </pic:nvPicPr>
                  <pic:blipFill>
                    <a:blip r:embed="rId12"/>
                    <a:stretch>
                      <a:fillRect/>
                    </a:stretch>
                  </pic:blipFill>
                  <pic:spPr>
                    <a:xfrm>
                      <a:off x="0" y="0"/>
                      <a:ext cx="5760720" cy="1649984"/>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3: Selected-point minus pool failure differences under frozen history policies.</w:t>
      </w:r>
    </w:p>
    <w:p>
      <w:pPr>
        <w:keepNext w:val="0"/>
        <w:spacing w:before="0" w:after="60" w:line="240" w:lineRule="auto"/>
        <w:ind w:firstLine="317"/>
        <w:jc w:val="both"/>
      </w:pPr>
      <w:r>
        <w:rPr>
          <w:rFonts w:ascii="Times New Roman" w:hAnsi="Times New Roman"/>
          <w:b w:val="0"/>
          <w:i w:val="0"/>
          <w:color w:val="000000"/>
          <w:sz w:val="22"/>
        </w:rPr>
        <w:t>Figure 3 makes the history dependence visible. Fixed 0.3 histories place the selected-point failure fraction above the pool value in all three dimensions, whereas greedy histories place it below the pool value. Random-pool histories remain closer to zero and are negative in each panel. Because the sign changes with the policy that generated the frozen state, a single universal ``selection penalty'' would misrepresent the monitored process.</w:t>
      </w:r>
    </w:p>
    <w:p>
      <w:pPr>
        <w:keepNext w:val="0"/>
        <w:spacing w:before="0" w:after="60" w:line="240" w:lineRule="auto"/>
        <w:ind w:firstLine="317"/>
        <w:jc w:val="both"/>
      </w:pPr>
      <w:r>
        <w:rPr>
          <w:rFonts w:ascii="Times New Roman" w:hAnsi="Times New Roman"/>
          <w:b w:val="0"/>
          <w:i w:val="0"/>
          <w:color w:val="000000"/>
          <w:sz w:val="22"/>
        </w:rPr>
        <w:t>Spatial-temporal weighting lowers selected-point quantile loss in the prespecified diagnostic comparisons, yet its closed-loop endpoint remains worse than fixed 01 in each dimension. This is the central empirical separation: a better residual estimate can still direct evaluations toward candidates with low optimization value.</w:t>
      </w:r>
    </w:p>
    <w:p>
      <w:pPr>
        <w:keepNext w:val="0"/>
        <w:spacing w:before="0" w:after="60" w:line="240" w:lineRule="auto"/>
        <w:ind w:firstLine="317"/>
        <w:jc w:val="both"/>
      </w:pPr>
      <w:r>
        <w:rPr>
          <w:rFonts w:ascii="Times New Roman" w:hAnsi="Times New Roman"/>
          <w:b w:val="0"/>
          <w:i w:val="0"/>
          <w:color w:val="000000"/>
          <w:sz w:val="22"/>
        </w:rPr>
        <w:t>To isolate the evidential role of each audit stage, a stage-omission ablation is constructed from the frozen records. Unlike an optimizer-component ablation, omitting an audit stage does not alter the evaluated trajectory; it removes the corresponding basis for inference. Table 3 states the strongest conclusion still supported at each stopping point and the evidence that would be lost.</w:t>
      </w:r>
    </w:p>
    <w:p>
      <w:pPr>
        <w:keepNext/>
        <w:spacing w:before="120" w:after="60" w:line="240" w:lineRule="auto"/>
        <w:jc w:val="center"/>
      </w:pPr>
      <w:r>
        <w:rPr>
          <w:rFonts w:ascii="Times New Roman" w:hAnsi="Times New Roman"/>
          <w:color w:val="000000"/>
          <w:sz w:val="20"/>
        </w:rPr>
        <w:t>Table 4: Stage-omission ablation and the resulting loss of evidence.</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120"/>
        <w:gridCol w:w="3120"/>
        <w:gridCol w:w="3120"/>
      </w:tblGrid>
      <w:tr>
        <w:trPr>
          <w:tblHeader w:val="true"/>
          <w:cantSplit/>
        </w:trPr>
        <w:tc>
          <w:tcPr>
            <w:tcW w:type="dxa" w:w="312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8"/>
              </w:rPr>
              <w:t>Available audit evidence</w:t>
            </w:r>
          </w:p>
        </w:tc>
        <w:tc>
          <w:tcPr>
            <w:tcW w:type="dxa" w:w="312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Apparent conclusion for the representative monitor</w:t>
            </w:r>
          </w:p>
        </w:tc>
        <w:tc>
          <w:tcPr>
            <w:tcW w:type="dxa" w:w="312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Information lost if the audit stops here</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Calibration only</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Selected-point failure is close to 0.1 and may appear satisfactory.</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No evidence that exploitation ranking changes or that selected actions are useful.</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Calibration plus ordering analysis</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The temporal additive correction is exploitation-redundant; feedback can act through exploration.</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The utility of the changed exploration decisions remains unknown.</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Ordering plus common-state utility</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Feedback changes actions, but those actions have lower immediate improvement than mean-greedy choices.</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Delayed effects after histories diverge remain untested.</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Full audit including closed loop</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The controller does not pass the held-out optimization-benefit gate under the tested budgets.</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No omitted audit stage is used to claim deployment value.</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This evidence ablation uses the same frozen results rather than rerunning a modified optimizer because the ablated objects are inferential stages rather than search operators. It shows why a calibration-only assessment would have produced an incomplete reliability conclusion, why algebraic pathway analysis can identify redundancy without additional objective calls, and why common-state and closed-loop evidence answer distinct questions.</w:t>
      </w:r>
    </w:p>
    <w:p>
      <w:pPr>
        <w:pStyle w:val="Heading1"/>
        <w:keepNext/>
        <w:spacing w:before="240" w:after="60" w:line="240" w:lineRule="auto"/>
        <w:jc w:val="left"/>
      </w:pPr>
      <w:r>
        <w:rPr>
          <w:rFonts w:ascii="Times New Roman" w:hAnsi="Times New Roman"/>
          <w:b/>
          <w:i w:val="0"/>
          <w:color w:val="000000"/>
          <w:sz w:val="22"/>
        </w:rPr>
        <w:t>6 Engineering Application: Surrogate-Assisted Structural Optimization</w:t>
      </w:r>
    </w:p>
    <w:p>
      <w:pPr>
        <w:pStyle w:val="Heading2"/>
        <w:keepNext/>
        <w:spacing w:before="160" w:after="60" w:line="240" w:lineRule="auto"/>
        <w:jc w:val="left"/>
      </w:pPr>
      <w:r>
        <w:rPr>
          <w:rFonts w:ascii="Times New Roman" w:hAnsi="Times New Roman"/>
          <w:b/>
          <w:i/>
          <w:color w:val="000000"/>
          <w:sz w:val="22"/>
        </w:rPr>
        <w:t>6.1 Problem and parameterization</w:t>
      </w:r>
    </w:p>
    <w:p>
      <w:pPr>
        <w:keepNext w:val="0"/>
        <w:spacing w:before="0" w:after="60" w:line="240" w:lineRule="auto"/>
        <w:ind w:firstLine="317"/>
        <w:jc w:val="both"/>
      </w:pPr>
      <w:r>
        <w:rPr>
          <w:rFonts w:ascii="Times New Roman" w:hAnsi="Times New Roman"/>
          <w:b w:val="0"/>
          <w:i w:val="0"/>
          <w:color w:val="000000"/>
          <w:sz w:val="22"/>
        </w:rPr>
        <w:t>EngiBench Beams2D v1 supplies a density-based finite-element model of the right half of a symmetric Messerschmitt-Bolkow-Blohm beam [23]. Surrogate-assisted evolutionary optimization has previously been developed for expensive structural design [18], and uncertainty-guided reliable-region search has been studied for expensive engineering optimization [35]. Here, the beam provides engineering application validation of the audit framework within an expensive structural optimization workflow. The domain uses 100 by 50 bilinear elements. Horizontal degrees of freedom along the left symmetry boundary are fixed, the lower-right vertical degree of freedom is supported, and a unit downward load is applied at the top-left of the modeled half-beam. The material interpolation uses minimum stiffness 10^-9, unit maximum stiffness, penalization power 3, and Poisson ratio 0.3. The objective is structural compliance; lower values are better.</w:t>
      </w:r>
    </w:p>
    <w:p>
      <w:pPr>
        <w:keepNext w:val="0"/>
        <w:spacing w:before="0" w:after="60" w:line="240" w:lineRule="auto"/>
        <w:ind w:firstLine="317"/>
        <w:jc w:val="both"/>
      </w:pPr>
      <w:r>
        <w:rPr>
          <w:rFonts w:ascii="Times New Roman" w:hAnsi="Times New Roman"/>
          <w:b w:val="0"/>
          <w:i w:val="0"/>
          <w:color w:val="000000"/>
          <w:sz w:val="22"/>
        </w:rPr>
        <w:t>Direct optimization of all 5,000 element densities is outside the studied surrogate's budget and initialization regime. A constrained engineering family is defined in which 19 effective logits plus one fixed anchor form a 4 by 5 coarse field. Cubic interpolation expands the field to 50 by 100 elements. A scalar logistic shift is solved by bisection so that every design has mean density 0.35. The study therefore evaluates model management within this smooth 19-dimensional design family rather than claiming general topology-optimization performance.</w:t>
      </w:r>
    </w:p>
    <w:p>
      <w:pPr>
        <w:pStyle w:val="Heading2"/>
        <w:keepNext/>
        <w:spacing w:before="160" w:after="60" w:line="240" w:lineRule="auto"/>
        <w:jc w:val="left"/>
      </w:pPr>
      <w:r>
        <w:rPr>
          <w:rFonts w:ascii="Times New Roman" w:hAnsi="Times New Roman"/>
          <w:b/>
          <w:i/>
          <w:color w:val="000000"/>
          <w:sz w:val="22"/>
        </w:rPr>
        <w:t>6.2 Application protocol and audit results</w:t>
      </w:r>
    </w:p>
    <w:p>
      <w:pPr>
        <w:keepNext w:val="0"/>
        <w:spacing w:before="0" w:after="60" w:line="240" w:lineRule="auto"/>
        <w:ind w:firstLine="317"/>
        <w:jc w:val="both"/>
      </w:pPr>
      <w:r>
        <w:rPr>
          <w:rFonts w:ascii="Times New Roman" w:hAnsi="Times New Roman"/>
          <w:b w:val="0"/>
          <w:i w:val="0"/>
          <w:color w:val="000000"/>
          <w:sz w:val="22"/>
        </w:rPr>
        <w:t>Before formal labels, five methods, ten repeats, and 200 evaluations per run are frozen. The first batch keeps the native 38-point initialization of GP-EI and TuRBO-1 while Greedy, fixed 01, and PEM-T share a 58-point initialization. A prespecified sensitivity batch then reruns GP-EI and TuRBO-1 from exactly the same 58 points and deterministic labels as the internal methods. Two acquisition controls, GP-PI and GP-UCB, and the author-code DRSO SAEA are subsequently run from the same archive. Their subsequent searches retain their stated acquisition, trust-region, relation-model, evolutionary, and candidate-generation rules. The original 50 trajectories contain 10,000 paid finite-element evaluations. The five shared-initialization external controls add 10,000 algorithm-budget observations, reuse 2,900 initial labels, and make 7,100 additional finite-element calls. All 100 trajectories finish without failure or exact duplicate points. Independent endpoint diagnostics reproduce the original GP-EI and TuRBO-1 sensitivity endpoints within a maximum relative difference of 6.23e-12; event-level audits accept every GP-PI, GP-UCB, and DRSO trajectory.</w:t>
      </w:r>
    </w:p>
    <w:p>
      <w:pPr>
        <w:keepNext w:val="0"/>
        <w:spacing w:before="0" w:after="60" w:line="240" w:lineRule="auto"/>
        <w:ind w:firstLine="317"/>
        <w:jc w:val="both"/>
      </w:pPr>
      <w:r>
        <w:rPr>
          <w:rFonts w:ascii="Times New Roman" w:hAnsi="Times New Roman"/>
          <w:b w:val="0"/>
          <w:i w:val="0"/>
          <w:color w:val="000000"/>
          <w:sz w:val="22"/>
        </w:rPr>
        <w:t>The first and third quartiles are denoted by Q1 and Q3, respectively, in Table 4.</w:t>
      </w:r>
    </w:p>
    <w:p>
      <w:pPr>
        <w:keepNext/>
        <w:spacing w:before="120" w:after="60" w:line="240" w:lineRule="auto"/>
        <w:jc w:val="center"/>
      </w:pPr>
      <w:r>
        <w:rPr>
          <w:rFonts w:ascii="Times New Roman" w:hAnsi="Times New Roman"/>
          <w:color w:val="000000"/>
          <w:sz w:val="20"/>
        </w:rPr>
        <w:t>Table 5: Finite-element endpoint compliance over ten optimization repeats.</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Method</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Median</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Q1</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Q3</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Median improvement after shared initialization</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Greedy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1445.1</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1300.8</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1694.9</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0.362</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Fixed01</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1435.6</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1354.2</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1580.7</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0.383</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PEM-T</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1972.8</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1759.3</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2168.9</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0.251</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GP-EI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2308.5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1989.4</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2464.5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GP-PI</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1233.1</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921.2</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1399.7</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0.517</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GP-UCB</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2308.7</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2223.8</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2827.3</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DRSO</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647.4</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580.4</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780.0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0.747</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TuRBO-1</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574.0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534.7</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665.3</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0.751</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PEM-T minus fixed 01 has median paired compliance difference +488.7, with interquartile range +134.7 to +814.7; PEM-T is better in two repeats and worse in eight. The corresponding comparison with greedy has median difference +575.2 and the same direction count. Under matched initialization, GP-EI minus PEM-T has median difference +242.8; GP-EI is better once, tied three times, and worse six times (paired Wilcoxon Holm-adjusted p=0.0469). Within the three added-control family, GP-PI minus PEM-T has median difference -876.1 and nine wins (Holm-adjusted p=0.0117), GP-UCB has median difference +574.6 with two wins, two ties, and six losses (p=0.0391), and DRSO has median difference -1334.6 with nine wins and one loss (p=0.0117). TuRBO-1 minus PEM-T has median difference -1372.3 and is better in all ten repeats (Holm-adjusted p=0.00391 in the original sensitivity family). Changing from native to shared initialization produces no supported endpoint shift for GP-EI (Holm-adjusted p=0.320) or TuRBO-1 (p=0.695). The application therefore distinguishes a weak acquisition setting from successful Bayesian, evolutionary-surrogate, and trust-region controls under the same starting evidence.</w:t>
      </w:r>
    </w:p>
    <w:p>
      <w:pPr>
        <w:keepNext w:val="0"/>
        <w:spacing w:before="0" w:after="60" w:line="240" w:lineRule="auto"/>
        <w:ind w:firstLine="317"/>
        <w:jc w:val="both"/>
      </w:pPr>
      <w:r>
        <w:rPr>
          <w:rFonts w:ascii="Times New Roman" w:hAnsi="Times New Roman"/>
          <w:b w:val="0"/>
          <w:i w:val="0"/>
          <w:color w:val="000000"/>
          <w:sz w:val="22"/>
        </w:rPr>
        <w:t>The shared-initialization finite-element trajectories and their between-repeat dispersion are shown in Figure 4.</w:t>
      </w:r>
    </w:p>
    <w:p>
      <w:pPr>
        <w:keepNext/>
        <w:spacing w:before="120" w:after="40" w:line="240" w:lineRule="auto"/>
        <w:jc w:val="center"/>
      </w:pPr>
      <w:r>
        <w:drawing>
          <wp:inline xmlns:a="http://schemas.openxmlformats.org/drawingml/2006/main" xmlns:pic="http://schemas.openxmlformats.org/drawingml/2006/picture">
            <wp:extent cx="5760720" cy="3610051"/>
            <wp:docPr id="4" name="Picture 4" descr="Median and interquartile best-so-far finite-element compliance under a shared 58-point initialization; the dashed line marks the end of initialization."/>
            <wp:cNvGraphicFramePr>
              <a:graphicFrameLocks noChangeAspect="1"/>
            </wp:cNvGraphicFramePr>
            <a:graphic>
              <a:graphicData uri="http://schemas.openxmlformats.org/drawingml/2006/picture">
                <pic:pic>
                  <pic:nvPicPr>
                    <pic:cNvPr id="0" name="complete_shared_initialization_convergence.png"/>
                    <pic:cNvPicPr/>
                  </pic:nvPicPr>
                  <pic:blipFill>
                    <a:blip r:embed="rId13"/>
                    <a:stretch>
                      <a:fillRect/>
                    </a:stretch>
                  </pic:blipFill>
                  <pic:spPr>
                    <a:xfrm>
                      <a:off x="0" y="0"/>
                      <a:ext cx="5760720" cy="3610051"/>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4: Median and interquartile best-so-far finite-element compliance under a shared 58-point initialization; the dashed line marks the end of initialization.</w:t>
      </w:r>
    </w:p>
    <w:p>
      <w:pPr>
        <w:keepNext w:val="0"/>
        <w:spacing w:before="0" w:after="60" w:line="240" w:lineRule="auto"/>
        <w:ind w:firstLine="317"/>
        <w:jc w:val="both"/>
      </w:pPr>
      <w:r>
        <w:rPr>
          <w:rFonts w:ascii="Times New Roman" w:hAnsi="Times New Roman"/>
          <w:b w:val="0"/>
          <w:i w:val="0"/>
          <w:color w:val="000000"/>
          <w:sz w:val="22"/>
        </w:rPr>
        <w:t>Figure 4 separates the common initialization from method-specific search. All curves share the same values up to the dashed 58-evaluation boundary. TuRBO-1 and DRSO then improve rapidly and reach the lowest endpoint group. GP-PI also produces sustained improvement and finishes below the three internal methods, whereas GP-EI and GP-UCB show little median improvement after initialization. Greedy and fixed 01 improve more gradually and remain below PEM-T near the endpoint. The shaded interquartile bands preserve between-repeat variability and show that the endpoint ordering is not produced by a single trajectory.</w:t>
      </w:r>
    </w:p>
    <w:p>
      <w:pPr>
        <w:keepNext w:val="0"/>
        <w:spacing w:before="0" w:after="60" w:line="240" w:lineRule="auto"/>
        <w:ind w:firstLine="317"/>
        <w:jc w:val="both"/>
      </w:pPr>
      <w:r>
        <w:rPr>
          <w:rFonts w:ascii="Times New Roman" w:hAnsi="Times New Roman"/>
          <w:b w:val="0"/>
          <w:i w:val="0"/>
          <w:color w:val="000000"/>
          <w:sz w:val="22"/>
        </w:rPr>
        <w:t>Representative endpoint density fields for all eight shared-initialization methods are shown on the common material-density scale in Figure 5.</w:t>
      </w:r>
    </w:p>
    <w:p>
      <w:pPr>
        <w:keepNext/>
        <w:spacing w:before="120" w:after="40" w:line="240" w:lineRule="auto"/>
        <w:jc w:val="center"/>
      </w:pPr>
      <w:r>
        <w:drawing>
          <wp:inline xmlns:a="http://schemas.openxmlformats.org/drawingml/2006/main" xmlns:pic="http://schemas.openxmlformats.org/drawingml/2006/picture">
            <wp:extent cx="5760720" cy="2743200"/>
            <wp:docPr id="5" name="Picture 5" descr="Representative median-run density fields for all eight methods under the shared-initialization comparison."/>
            <wp:cNvGraphicFramePr>
              <a:graphicFrameLocks noChangeAspect="1"/>
            </wp:cNvGraphicFramePr>
            <a:graphic>
              <a:graphicData uri="http://schemas.openxmlformats.org/drawingml/2006/picture">
                <pic:pic>
                  <pic:nvPicPr>
                    <pic:cNvPr id="0" name="complete_representative_designs.png"/>
                    <pic:cNvPicPr/>
                  </pic:nvPicPr>
                  <pic:blipFill>
                    <a:blip r:embed="rId14"/>
                    <a:stretch>
                      <a:fillRect/>
                    </a:stretch>
                  </pic:blipFill>
                  <pic:spPr>
                    <a:xfrm>
                      <a:off x="0" y="0"/>
                      <a:ext cx="5760720" cy="2743200"/>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5: Representative median-run density fields for all eight methods under the shared-initialization comparison.</w:t>
      </w:r>
    </w:p>
    <w:p>
      <w:pPr>
        <w:keepNext w:val="0"/>
        <w:spacing w:before="0" w:after="60" w:line="240" w:lineRule="auto"/>
        <w:ind w:firstLine="317"/>
        <w:jc w:val="both"/>
      </w:pPr>
      <w:r>
        <w:rPr>
          <w:rFonts w:ascii="Times New Roman" w:hAnsi="Times New Roman"/>
          <w:b w:val="0"/>
          <w:i w:val="0"/>
          <w:color w:val="000000"/>
          <w:sz w:val="22"/>
        </w:rPr>
        <w:t>Figure 5 shows the median-endpoint design from every method on the common density scale. Because every field satisfies the same mean-density constraint, the contrast concerns material placement rather than material quantity. TuRBO-1 and DRSO form concentrated high-density load paths and reach the lowest compliance group. GP-PI produces a stronger structural path than GP-EI or GP-UCB, whose diffuse fields remain close to their initial designs. The visual differences are consistent with the convergence pathways and endpoint ordering in Table 4.</w:t>
      </w:r>
    </w:p>
    <w:p>
      <w:pPr>
        <w:pStyle w:val="Heading2"/>
        <w:keepNext/>
        <w:spacing w:before="160" w:after="60" w:line="240" w:lineRule="auto"/>
        <w:jc w:val="left"/>
      </w:pPr>
      <w:r>
        <w:rPr>
          <w:rFonts w:ascii="Times New Roman" w:hAnsi="Times New Roman"/>
          <w:b/>
          <w:i/>
          <w:color w:val="000000"/>
          <w:sz w:val="22"/>
        </w:rPr>
        <w:t>6.3 Frozen-state intervention on GP acquisition policies</w:t>
      </w:r>
    </w:p>
    <w:p>
      <w:pPr>
        <w:keepNext w:val="0"/>
        <w:spacing w:before="0" w:after="60" w:line="240" w:lineRule="auto"/>
        <w:ind w:firstLine="317"/>
        <w:jc w:val="both"/>
      </w:pPr>
      <w:r>
        <w:rPr>
          <w:rFonts w:ascii="Times New Roman" w:hAnsi="Times New Roman"/>
          <w:b w:val="0"/>
          <w:i w:val="0"/>
          <w:color w:val="000000"/>
          <w:sz w:val="22"/>
        </w:rPr>
        <w:t>To test the audit beyond the residual controller, thirty archived Gaussian-process expected-improvement (GP-EI), GP probability-of-improvement (GP-PI), and GP upper-confidence-bound (GP-UCB) histories supply ten repeats per source policy. The states immediately before evaluations 59, 101, 151 and 200 are frozen, giving 120 interventions. Every fit uses only earlier labels. Logged automatic-relevance-determination (ARD) Matérn-5/2 parameters are replayed without refitting; all source-action means and standard deviations agree within the prespecified absolute and relative tolerance of 1e-8. Mean prediction, expected improvement (EI), probability of improvement (PI), and lower confidence bound (LCB) act on a shared 4,096-point Sobol pool augmented by the frozen source action. Here EI has zero improvement margin, PI uses 0.01 times training standard deviation, and LCB uses kappa=2. No intervention response is fed back into a source optimizer.</w:t>
      </w:r>
    </w:p>
    <w:p>
      <w:pPr>
        <w:keepNext w:val="0"/>
        <w:spacing w:before="0" w:after="60" w:line="240" w:lineRule="auto"/>
        <w:ind w:firstLine="317"/>
        <w:jc w:val="both"/>
      </w:pPr>
      <w:r>
        <w:rPr>
          <w:rFonts w:ascii="Times New Roman" w:hAnsi="Times New Roman"/>
          <w:b w:val="0"/>
          <w:i w:val="0"/>
          <w:color w:val="000000"/>
          <w:sz w:val="22"/>
        </w:rPr>
        <w:t>The 480 policy-state choices contain 261 distinct within-state actions. After choices have been frozen, 120 original action responses are legitimately reused; three further responses come from identical context-point pairs already evaluated in the diagnostic ledger. The audit therefore acquires 138 additional finite-element (FE) labels. A separate solver-compatibility check incurs 102 attempts, including an initial 42-call check whose numerical tolerance was found too strict. The final 60 retained comparisons pass the disclosed 1e-6 solver-relative tolerance, with maximum relative difference 4.929e-8. The 1e-8 GP replay tolerance is unchanged. Input hashes and choices were committed before additional diagnostic acquisition; see S9 for the archive transfer and verification boundary.</w:t>
      </w:r>
    </w:p>
    <w:p>
      <w:pPr>
        <w:keepNext/>
        <w:spacing w:before="120" w:after="60" w:line="240" w:lineRule="auto"/>
        <w:jc w:val="center"/>
      </w:pPr>
      <w:r>
        <w:rPr>
          <w:rFonts w:ascii="Times New Roman" w:hAnsi="Times New Roman"/>
          <w:color w:val="000000"/>
          <w:sz w:val="20"/>
        </w:rPr>
        <w:t>Table 6: Acquisition-only intervention at frozen GP states. Results are means over ten repeat-level summaries, each averaging four checkpoints. U=max(0,training incumbent minus diagnostic compliance)/training standard deviation. Utility and paired differences are displayed in units of 1e-6; action-change percentages are relative to mean selection.</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Frozen source</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Control</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Changed (%)</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Mean U (1e-6)</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Delta U vs mean (1e-6)</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EI history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EI</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0.899669</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+0.000000</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EI history</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25.0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0.899669</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+0.000000</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EI history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LCB</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52.5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0.000000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-0.899669</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PI history</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95.0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0.000000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-0.347088</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PI history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0.347088</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+0.000000</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PI history</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LCB</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97.5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0.000000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-0.347088</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UCB history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EI</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0.887232</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+0.009475</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UCB history</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35.0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1.178882</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+0.301124</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UCB history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LCB</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75.0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0.511893</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-0.365864</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LCB often changes the selected point yet has negative mean immediate-utility differences in all three source-history groups. EI and PI effects depend on the state-generating history; a different choice does not automatically provide immediate gain. The small normalized effects must not be described as a large engineering improvement: training standard deviations range from 7.332e5 to 9.122e8, reflecting high-compliance designs. This is a bounded immediate diagnostic, not evidence for rejecting uncertainty-based exploration. The next experiment explicitly assesses longer horizons under different physical loads.</w:t>
      </w:r>
    </w:p>
    <w:p>
      <w:pPr>
        <w:pStyle w:val="Heading2"/>
        <w:keepNext/>
        <w:spacing w:before="160" w:after="60" w:line="240" w:lineRule="auto"/>
        <w:jc w:val="left"/>
      </w:pPr>
      <w:r>
        <w:rPr>
          <w:rFonts w:ascii="Times New Roman" w:hAnsi="Times New Roman"/>
          <w:b/>
          <w:i/>
          <w:color w:val="000000"/>
          <w:sz w:val="22"/>
        </w:rPr>
        <w:t>6.4 Longer-horizon policies, load-position transfer and total cost</w:t>
      </w:r>
    </w:p>
    <w:p>
      <w:pPr>
        <w:keepNext w:val="0"/>
        <w:spacing w:before="0" w:after="60" w:line="240" w:lineRule="auto"/>
        <w:ind w:firstLine="317"/>
        <w:jc w:val="both"/>
      </w:pPr>
      <w:r>
        <w:rPr>
          <w:rFonts w:ascii="Times New Roman" w:hAnsi="Times New Roman"/>
          <w:b w:val="0"/>
          <w:i w:val="0"/>
          <w:color w:val="000000"/>
          <w:sz w:val="22"/>
        </w:rPr>
        <w:t>The separately frozen protocol at commit 7555d58b145a2c44b73bab5ec47d0f643a57dde1 changes the top-edge downward-force position from 0.0 to 0.25 and 0.75. Each condition has ten fresh, paired Sobol initializations of 58 designs. Material, supports, 100-by-50 FE mesh, dimension 19 and volume fraction 0.35 are unchanged. These are two previously untested physical conditions within one beam family, not independent engineering application domains.</w:t>
      </w:r>
    </w:p>
    <w:p>
      <w:pPr>
        <w:keepNext w:val="0"/>
        <w:spacing w:before="0" w:after="60" w:line="240" w:lineRule="auto"/>
        <w:ind w:firstLine="317"/>
        <w:jc w:val="both"/>
      </w:pPr>
      <w:r>
        <w:rPr>
          <w:rFonts w:ascii="Times New Roman" w:hAnsi="Times New Roman"/>
          <w:b w:val="0"/>
          <w:i w:val="0"/>
          <w:color w:val="000000"/>
          <w:sz w:val="22"/>
        </w:rPr>
        <w:t>All four transfer policies share an isotropic Matérn-5/2 GP and the same candidate seeds at a given phase and step. The GP is refitted with deterministic bounded limited-memory Broyden-Fletcher-Goldfarb-Shanno optimization (L-BFGS-B), at most 100 iterations and no restarts; alpha=1e-6, normalized targets, constant bounds [0.05, 20], length-scale bounds [0.005, 2], and initial length scale 0.2. A 1,024-point Sobol pool excludes already observed points. EI and PI both use a 0.01-scaled improvement margin; LCB retains kappa=2. This controlled implementation differs from the frozen ARD posterior and larger augmented pool in Section 6.3, and from the historical GP optimizer. Consequently, these outcomes cannot be attributed solely to moving the force or interpreted as exact reproductions of Table 4.</w:t>
      </w:r>
    </w:p>
    <w:p>
      <w:pPr>
        <w:keepNext w:val="0"/>
        <w:spacing w:before="0" w:after="60" w:line="240" w:lineRule="auto"/>
        <w:ind w:firstLine="317"/>
        <w:jc w:val="both"/>
      </w:pPr>
      <w:r>
        <w:rPr>
          <w:rFonts w:ascii="Times New Roman" w:hAnsi="Times New Roman"/>
          <w:b w:val="0"/>
          <w:i w:val="0"/>
          <w:color w:val="000000"/>
          <w:sz w:val="22"/>
        </w:rPr>
        <w:t>For each repeat the audited-selection workflow actually pays for 58 initial responses, four 20-step pilots, and 142 further evaluations of the pilot-selected policy. Its total is 280 calls. Selection is written before validation; exact pilot-end ties use PI, mean, EI, LCB priority. The selected policy is validated from only the initial archive, with a candidate-seed namespace separate from the pilots. The comparison workflow separately pays for the same 58 initial designs and all four 142-step continuations, totaling 626 calls. Deterministic duplicates between workflows are queried again and counted. Each fixed member of the portfolio represents a 200-call alternative, not a free post hoc choice of its best member.</w:t>
      </w:r>
    </w:p>
    <w:p>
      <w:pPr>
        <w:keepNext w:val="0"/>
        <w:spacing w:before="0" w:after="60" w:line="240" w:lineRule="auto"/>
        <w:ind w:firstLine="317"/>
        <w:jc w:val="both"/>
      </w:pPr>
      <w:r>
        <w:rPr>
          <w:rFonts w:ascii="Times New Roman" w:hAnsi="Times New Roman"/>
          <w:b w:val="0"/>
          <w:i w:val="0"/>
          <w:color w:val="000000"/>
          <w:sz w:val="22"/>
        </w:rPr>
        <w:t>Every condition/policy has zero median improvement at its first pilot action, whereas 20-step median improvement is positive. For LCB it is 2.514% and 3.649% in the two conditions; four of ten repeats in each condition improve after a zero-gain first action. This provides a concrete reason to keep delayed policy assessment separate from immediate screening. It measures diverging policy histories, not the isolated causal effect of a first action under a fixed continuation.</w:t>
      </w:r>
    </w:p>
    <w:p>
      <w:pPr>
        <w:keepNext/>
        <w:spacing w:before="120" w:after="60" w:line="240" w:lineRule="auto"/>
        <w:jc w:val="center"/>
      </w:pPr>
      <w:r>
        <w:rPr>
          <w:rFonts w:ascii="Times New Roman" w:hAnsi="Times New Roman"/>
          <w:color w:val="000000"/>
          <w:sz w:val="20"/>
        </w:rPr>
        <w:t>Table 7: Independent selected-policy validation and complete-portfolio comparison. Compliance is lower-is-better. Each compliance column is a median across ten repeats; the gap is the median of paired percent ratios, not a ratio of medians. Selected-policy validation uses 200 algorithm observations but 280 paid workflow calls including pilots; the portfolio pays 626.</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560"/>
        <w:gridCol w:w="1560"/>
        <w:gridCol w:w="1560"/>
        <w:gridCol w:w="1560"/>
        <w:gridCol w:w="1560"/>
        <w:gridCol w:w="1560"/>
      </w:tblGrid>
      <w:tr>
        <w:trPr>
          <w:tblHeader w:val="true"/>
          <w:cantSplit/>
        </w:trPr>
        <w:tc>
          <w:tcPr>
            <w:tcW w:type="dxa" w:w="156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Force position</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Initial compliance</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Selected-policy compliance</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Portfolio-best compliance</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Paired gap (%)</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Exact best matches</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0.25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1608.5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1172.5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943.2</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9.014</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4/10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0.75</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700.7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406.4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320.6</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27.217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3/10</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selected policy matches the independently executed portfolio-best endpoint in seven of twenty repeats. Its paired median gaps are 9.014% and 27.217%, and the corresponding maxima are 83.067% and 289.223%. Pilot-end ties occur in seven and four repeats, so frequent PI selection is partly a consequence of the declared tie rule and must not be reported as strong empirical selection evidence. Compared with fixed PI, the selected workflow wins/ties/loses in 1/6/3 and 1/8/1 repeats; it makes 40% more calls than every fixed 200-call policy. Against the explicitly executed full portfolio it makes 55.272% fewer calls, accompanied by the disclosed endpoint losses. These counts do not establish universal savings, equivalence, or a performance-preserving deployment gate.</w:t>
      </w:r>
    </w:p>
    <w:p>
      <w:pPr>
        <w:keepNext/>
        <w:spacing w:before="120" w:after="40" w:line="240" w:lineRule="auto"/>
        <w:jc w:val="center"/>
      </w:pPr>
      <w:r>
        <w:drawing>
          <wp:inline xmlns:a="http://schemas.openxmlformats.org/drawingml/2006/main" xmlns:pic="http://schemas.openxmlformats.org/drawingml/2006/picture">
            <wp:extent cx="5760720" cy="1958645"/>
            <wp:docPr id="6" name="Picture 6" descr="Cost and performance of the independently executed beam transfer workflows."/>
            <wp:cNvGraphicFramePr>
              <a:graphicFrameLocks noChangeAspect="1"/>
            </wp:cNvGraphicFramePr>
            <a:graphic>
              <a:graphicData uri="http://schemas.openxmlformats.org/drawingml/2006/picture">
                <pic:pic>
                  <pic:nvPicPr>
                    <pic:cNvPr id="0" name="transfer_cost_performance.png"/>
                    <pic:cNvPicPr/>
                  </pic:nvPicPr>
                  <pic:blipFill>
                    <a:blip r:embed="rId15"/>
                    <a:stretch>
                      <a:fillRect/>
                    </a:stretch>
                  </pic:blipFill>
                  <pic:spPr>
                    <a:xfrm>
                      <a:off x="0" y="0"/>
                      <a:ext cx="5760720" cy="1958645"/>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6: Cost and performance of the independently executed beam transfer workflows.</w:t>
      </w:r>
    </w:p>
    <w:p>
      <w:pPr>
        <w:keepNext w:val="0"/>
        <w:spacing w:before="0" w:after="60" w:line="240" w:lineRule="auto"/>
        <w:ind w:firstLine="317"/>
        <w:jc w:val="both"/>
      </w:pPr>
      <w:r>
        <w:rPr>
          <w:rFonts w:ascii="Times New Roman" w:hAnsi="Times New Roman"/>
          <w:b w:val="0"/>
          <w:i w:val="0"/>
          <w:color w:val="000000"/>
          <w:sz w:val="22"/>
        </w:rPr>
        <w:t>Figure 6 reports median initial-incumbent improvement and interquartile ranges together with the actual per-repeat call requirement. Selected-policy performance is the prespecified validation endpoint; pilot outcomes are excluded from its training. Portfolio performance is the best of all four paid members and is not a 200-call oracle baseline.</w:t>
      </w:r>
    </w:p>
    <w:p>
      <w:pPr>
        <w:keepNext w:val="0"/>
        <w:spacing w:before="0" w:after="60" w:line="240" w:lineRule="auto"/>
        <w:ind w:firstLine="317"/>
        <w:jc w:val="both"/>
      </w:pPr>
      <w:r>
        <w:rPr>
          <w:rFonts w:ascii="Times New Roman" w:hAnsi="Times New Roman"/>
          <w:b w:val="0"/>
          <w:i w:val="0"/>
          <w:color w:val="000000"/>
          <w:sz w:val="22"/>
        </w:rPr>
        <w:t>For practical design use, an engineer could retain a better design found in a pilot. A secondary analysis therefore also reports the best among every design paid for by the audited workflow. Its paired median portfolio gaps are 9.014% and 2.116%, respectively, compared with 9.014% and 27.217% for the prespecified selected-policy endpoint. Both endpoints are disclosed in S10; the secondary result does not replace the selected-policy test or create a retrospectively chosen promotion threshold. The difference shows why an audit must define the performance object as carefully as its cost boundary.</w:t>
      </w:r>
    </w:p>
    <w:p>
      <w:pPr>
        <w:keepNext w:val="0"/>
        <w:spacing w:before="0" w:after="60" w:line="240" w:lineRule="auto"/>
        <w:ind w:firstLine="317"/>
        <w:jc w:val="both"/>
      </w:pPr>
      <w:r>
        <w:rPr>
          <w:rFonts w:ascii="Times New Roman" w:hAnsi="Times New Roman"/>
          <w:b w:val="0"/>
          <w:i w:val="0"/>
          <w:color w:val="000000"/>
          <w:sz w:val="22"/>
        </w:rPr>
        <w:t>The retained transfer ledger contains 18,120 physical attempts and 20,000 full-trajectory algorithm observations across 100 budget 200 continuations, with shared initial observations counted inside each trajectory but paid only once per workflow. Loss of access to the previous complete local transfer journals required an explicit unchanged-protocol recovery; the earlier 18,120 attempts are also counted. Together with the 138 immediate diagnostics and 102 solver checks, this revision has 36,480 additional FE attempts. Recovery responses enter each retained history once. Observed GP and FE component times from the retained execution are reported in S10 and are not exclusive resource measurements or demonstrated production wall-time savings. All added comparisons are descriptive and separate from the original prespecified inferential families.</w:t>
      </w:r>
    </w:p>
    <w:p>
      <w:pPr>
        <w:pStyle w:val="Heading1"/>
        <w:keepNext/>
        <w:spacing w:before="240" w:after="60" w:line="240" w:lineRule="auto"/>
        <w:jc w:val="left"/>
      </w:pPr>
      <w:r>
        <w:rPr>
          <w:rFonts w:ascii="Times New Roman" w:hAnsi="Times New Roman"/>
          <w:b/>
          <w:i w:val="0"/>
          <w:color w:val="000000"/>
          <w:sz w:val="22"/>
        </w:rPr>
        <w:t>7 Discussion and Design Guidance</w:t>
      </w:r>
    </w:p>
    <w:p>
      <w:pPr>
        <w:keepNext w:val="0"/>
        <w:spacing w:before="0" w:after="60" w:line="240" w:lineRule="auto"/>
        <w:ind w:firstLine="317"/>
        <w:jc w:val="both"/>
      </w:pPr>
      <w:r>
        <w:rPr>
          <w:rFonts w:ascii="Times New Roman" w:hAnsi="Times New Roman"/>
          <w:b w:val="0"/>
          <w:i w:val="0"/>
          <w:color w:val="000000"/>
          <w:sz w:val="22"/>
        </w:rPr>
        <w:t>The deterministic and empirical findings answer different questions. Ordering redundancy follows from the stated decision rule and holds whenever the correction is common across supported candidates. The observed performance loss is specific to the tested feedback controller, surrogate, candidates, and budgets. It does not imply that candidate-dependent uncertainty, conformal Bayesian optimization, or all adaptive exploration is ineffective.</w:t>
      </w:r>
    </w:p>
    <w:p>
      <w:pPr>
        <w:keepNext w:val="0"/>
        <w:spacing w:before="0" w:after="60" w:line="240" w:lineRule="auto"/>
        <w:ind w:firstLine="317"/>
        <w:jc w:val="both"/>
      </w:pPr>
      <w:r>
        <w:rPr>
          <w:rFonts w:ascii="Times New Roman" w:hAnsi="Times New Roman"/>
          <w:b w:val="0"/>
          <w:i w:val="0"/>
          <w:color w:val="000000"/>
          <w:sz w:val="22"/>
        </w:rPr>
        <w:t>The results support a staged design procedure for surrogate model management. First, identify the exact route from the monitoring statistic to the decision. If the signal adds a common constant before an argmin, it cannot alter ranking. Second, freeze common states and compare the true utility of the alternative choices. This exposes an unhelpful exploration response before histories diverge. Third, run closed-loop validation on instances not used to select controls or coefficients. Calibration statistics remain useful diagnostics, but they should not serve as substitutes for either decision utility or final objective value.</w:t>
      </w:r>
    </w:p>
    <w:p>
      <w:pPr>
        <w:keepNext w:val="0"/>
        <w:spacing w:before="0" w:after="60" w:line="240" w:lineRule="auto"/>
        <w:ind w:firstLine="317"/>
        <w:jc w:val="both"/>
      </w:pPr>
      <w:r>
        <w:rPr>
          <w:rFonts w:ascii="Times New Roman" w:hAnsi="Times New Roman"/>
          <w:b w:val="0"/>
          <w:i w:val="0"/>
          <w:color w:val="000000"/>
          <w:sz w:val="22"/>
        </w:rPr>
        <w:t>The prototype illustrates why this sequence matters. Its failure fraction is close to 0.1, which could be read as successful monitoring. The same controller increases exploration from about 0.1 to 0.34-0.40, selects candidates with lower immediate improvement, and ends with larger errors. Localized weighting further improves some quantile-loss diagnostics without producing better trajectories. The missing link is not error measurement; it is a rule connecting error information to valuable evaluations.</w:t>
      </w:r>
    </w:p>
    <w:p>
      <w:pPr>
        <w:keepNext w:val="0"/>
        <w:spacing w:before="0" w:after="60" w:line="240" w:lineRule="auto"/>
        <w:ind w:firstLine="317"/>
        <w:jc w:val="both"/>
      </w:pPr>
      <w:r>
        <w:rPr>
          <w:rFonts w:ascii="Times New Roman" w:hAnsi="Times New Roman"/>
          <w:b w:val="0"/>
          <w:i w:val="0"/>
          <w:color w:val="000000"/>
          <w:sz w:val="22"/>
        </w:rPr>
        <w:t>For engineering users, the practical implication is to evaluate the acquisition pathway before paying for large simulation batches. A useful monitor should produce candidate-specific or management-level distinctions whose value can be tested, including delayed value for exploration, search-region changes, restarts, or stopping decisions. Monitoring width or error merely to increase exploration can consume the same number of expensive evaluations in less productive regions.</w:t>
      </w:r>
    </w:p>
    <w:p>
      <w:pPr>
        <w:keepNext w:val="0"/>
        <w:spacing w:before="0" w:after="60" w:line="240" w:lineRule="auto"/>
        <w:ind w:firstLine="317"/>
        <w:jc w:val="both"/>
      </w:pPr>
      <w:r>
        <w:rPr>
          <w:rFonts w:ascii="Times New Roman" w:hAnsi="Times New Roman"/>
          <w:b w:val="0"/>
          <w:i w:val="0"/>
          <w:color w:val="000000"/>
          <w:sz w:val="22"/>
        </w:rPr>
        <w:t>The added GP intervention tests the audit on actionable acquisition rules, while the two force-position conditions test finite-horizon policy and selection outcomes within the same beam family. The strongest reusable result is the evidence procedure: identify exact decision classes, pay only for undetermined immediate responses, preserve a label-free intervention boundary, and then disclose both closed-loop endpoints and total cost. The transfer selector illustrates a failure boundary rather than a competitive-optimizer contribution. Its pilot ties, endpoint losses and extra cost relative to fixed policies delimit engineering deployment. Validation on distinct physical model families and competitive warm-start selectors remains outside the evidence.</w:t>
      </w:r>
    </w:p>
    <w:p>
      <w:pPr>
        <w:keepNext w:val="0"/>
        <w:spacing w:before="0" w:after="60" w:line="240" w:lineRule="auto"/>
        <w:ind w:firstLine="317"/>
        <w:jc w:val="both"/>
      </w:pPr>
      <w:r>
        <w:rPr>
          <w:rFonts w:ascii="Times New Roman" w:hAnsi="Times New Roman"/>
          <w:b w:val="0"/>
          <w:i w:val="0"/>
          <w:color w:val="000000"/>
          <w:sz w:val="22"/>
        </w:rPr>
        <w:t>The study has limitations. Residuals originate from changing surrogate models and scales; no exchangeability argument establishes pointwise coverage. Sparse declarations limit conditional reliability statements. The RBF surrogate truncates training data, and the candidate process is one implementation among many. The broad BBOB external-reference batches retain their native initialization, although the finite-element sensitivity analysis removes this difference. The beam study uses a smooth 19-dimensional design family, not unrestricted 5,000-variable topology optimization. Full sensitivity, 300-dimensional, application, resource, and recovery evidence is supplied separately so that these limits remain auditable without dominating the main paper.</w:t>
      </w:r>
    </w:p>
    <w:p>
      <w:pPr>
        <w:pStyle w:val="Heading1"/>
        <w:keepNext/>
        <w:spacing w:before="240" w:after="60" w:line="240" w:lineRule="auto"/>
        <w:jc w:val="left"/>
      </w:pPr>
      <w:r>
        <w:rPr>
          <w:rFonts w:ascii="Times New Roman" w:hAnsi="Times New Roman"/>
          <w:b/>
          <w:i w:val="0"/>
          <w:color w:val="000000"/>
          <w:sz w:val="22"/>
        </w:rPr>
        <w:t>8 Conclusion</w:t>
      </w:r>
    </w:p>
    <w:p>
      <w:pPr>
        <w:keepNext w:val="0"/>
        <w:spacing w:before="0" w:after="60" w:line="240" w:lineRule="auto"/>
        <w:ind w:firstLine="317"/>
        <w:jc w:val="both"/>
      </w:pPr>
      <w:r>
        <w:rPr>
          <w:rFonts w:ascii="Times New Roman" w:hAnsi="Times New Roman"/>
          <w:b w:val="0"/>
          <w:i w:val="0"/>
          <w:color w:val="000000"/>
          <w:sz w:val="22"/>
        </w:rPr>
        <w:t>A decision-consequence auditing framework has been developed for reliability assessment in surrogate-assisted optimization. It makes the path from surrogate-derived information to model-management action explicit and requires separate evidence for calibration, decision influence, common-state utility, and closed-loop optimization. The ranking-invariance criterion and prediction-before-label protocol allow structurally redundant mechanisms and information leakage to be identified before large experimental budgets are committed.</w:t>
      </w:r>
    </w:p>
    <w:p>
      <w:pPr>
        <w:keepNext w:val="0"/>
        <w:spacing w:before="0" w:after="60" w:line="240" w:lineRule="auto"/>
        <w:ind w:firstLine="317"/>
        <w:jc w:val="both"/>
      </w:pPr>
      <w:r>
        <w:rPr>
          <w:rFonts w:ascii="Times New Roman" w:hAnsi="Times New Roman"/>
          <w:b w:val="0"/>
          <w:i w:val="0"/>
          <w:color w:val="000000"/>
          <w:sz w:val="22"/>
        </w:rPr>
        <w:t>The temporal residual monitor illustrates the framework rather than defining its scope. Its aggregate failure rate is close to the nominal level, but its candidate-independent correction cannot create a distinct exploitation ranking, its feedback choices have lower immediate utility, and its held-out BBOB and finite-element trajectories do not pass the optimization-benefit gate. The shared-initialization controls sharpen this interpretation: GP-PI, author-code DRSO, and trust-region Bayesian optimization (TuRBO-1) produce strong improvement, whereas GP-EI and fixed-multiplier GP-UCB do not improve the median initial incumbent. These outcomes provide optimizer context; the added frozen-state intervention supplies mechanism-level evidence for the GP acquisition rules. A full decision-level audit of DRSO and TuRBO-1 is not claimed.</w:t>
      </w:r>
    </w:p>
    <w:p>
      <w:pPr>
        <w:keepNext w:val="0"/>
        <w:spacing w:before="0" w:after="60" w:line="240" w:lineRule="auto"/>
        <w:ind w:firstLine="317"/>
        <w:jc w:val="both"/>
      </w:pPr>
      <w:r>
        <w:rPr>
          <w:rFonts w:ascii="Times New Roman" w:hAnsi="Times New Roman"/>
          <w:b w:val="0"/>
          <w:i w:val="0"/>
          <w:color w:val="000000"/>
          <w:sz w:val="22"/>
        </w:rPr>
        <w:t>The framework is intended to support predeployment assessment in expensive engineering optimization. In the tested prototype it prevents calibration statistics from being interpreted as demonstrated optimization value and records the unsupported decision pathway. The GP intervention and force-position study extend the evidence beyond the residual controller: decisions can differ without immediate gain, later policy value can arise after a zero-gain first action, and cheaper selection can lose final performance. The contribution is a reproducible audit of these distinctions and its query-allocation and cost records, not a guarantee of optimization superiority or net savings.</w:t>
      </w:r>
    </w:p>
    <w:p>
      <w:pPr>
        <w:pStyle w:val="Heading2"/>
        <w:keepNext/>
        <w:spacing w:before="160" w:after="60" w:line="240" w:lineRule="auto"/>
        <w:jc w:val="left"/>
      </w:pPr>
      <w:r>
        <w:rPr>
          <w:rFonts w:ascii="Times New Roman" w:hAnsi="Times New Roman"/>
          <w:b/>
          <w:i/>
          <w:color w:val="000000"/>
          <w:sz w:val="22"/>
        </w:rPr>
        <w:t>Declaration of Generative Artificial Intelligence Use</w:t>
      </w:r>
    </w:p>
    <w:p>
      <w:pPr>
        <w:keepNext w:val="0"/>
        <w:spacing w:before="0" w:after="60" w:line="240" w:lineRule="auto"/>
        <w:ind w:firstLine="317"/>
        <w:jc w:val="both"/>
      </w:pPr>
      <w:r>
        <w:rPr>
          <w:rFonts w:ascii="Times New Roman" w:hAnsi="Times New Roman"/>
          <w:b w:val="0"/>
          <w:i w:val="0"/>
          <w:color w:val="000000"/>
          <w:sz w:val="22"/>
        </w:rPr>
        <w:t>OpenAI Codex was used only for copyediting and language refinement to improve spelling, grammar, clarity, and flow. The authors reviewed and edited all affected text and take full responsibility for the content of the article.</w:t>
      </w:r>
    </w:p>
    <w:p>
      <w:pPr>
        <w:pStyle w:val="Heading1"/>
        <w:keepNext/>
        <w:spacing w:before="240" w:after="60" w:line="240" w:lineRule="auto"/>
        <w:jc w:val="left"/>
      </w:pPr>
      <w:r>
        <w:rPr>
          <w:rFonts w:ascii="Times New Roman" w:hAnsi="Times New Roman"/>
          <w:b/>
          <w:i w:val="0"/>
          <w:color w:val="000000"/>
          <w:sz w:val="22"/>
        </w:rPr>
        <w:t>Funding Statement</w:t>
      </w:r>
    </w:p>
    <w:p>
      <w:pPr>
        <w:keepNext w:val="0"/>
        <w:spacing w:before="0" w:after="60" w:line="240" w:lineRule="auto"/>
        <w:ind w:firstLine="317"/>
        <w:jc w:val="both"/>
      </w:pPr>
      <w:r>
        <w:rPr>
          <w:rFonts w:ascii="Times New Roman" w:hAnsi="Times New Roman"/>
          <w:b w:val="0"/>
          <w:i w:val="0"/>
          <w:color w:val="000000"/>
          <w:sz w:val="22"/>
        </w:rPr>
        <w:t>The authors received no specific funding for this study.</w:t>
      </w:r>
    </w:p>
    <w:p>
      <w:pPr>
        <w:pStyle w:val="Heading1"/>
        <w:keepNext/>
        <w:spacing w:before="240" w:after="60" w:line="240" w:lineRule="auto"/>
        <w:jc w:val="left"/>
      </w:pPr>
      <w:r>
        <w:rPr>
          <w:rFonts w:ascii="Times New Roman" w:hAnsi="Times New Roman"/>
          <w:b/>
          <w:i w:val="0"/>
          <w:color w:val="000000"/>
          <w:sz w:val="22"/>
        </w:rPr>
        <w:t>Author Contributions</w:t>
      </w:r>
    </w:p>
    <w:p>
      <w:pPr>
        <w:keepNext w:val="0"/>
        <w:spacing w:before="0" w:after="60" w:line="240" w:lineRule="auto"/>
        <w:ind w:firstLine="317"/>
        <w:jc w:val="both"/>
      </w:pPr>
      <w:r>
        <w:rPr>
          <w:rFonts w:ascii="Times New Roman" w:hAnsi="Times New Roman"/>
          <w:b w:val="0"/>
          <w:i w:val="0"/>
          <w:color w:val="000000"/>
          <w:sz w:val="22"/>
        </w:rPr>
        <w:t>The authors confirm contribution to the paper as follows: conceptualization, Ya-Yu Zhang, Shu-Chuan Chu, and Jeng-Shyang Pan; methodology, Ya-Yu Zhang, Shu-Chuan Chu, and Zhenyu Meng; software, Ya-Yu Zhang; validation, Ya-Yu Zhang, Zhenyu Meng, and Jia Zhao; formal analysis, Ya-Yu Zhang and Zhenyu Meng; investigation, Ya-Yu Zhang and Jia Zhao; resources, Jeng-Shyang Pan; data curation, Ya-Yu Zhang; visualization, Ya-Yu Zhang and Jia Zhao; writing-original draft preparation, Ya-Yu Zhang; writing-review and editing, Ya-Yu Zhang, Shu-Chuan Chu, Zhenyu Meng, Jia Zhao, and Jeng-Shyang Pan; supervision, Shu-Chuan Chu and Jeng-Shyang Pan; project administration, Shu-Chuan Chu. All authors reviewed the results and approved the final version of the manuscript.</w:t>
      </w:r>
    </w:p>
    <w:p>
      <w:pPr>
        <w:pStyle w:val="Heading1"/>
        <w:keepNext/>
        <w:spacing w:before="240" w:after="60" w:line="240" w:lineRule="auto"/>
        <w:jc w:val="left"/>
      </w:pPr>
      <w:r>
        <w:rPr>
          <w:rFonts w:ascii="Times New Roman" w:hAnsi="Times New Roman"/>
          <w:b/>
          <w:i w:val="0"/>
          <w:color w:val="000000"/>
          <w:sz w:val="22"/>
        </w:rPr>
        <w:t>Availability of Data and Materials</w:t>
      </w:r>
    </w:p>
    <w:p>
      <w:pPr>
        <w:keepNext w:val="0"/>
        <w:spacing w:before="0" w:after="60" w:line="240" w:lineRule="auto"/>
        <w:ind w:firstLine="317"/>
        <w:jc w:val="both"/>
      </w:pPr>
      <w:r>
        <w:rPr>
          <w:rFonts w:ascii="Times New Roman" w:hAnsi="Times New Roman"/>
          <w:b w:val="0"/>
          <w:i w:val="0"/>
          <w:color w:val="000000"/>
          <w:sz w:val="22"/>
        </w:rPr>
        <w:t>The manuscript sources, implementation, frozen configurations, and dependency records are available in the public repository https://github.com/ya-yu-zhang/Reliable-Surrogate-Assisted-Optimization-in-Expensive-Engineering-Design. The curated GP intervention ledger and the lossless compact transfer record release support the added results. Original GP input hashes and the required author-supplied archive checksum are documented. Approximately 13.6 GB of historical raw outputs and full execution archives remain outside the repository; a successful large-file release of the curated original ZIP must be verified separately. The reported experiments can be regenerated using the documented environments and configurations; archived raw data are available from the corresponding author upon reasonable request. Public visibility should not be interpreted as an open-source license; third-party implementations and publisher templates retain their own terms.</w:t>
      </w:r>
    </w:p>
    <w:p>
      <w:pPr>
        <w:pStyle w:val="Heading1"/>
        <w:keepNext/>
        <w:spacing w:before="240" w:after="60" w:line="240" w:lineRule="auto"/>
        <w:jc w:val="left"/>
      </w:pPr>
      <w:r>
        <w:rPr>
          <w:rFonts w:ascii="Times New Roman" w:hAnsi="Times New Roman"/>
          <w:b/>
          <w:i w:val="0"/>
          <w:color w:val="000000"/>
          <w:sz w:val="22"/>
        </w:rPr>
        <w:t>Ethics Approval</w:t>
      </w:r>
    </w:p>
    <w:p>
      <w:pPr>
        <w:keepNext w:val="0"/>
        <w:spacing w:before="0" w:after="60" w:line="240" w:lineRule="auto"/>
        <w:ind w:firstLine="317"/>
        <w:jc w:val="both"/>
      </w:pPr>
      <w:r>
        <w:rPr>
          <w:rFonts w:ascii="Times New Roman" w:hAnsi="Times New Roman"/>
          <w:b w:val="0"/>
          <w:i w:val="0"/>
          <w:color w:val="000000"/>
          <w:sz w:val="22"/>
        </w:rPr>
        <w:t>Not applicable. This study did not involve human participants or animals.</w:t>
      </w:r>
    </w:p>
    <w:p>
      <w:pPr>
        <w:pStyle w:val="Heading1"/>
        <w:keepNext/>
        <w:spacing w:before="240" w:after="60" w:line="240" w:lineRule="auto"/>
        <w:jc w:val="left"/>
      </w:pPr>
      <w:r>
        <w:rPr>
          <w:rFonts w:ascii="Times New Roman" w:hAnsi="Times New Roman"/>
          <w:b/>
          <w:i w:val="0"/>
          <w:color w:val="000000"/>
          <w:sz w:val="22"/>
        </w:rPr>
        <w:t>Conflicts of Interest</w:t>
      </w:r>
    </w:p>
    <w:p>
      <w:pPr>
        <w:keepNext w:val="0"/>
        <w:spacing w:before="0" w:after="60" w:line="240" w:lineRule="auto"/>
        <w:ind w:firstLine="317"/>
        <w:jc w:val="both"/>
      </w:pPr>
      <w:r>
        <w:rPr>
          <w:rFonts w:ascii="Times New Roman" w:hAnsi="Times New Roman"/>
          <w:b w:val="0"/>
          <w:i w:val="0"/>
          <w:color w:val="000000"/>
          <w:sz w:val="22"/>
        </w:rPr>
        <w:t>The authors declare no conflicts of interest to report regarding the present study.</w:t>
      </w:r>
    </w:p>
    <w:p>
      <w:pPr>
        <w:pStyle w:val="Heading1"/>
        <w:keepNext/>
        <w:spacing w:before="240" w:after="60" w:line="240" w:lineRule="auto"/>
        <w:jc w:val="left"/>
      </w:pPr>
      <w:r>
        <w:rPr>
          <w:rFonts w:ascii="Times New Roman" w:hAnsi="Times New Roman"/>
          <w:b/>
          <w:i w:val="0"/>
          <w:color w:val="000000"/>
          <w:sz w:val="22"/>
        </w:rPr>
        <w:t>Supplementary Materials</w:t>
      </w:r>
    </w:p>
    <w:p>
      <w:pPr>
        <w:keepNext w:val="0"/>
        <w:spacing w:before="0" w:after="60" w:line="240" w:lineRule="auto"/>
        <w:ind w:firstLine="317"/>
        <w:jc w:val="both"/>
      </w:pPr>
      <w:r>
        <w:rPr>
          <w:rFonts w:ascii="Times New Roman" w:hAnsi="Times New Roman"/>
          <w:b w:val="0"/>
          <w:i w:val="0"/>
          <w:color w:val="000000"/>
          <w:sz w:val="22"/>
        </w:rPr>
        <w:t>The supplementary document contains the historical function-level, LassoBench, dimensional, sensitivity and resource evidence, plus the added GP intervention, force-position transfer, per-repeat endpoints, fixed-policy comparisons, horizon diagnostics and complete recovery-aware cost ledger.</w:t>
      </w:r>
    </w:p>
    <w:p>
      <w:pPr>
        <w:pStyle w:val="Heading1"/>
        <w:keepNext/>
        <w:spacing w:before="240" w:after="60" w:line="240" w:lineRule="auto"/>
        <w:jc w:val="left"/>
      </w:pPr>
      <w:r>
        <w:rPr>
          <w:rFonts w:ascii="Times New Roman" w:hAnsi="Times New Roman"/>
          <w:b/>
          <w:i w:val="0"/>
          <w:color w:val="000000"/>
          <w:sz w:val="22"/>
        </w:rPr>
        <w:t>References</w:t>
      </w:r>
    </w:p>
    <w:p>
      <w:pPr>
        <w:keepNext w:val="0"/>
        <w:spacing w:before="0" w:after="60" w:line="240" w:lineRule="auto"/>
        <w:ind w:firstLine="317"/>
        <w:jc w:val="both"/>
      </w:pPr>
      <w:r>
        <w:rPr>
          <w:rFonts w:ascii="Times New Roman" w:hAnsi="Times New Roman"/>
          <w:b w:val="0"/>
          <w:i w:val="0"/>
          <w:color w:val="000000"/>
          <w:sz w:val="22"/>
        </w:rPr>
        <w:t>[1] Y. Jin, "Surrogate-assisted evolutionary computation: Recent advances and future challenges," Swarm Evol. Comput., vol. 1, no. 2, pp. 61-70, 2011. doi: 10.1016/j.swevo.2011.05.001.</w:t>
      </w:r>
    </w:p>
    <w:p>
      <w:pPr>
        <w:keepNext w:val="0"/>
        <w:spacing w:before="0" w:after="60" w:line="240" w:lineRule="auto"/>
        <w:ind w:firstLine="317"/>
        <w:jc w:val="both"/>
      </w:pPr>
      <w:r>
        <w:rPr>
          <w:rFonts w:ascii="Times New Roman" w:hAnsi="Times New Roman"/>
          <w:b w:val="0"/>
          <w:i w:val="0"/>
          <w:color w:val="000000"/>
          <w:sz w:val="22"/>
        </w:rPr>
        <w:t>[2] J. Liang, Y. Lou, M. Yu, Y. Bi, and K. Yu, "A survey of surrogate-assisted evolutionary algorithms for expensive optimization," J. Membr. Comput., vol. 7, pp. 108-127, 2025. doi: 10.1007/s41965-024-00165-w.</w:t>
      </w:r>
    </w:p>
    <w:p>
      <w:pPr>
        <w:keepNext w:val="0"/>
        <w:spacing w:before="0" w:after="60" w:line="240" w:lineRule="auto"/>
        <w:ind w:firstLine="317"/>
        <w:jc w:val="both"/>
      </w:pPr>
      <w:r>
        <w:rPr>
          <w:rFonts w:ascii="Times New Roman" w:hAnsi="Times New Roman"/>
          <w:b w:val="0"/>
          <w:i w:val="0"/>
          <w:color w:val="000000"/>
          <w:sz w:val="22"/>
        </w:rPr>
        <w:t>[3] D. R. Jones, M. Schonlau, and W. J. Welch, "Efficient global optimization of expensive black-box functions," J. Glob. Optim., vol. 13, pp. 455-492, 1998. doi: 10.1023/A:1008306431147.</w:t>
      </w:r>
    </w:p>
    <w:p>
      <w:pPr>
        <w:keepNext w:val="0"/>
        <w:spacing w:before="0" w:after="60" w:line="240" w:lineRule="auto"/>
        <w:ind w:firstLine="317"/>
        <w:jc w:val="both"/>
      </w:pPr>
      <w:r>
        <w:rPr>
          <w:rFonts w:ascii="Times New Roman" w:hAnsi="Times New Roman"/>
          <w:b w:val="0"/>
          <w:i w:val="0"/>
          <w:color w:val="000000"/>
          <w:sz w:val="22"/>
        </w:rPr>
        <w:t>[4] Y. Jin, H. Wang, T. Chugh, D. Guo, and K. Miettinen, "Data-driven evolutionary optimization: An overview and case studies," IEEE Trans. Evol. Comput., vol. 23, no. 3, pp. 442-458, 2019.</w:t>
      </w:r>
    </w:p>
    <w:p>
      <w:pPr>
        <w:keepNext w:val="0"/>
        <w:spacing w:before="0" w:after="60" w:line="240" w:lineRule="auto"/>
        <w:ind w:firstLine="317"/>
        <w:jc w:val="both"/>
      </w:pPr>
      <w:r>
        <w:rPr>
          <w:rFonts w:ascii="Times New Roman" w:hAnsi="Times New Roman"/>
          <w:b w:val="0"/>
          <w:i w:val="0"/>
          <w:color w:val="000000"/>
          <w:sz w:val="22"/>
        </w:rPr>
        <w:t>[5] J.-Y. Li, Z.-H. Zhan, and J. Zhang, "Evolutionary computation for expensive optimization: A survey," Int. J. Autom. Comput., vol. 18, pp. 1-21, 2021.</w:t>
      </w:r>
    </w:p>
    <w:p>
      <w:pPr>
        <w:keepNext w:val="0"/>
        <w:spacing w:before="0" w:after="60" w:line="240" w:lineRule="auto"/>
        <w:ind w:firstLine="317"/>
        <w:jc w:val="both"/>
      </w:pPr>
      <w:r>
        <w:rPr>
          <w:rFonts w:ascii="Times New Roman" w:hAnsi="Times New Roman"/>
          <w:b w:val="0"/>
          <w:i w:val="0"/>
          <w:color w:val="000000"/>
          <w:sz w:val="22"/>
        </w:rPr>
        <w:t>[6] H. Zou, S. Zeng, C. Li, R. Jiao, and F. Zhao, "Uncertainty estimation by boosting with Gaussian process for expensive optimization problems," Appl. Soft Comput., vol. 180, Art. no. 113320, 2025. doi: 10.1016/j.asoc.2025.113320.</w:t>
      </w:r>
    </w:p>
    <w:p>
      <w:pPr>
        <w:keepNext w:val="0"/>
        <w:spacing w:before="0" w:after="60" w:line="240" w:lineRule="auto"/>
        <w:ind w:firstLine="317"/>
        <w:jc w:val="both"/>
      </w:pPr>
      <w:r>
        <w:rPr>
          <w:rFonts w:ascii="Times New Roman" w:hAnsi="Times New Roman"/>
          <w:b w:val="0"/>
          <w:i w:val="0"/>
          <w:color w:val="000000"/>
          <w:sz w:val="22"/>
        </w:rPr>
        <w:t>[7] X. Ma, Y. Li, Y. Zhuang, Y. Li, J. Fan, L. Wang, Y. Qi, and J. Xiong, "A surrogate-assisted evolutionary algorithm with Gaussian process regression and diversity search for large-scale expensive optimization," Appl. Soft Comput., vol. 182, Art. no. 113440, 2025. doi: 10.1016/j.asoc.2025.113440.</w:t>
      </w:r>
    </w:p>
    <w:p>
      <w:pPr>
        <w:keepNext w:val="0"/>
        <w:spacing w:before="0" w:after="60" w:line="240" w:lineRule="auto"/>
        <w:ind w:firstLine="317"/>
        <w:jc w:val="both"/>
      </w:pPr>
      <w:r>
        <w:rPr>
          <w:rFonts w:ascii="Times New Roman" w:hAnsi="Times New Roman"/>
          <w:b w:val="0"/>
          <w:i w:val="0"/>
          <w:color w:val="000000"/>
          <w:sz w:val="22"/>
        </w:rPr>
        <w:t>[8] H. Liu, Z. Ren, C. He, and W. Du, "A surrogate-assisted differential evolution algorithm with a dual-space-driven selection strategy for expensive optimization problems," Complex Intell. Syst., vol. 11, Art. no. 230, 2025. doi: 10.1007/s40747-025-01812-0.</w:t>
      </w:r>
    </w:p>
    <w:p>
      <w:pPr>
        <w:keepNext w:val="0"/>
        <w:spacing w:before="0" w:after="60" w:line="240" w:lineRule="auto"/>
        <w:ind w:firstLine="317"/>
        <w:jc w:val="both"/>
      </w:pPr>
      <w:r>
        <w:rPr>
          <w:rFonts w:ascii="Times New Roman" w:hAnsi="Times New Roman"/>
          <w:b w:val="0"/>
          <w:i w:val="0"/>
          <w:color w:val="000000"/>
          <w:sz w:val="22"/>
        </w:rPr>
        <w:t>[9] R. Zhou, C. Ren, Z. Meng, and H. Zhu, "Surrogate-assisted differential evolution with search space tightening for high-dimensional expensive optimization problems," IEEE Trans. Syst. Man Cybern. Syst., vol. 55, no. 10, pp. 7356-7368, 2025. doi: 10.1109/TSMC.2025.3582897.</w:t>
      </w:r>
    </w:p>
    <w:p>
      <w:pPr>
        <w:keepNext w:val="0"/>
        <w:spacing w:before="0" w:after="60" w:line="240" w:lineRule="auto"/>
        <w:ind w:firstLine="317"/>
        <w:jc w:val="both"/>
      </w:pPr>
      <w:r>
        <w:rPr>
          <w:rFonts w:ascii="Times New Roman" w:hAnsi="Times New Roman"/>
          <w:b w:val="0"/>
          <w:i w:val="0"/>
          <w:color w:val="000000"/>
          <w:sz w:val="22"/>
        </w:rPr>
        <w:t>[10] L. Yu, Y. Guo, L. Feng, Z. Zhu, Z. Wei, and Y. Hou, "A multi-source surrogate-assisted evolutionary algorithm for expensive optimization: An optinformatics perspective," Swarm Evol. Comput., vol. 107, Art. no. 102491, 2026. doi: 10.1016/j.swevo.2026.102491.</w:t>
      </w:r>
    </w:p>
    <w:p>
      <w:pPr>
        <w:keepNext w:val="0"/>
        <w:spacing w:before="0" w:after="60" w:line="240" w:lineRule="auto"/>
        <w:ind w:firstLine="317"/>
        <w:jc w:val="both"/>
      </w:pPr>
      <w:r>
        <w:rPr>
          <w:rFonts w:ascii="Times New Roman" w:hAnsi="Times New Roman"/>
          <w:b w:val="0"/>
          <w:i w:val="0"/>
          <w:color w:val="000000"/>
          <w:sz w:val="22"/>
        </w:rPr>
        <w:t>[11] Q. Liu, X. Wu, Q. Lin, J. Ji, and K.-C. Wong, "A novel surrogate-assisted evolutionary algorithm with an uncertainty grouping based infill criterion," Swarm Evol. Comput., vol. 60, Art. no. 100787, 2021.</w:t>
      </w:r>
    </w:p>
    <w:p>
      <w:pPr>
        <w:keepNext w:val="0"/>
        <w:spacing w:before="0" w:after="60" w:line="240" w:lineRule="auto"/>
        <w:ind w:firstLine="317"/>
        <w:jc w:val="both"/>
      </w:pPr>
      <w:r>
        <w:rPr>
          <w:rFonts w:ascii="Times New Roman" w:hAnsi="Times New Roman"/>
          <w:b w:val="0"/>
          <w:i w:val="0"/>
          <w:color w:val="000000"/>
          <w:sz w:val="22"/>
        </w:rPr>
        <w:t>[12] S. Deshpande, C. Marx, and V. Kuleshov, "Online calibrated and conformal prediction improves Bayesian optimization," in Proc. AISTATS, PMLR, vol. 238, pp. 1450-1458, 2024.</w:t>
      </w:r>
    </w:p>
    <w:p>
      <w:pPr>
        <w:keepNext w:val="0"/>
        <w:spacing w:before="0" w:after="60" w:line="240" w:lineRule="auto"/>
        <w:ind w:firstLine="317"/>
        <w:jc w:val="both"/>
      </w:pPr>
      <w:r>
        <w:rPr>
          <w:rFonts w:ascii="Times New Roman" w:hAnsi="Times New Roman"/>
          <w:b w:val="0"/>
          <w:i w:val="0"/>
          <w:color w:val="000000"/>
          <w:sz w:val="22"/>
        </w:rPr>
        <w:t>[13] D. Kim, M. Zecchin, S. Park, J. Kang, and O. Simeone, "Robust Bayesian optimization via localized online conformal prediction," arXiv:2411.17387v2, 2025.</w:t>
      </w:r>
    </w:p>
    <w:p>
      <w:pPr>
        <w:keepNext w:val="0"/>
        <w:spacing w:before="0" w:after="60" w:line="240" w:lineRule="auto"/>
        <w:ind w:firstLine="317"/>
        <w:jc w:val="both"/>
      </w:pPr>
      <w:r>
        <w:rPr>
          <w:rFonts w:ascii="Times New Roman" w:hAnsi="Times New Roman"/>
          <w:b w:val="0"/>
          <w:i w:val="0"/>
          <w:color w:val="000000"/>
          <w:sz w:val="22"/>
        </w:rPr>
        <w:t>[14] Y. Jin and Z. Ren, "Confidence on the focal: Conformal prediction with selection-conditional coverage," arXiv:2403.03868v3, 2024.</w:t>
      </w:r>
    </w:p>
    <w:p>
      <w:pPr>
        <w:keepNext w:val="0"/>
        <w:spacing w:before="0" w:after="60" w:line="240" w:lineRule="auto"/>
        <w:ind w:firstLine="317"/>
        <w:jc w:val="both"/>
      </w:pPr>
      <w:r>
        <w:rPr>
          <w:rFonts w:ascii="Times New Roman" w:hAnsi="Times New Roman"/>
          <w:b w:val="0"/>
          <w:i w:val="0"/>
          <w:color w:val="000000"/>
          <w:sz w:val="22"/>
        </w:rPr>
        <w:t>[15] E. Nardone, C. De Stefano, A. Scotto di Freca, F. Fontanella, and T. D'Alessandro, "Toward reliable uncertainty quantification in surrogate-assisted evolutionary algorithms via temporal conformal prediction," in Applications of Evolutionary Computation, LNCS 16524, pp. 384-401, 2026. doi: 10.1007/978-3-032-23604-3_24.</w:t>
      </w:r>
    </w:p>
    <w:p>
      <w:pPr>
        <w:keepNext w:val="0"/>
        <w:spacing w:before="0" w:after="60" w:line="240" w:lineRule="auto"/>
        <w:ind w:firstLine="317"/>
        <w:jc w:val="both"/>
      </w:pPr>
      <w:r>
        <w:rPr>
          <w:rFonts w:ascii="Times New Roman" w:hAnsi="Times New Roman"/>
          <w:b w:val="0"/>
          <w:i w:val="0"/>
          <w:color w:val="000000"/>
          <w:sz w:val="22"/>
        </w:rPr>
        <w:t>[16] Y. S. Ong, P. B. Nair, and A. J. Keane, "Evolutionary optimization of computationally expensive problems via surrogate modeling," AIAA J., vol. 41, no. 4, pp. 687-696, 2003.</w:t>
      </w:r>
    </w:p>
    <w:p>
      <w:pPr>
        <w:keepNext w:val="0"/>
        <w:spacing w:before="0" w:after="60" w:line="240" w:lineRule="auto"/>
        <w:ind w:firstLine="317"/>
        <w:jc w:val="both"/>
      </w:pPr>
      <w:r>
        <w:rPr>
          <w:rFonts w:ascii="Times New Roman" w:hAnsi="Times New Roman"/>
          <w:b w:val="0"/>
          <w:i w:val="0"/>
          <w:color w:val="000000"/>
          <w:sz w:val="22"/>
        </w:rPr>
        <w:t>[17] H. Wang, Y. Jin, and J. Doherty, "Committee-based active learning for surrogate-assisted particle swarm optimization of expensive problems," IEEE Trans. Cybern., vol. 47, no. 9, pp. 2664-2677, 2017.</w:t>
      </w:r>
    </w:p>
    <w:p>
      <w:pPr>
        <w:keepNext w:val="0"/>
        <w:spacing w:before="0" w:after="60" w:line="240" w:lineRule="auto"/>
        <w:ind w:firstLine="317"/>
        <w:jc w:val="both"/>
      </w:pPr>
      <w:r>
        <w:rPr>
          <w:rFonts w:ascii="Times New Roman" w:hAnsi="Times New Roman"/>
          <w:b w:val="0"/>
          <w:i w:val="0"/>
          <w:color w:val="000000"/>
          <w:sz w:val="22"/>
        </w:rPr>
        <w:t>[18] M. Yu, X. Li, and J. Liang, "A dynamic surrogate-assisted evolutionary algorithm framework for expensive structural optimization," Struct. Multidiscip. Optim., vol. 61, no. 2, pp. 711-729, 2020.</w:t>
      </w:r>
    </w:p>
    <w:p>
      <w:pPr>
        <w:keepNext w:val="0"/>
        <w:spacing w:before="0" w:after="60" w:line="240" w:lineRule="auto"/>
        <w:ind w:firstLine="317"/>
        <w:jc w:val="both"/>
      </w:pPr>
      <w:r>
        <w:rPr>
          <w:rFonts w:ascii="Times New Roman" w:hAnsi="Times New Roman"/>
          <w:b w:val="0"/>
          <w:i w:val="0"/>
          <w:color w:val="000000"/>
          <w:sz w:val="22"/>
        </w:rPr>
        <w:t>[19] C. Sun, Y. Jin, R. Cheng, J. Ding, and J. Zeng, "Surrogate-assisted cooperative swarm optimization of high-dimensional expensive problems," IEEE Trans. Evol. Comput., vol. 21, no. 4, pp. 644-660, 2017.</w:t>
      </w:r>
    </w:p>
    <w:p>
      <w:pPr>
        <w:keepNext w:val="0"/>
        <w:spacing w:before="0" w:after="60" w:line="240" w:lineRule="auto"/>
        <w:ind w:firstLine="317"/>
        <w:jc w:val="both"/>
      </w:pPr>
      <w:r>
        <w:rPr>
          <w:rFonts w:ascii="Times New Roman" w:hAnsi="Times New Roman"/>
          <w:b w:val="0"/>
          <w:i w:val="0"/>
          <w:color w:val="000000"/>
          <w:sz w:val="22"/>
        </w:rPr>
        <w:t>[20] Y. Hanawa, T. Harada, and Y. Miura, "Impact of surrogate model accuracy on performance and model management strategy in surrogate-assisted evolutionary algorithms," Array, vol. 27, Art. no. 100461, 2025. doi: 10.1016/j.array.2025.100461.</w:t>
      </w:r>
    </w:p>
    <w:p>
      <w:pPr>
        <w:keepNext w:val="0"/>
        <w:spacing w:before="0" w:after="60" w:line="240" w:lineRule="auto"/>
        <w:ind w:firstLine="317"/>
        <w:jc w:val="both"/>
      </w:pPr>
      <w:r>
        <w:rPr>
          <w:rFonts w:ascii="Times New Roman" w:hAnsi="Times New Roman"/>
          <w:b w:val="0"/>
          <w:i w:val="0"/>
          <w:color w:val="000000"/>
          <w:sz w:val="22"/>
        </w:rPr>
        <w:t>[21] M. Gobert, G. Briffoteaux, J. Gmys, N. Melab, and D. Tuyttens, "Observations in applying Bayesian versus evolutionary approaches and their hybrids in parallel time-constrained optimization," Eng. Appl. Artif. Intell., vol. 137, Art. no. 109075, 2024. doi: 10.1016/j.engappai.2024.109075.</w:t>
      </w:r>
    </w:p>
    <w:p>
      <w:pPr>
        <w:keepNext w:val="0"/>
        <w:spacing w:before="0" w:after="60" w:line="240" w:lineRule="auto"/>
        <w:ind w:firstLine="317"/>
        <w:jc w:val="both"/>
      </w:pPr>
      <w:r>
        <w:rPr>
          <w:rFonts w:ascii="Times New Roman" w:hAnsi="Times New Roman"/>
          <w:b w:val="0"/>
          <w:i w:val="0"/>
          <w:color w:val="000000"/>
          <w:sz w:val="22"/>
        </w:rPr>
        <w:t>[22] H. Hao, X. Zhang, and A. Zhou, "Un-evaluated solutions may be valuable in expensive optimization," Swarm Evol. Comput., vol. 94, Art. no. 101905, 2025. doi: 10.1016/j.swevo.2025.101905.</w:t>
      </w:r>
    </w:p>
    <w:p>
      <w:pPr>
        <w:keepNext w:val="0"/>
        <w:spacing w:before="0" w:after="60" w:line="240" w:lineRule="auto"/>
        <w:ind w:firstLine="317"/>
        <w:jc w:val="both"/>
      </w:pPr>
      <w:r>
        <w:rPr>
          <w:rFonts w:ascii="Times New Roman" w:hAnsi="Times New Roman"/>
          <w:b w:val="0"/>
          <w:i w:val="0"/>
          <w:color w:val="000000"/>
          <w:sz w:val="22"/>
        </w:rPr>
        <w:t>[23] F. Felten, G. Apaza, G. Bräunlich, C. Diniz, X. Dong, A. Drake, M. Habibi, N. J. Hoffman, M. Keeler, S. Massoudi, F. G. VanGessel, and M. Fuge, "EngiBench: A framework for data-driven engineering design research," in Adv. Neural Inf. Process. Syst., 2025. [Online]. Available: https://openreview.net/forum?id=YowD33Q89V.</w:t>
      </w:r>
    </w:p>
    <w:p>
      <w:pPr>
        <w:keepNext w:val="0"/>
        <w:spacing w:before="0" w:after="60" w:line="240" w:lineRule="auto"/>
        <w:ind w:firstLine="317"/>
        <w:jc w:val="both"/>
      </w:pPr>
      <w:r>
        <w:rPr>
          <w:rFonts w:ascii="Times New Roman" w:hAnsi="Times New Roman"/>
          <w:b w:val="0"/>
          <w:i w:val="0"/>
          <w:color w:val="000000"/>
          <w:sz w:val="22"/>
        </w:rPr>
        <w:t>[24] K. Sehic, A. Gramfort, J. Salmon, and L. Nardi, "LassoBench: A high-dimensional hyperparameter optimization benchmark suite for Lasso," in Proc. 1st Int. Conf. Automated Machine Learning, PMLR, vol. 188, pp. 2/1-2/24, 2022.</w:t>
      </w:r>
    </w:p>
    <w:p>
      <w:pPr>
        <w:keepNext w:val="0"/>
        <w:spacing w:before="0" w:after="60" w:line="240" w:lineRule="auto"/>
        <w:ind w:firstLine="317"/>
        <w:jc w:val="both"/>
      </w:pPr>
      <w:r>
        <w:rPr>
          <w:rFonts w:ascii="Times New Roman" w:hAnsi="Times New Roman"/>
          <w:b w:val="0"/>
          <w:i w:val="0"/>
          <w:color w:val="000000"/>
          <w:sz w:val="22"/>
        </w:rPr>
        <w:t>[25] D. Eriksson, M. Pearce, J. Gardner, R. D. Turner, and M. Poloczek, "Scalable global optimization via local Bayesian optimization," in Adv. Neural Inf. Process. Syst., vol. 32, 2019.</w:t>
      </w:r>
    </w:p>
    <w:p>
      <w:pPr>
        <w:keepNext w:val="0"/>
        <w:spacing w:before="0" w:after="60" w:line="240" w:lineRule="auto"/>
        <w:ind w:firstLine="317"/>
        <w:jc w:val="both"/>
      </w:pPr>
      <w:r>
        <w:rPr>
          <w:rFonts w:ascii="Times New Roman" w:hAnsi="Times New Roman"/>
          <w:b w:val="0"/>
          <w:i w:val="0"/>
          <w:color w:val="000000"/>
          <w:sz w:val="22"/>
        </w:rPr>
        <w:t>[26] N. Hansen, A. Auger, R. Ros, O. Mersmann, T. Tušar, and D. Brockhoff, "COCO: A platform for comparing continuous optimizers in a black-box setting," Optim. Methods Softw., vol. 36, no. 1, pp. 114-144, 2021. doi: 10.1080/10556788.2020.1808977.</w:t>
      </w:r>
    </w:p>
    <w:p>
      <w:pPr>
        <w:keepNext w:val="0"/>
        <w:spacing w:before="0" w:after="60" w:line="240" w:lineRule="auto"/>
        <w:ind w:firstLine="317"/>
        <w:jc w:val="both"/>
      </w:pPr>
      <w:r>
        <w:rPr>
          <w:rFonts w:ascii="Times New Roman" w:hAnsi="Times New Roman"/>
          <w:b w:val="0"/>
          <w:i w:val="0"/>
          <w:color w:val="000000"/>
          <w:sz w:val="22"/>
        </w:rPr>
        <w:t>[27] X. Liu, Y. Bao, and F. Leng, "Neural architecture search via hierarchical evaluation of surrogate models," Comput. Mater. Contin., vol. 84, no. 2, pp. 3503-3517, 2025. doi: 10.32604/cmc.2025.064544.</w:t>
      </w:r>
    </w:p>
    <w:p>
      <w:pPr>
        <w:keepNext w:val="0"/>
        <w:spacing w:before="0" w:after="60" w:line="240" w:lineRule="auto"/>
        <w:ind w:firstLine="317"/>
        <w:jc w:val="both"/>
      </w:pPr>
      <w:r>
        <w:rPr>
          <w:rFonts w:ascii="Times New Roman" w:hAnsi="Times New Roman"/>
          <w:b w:val="0"/>
          <w:i w:val="0"/>
          <w:color w:val="000000"/>
          <w:sz w:val="22"/>
        </w:rPr>
        <w:t>[28] S. Ibrayev, B. Omarov, A. Ibrayeva, and Z. Momynkulov, "DeepSurNet-NSGA II: Deep surrogate model-assisted multi-objective evolutionary algorithm for enhancing leg linkage in walking robots," Comput. Mater. Contin., vol. 81, no. 1, pp. 229-249, 2024. doi: 10.32604/cmc.2024.053075.</w:t>
      </w:r>
    </w:p>
    <w:p>
      <w:pPr>
        <w:keepNext w:val="0"/>
        <w:spacing w:before="0" w:after="60" w:line="240" w:lineRule="auto"/>
        <w:ind w:firstLine="317"/>
        <w:jc w:val="both"/>
      </w:pPr>
      <w:r>
        <w:rPr>
          <w:rFonts w:ascii="Times New Roman" w:hAnsi="Times New Roman"/>
          <w:b w:val="0"/>
          <w:i w:val="0"/>
          <w:color w:val="000000"/>
          <w:sz w:val="22"/>
        </w:rPr>
        <w:t>[29] Z. Wang, L. Duan, L. Kuang, H. Zhou, and J. Duan, "Physics-informed Gaussian process regression with Bayesian optimization for laser welding quality control in coaxial laser diodes," Comput. Mater. Contin., vol. 84, no. 2, pp. 2587-2604, 2025. doi: 10.32604/cmc.2025.065648.</w:t>
      </w:r>
    </w:p>
    <w:p>
      <w:pPr>
        <w:keepNext w:val="0"/>
        <w:spacing w:before="0" w:after="60" w:line="240" w:lineRule="auto"/>
        <w:ind w:firstLine="317"/>
        <w:jc w:val="both"/>
      </w:pPr>
      <w:r>
        <w:rPr>
          <w:rFonts w:ascii="Times New Roman" w:hAnsi="Times New Roman"/>
          <w:b w:val="0"/>
          <w:i w:val="0"/>
          <w:color w:val="000000"/>
          <w:sz w:val="22"/>
        </w:rPr>
        <w:t>[30] H. Hao, X. Q. Zhang, and A. M. Zhou, "Enhancing SAEAs with unevaluated solutions: A case study of relation model for expensive optimization," Sci. China Inf. Sci., vol. 67, no. 2, Art. no. 120103, 2024. doi: 10.1007/s11432-023-3909-x.</w:t>
      </w:r>
    </w:p>
    <w:p>
      <w:pPr>
        <w:keepNext w:val="0"/>
        <w:spacing w:before="0" w:after="60" w:line="240" w:lineRule="auto"/>
        <w:ind w:firstLine="317"/>
        <w:jc w:val="both"/>
      </w:pPr>
      <w:r>
        <w:rPr>
          <w:rFonts w:ascii="Times New Roman" w:hAnsi="Times New Roman"/>
          <w:b w:val="0"/>
          <w:i w:val="0"/>
          <w:color w:val="000000"/>
          <w:sz w:val="22"/>
        </w:rPr>
        <w:t>[31] J.-S. Pan, J. Chen, J. Li, and Z. Meng, "Differential evolution with exponential crossover: A survey," Comput. Sci. Rev., vol. 62, Art. no. 100990, 2026. doi: 10.1016/j.cosrev.2026.100990.</w:t>
      </w:r>
    </w:p>
    <w:p>
      <w:pPr>
        <w:keepNext w:val="0"/>
        <w:spacing w:before="0" w:after="60" w:line="240" w:lineRule="auto"/>
        <w:ind w:firstLine="317"/>
        <w:jc w:val="both"/>
      </w:pPr>
      <w:r>
        <w:rPr>
          <w:rFonts w:ascii="Times New Roman" w:hAnsi="Times New Roman"/>
          <w:b w:val="0"/>
          <w:i w:val="0"/>
          <w:color w:val="000000"/>
          <w:sz w:val="22"/>
        </w:rPr>
        <w:t>[32] J.-S. Pan, Y. Peng, J. Li, J. Zhao, L. Kong, and S.-C. Chu, "Multilayer perceptron grouping and sparse Gaussian process-based surrogate-assisted evolutionary algorithm for expensive multiobjective optimization," IEEE Trans. Cybern., vol. 56, no. 4, pp. 2148-2161, 2026. doi: 10.1109/TCYB.2025.3634364.</w:t>
      </w:r>
    </w:p>
    <w:p>
      <w:pPr>
        <w:keepNext w:val="0"/>
        <w:spacing w:before="0" w:after="60" w:line="240" w:lineRule="auto"/>
        <w:ind w:firstLine="317"/>
        <w:jc w:val="both"/>
      </w:pPr>
      <w:r>
        <w:rPr>
          <w:rFonts w:ascii="Times New Roman" w:hAnsi="Times New Roman"/>
          <w:b w:val="0"/>
          <w:i w:val="0"/>
          <w:color w:val="000000"/>
          <w:sz w:val="22"/>
        </w:rPr>
        <w:t>[33] R.-Y. Wang, J.-S. Pan, S.-C. Chu, V. Snášel, J. Zhao, and H.-M. Yang, "A bimodal surrogate-assisted PSO algorithm with wide coverage and dynamic space refinement for expensive multi-UAV path planning," Expert Syst. Appl., vol. 331, Art. no. 133075, 2026. doi: 10.1016/j.eswa.2026.133075.</w:t>
      </w:r>
    </w:p>
    <w:p>
      <w:pPr>
        <w:keepNext w:val="0"/>
        <w:spacing w:before="0" w:after="60" w:line="240" w:lineRule="auto"/>
        <w:ind w:firstLine="317"/>
        <w:jc w:val="both"/>
      </w:pPr>
      <w:r>
        <w:rPr>
          <w:rFonts w:ascii="Times New Roman" w:hAnsi="Times New Roman"/>
          <w:b w:val="0"/>
          <w:i w:val="0"/>
          <w:color w:val="000000"/>
          <w:sz w:val="22"/>
        </w:rPr>
        <w:t>[34] J. Zatarain Salazar, D. Hadka, P. Reed, H. Seada, and K. Deb, "Diagnostic benchmarking of many-objective evolutionary algorithms for real-world problems," Engineering Optimization, vol. 57, no. 1, pp. 287-308, 2025 (published online 2024). doi: 10.1080/0305215X.2024.2381818.</w:t>
      </w:r>
    </w:p>
    <w:p>
      <w:pPr>
        <w:keepNext w:val="0"/>
        <w:spacing w:before="0" w:after="60" w:line="240" w:lineRule="auto"/>
        <w:ind w:firstLine="317"/>
        <w:jc w:val="both"/>
      </w:pPr>
      <w:r>
        <w:rPr>
          <w:rFonts w:ascii="Times New Roman" w:hAnsi="Times New Roman"/>
          <w:b w:val="0"/>
          <w:i w:val="0"/>
          <w:color w:val="000000"/>
          <w:sz w:val="22"/>
        </w:rPr>
        <w:t>[35] Suprayitno and J.-C. Yu, "Evolutionary reliable regional Kriging surrogate for expensive optimization," Engineering Optimization, vol. 51, no. 2, pp. 247-264, 2019 (published online 2018). doi: 10.1080/0305215X.2018.1446084.</w:t>
      </w:r>
    </w:p>
    <w:p>
      <w:pPr>
        <w:keepNext w:val="0"/>
        <w:spacing w:before="0" w:after="60" w:line="240" w:lineRule="auto"/>
        <w:ind w:firstLine="317"/>
        <w:jc w:val="both"/>
      </w:pPr>
      <w:r>
        <w:rPr>
          <w:rFonts w:ascii="Times New Roman" w:hAnsi="Times New Roman"/>
          <w:b w:val="0"/>
          <w:i w:val="0"/>
          <w:color w:val="000000"/>
          <w:sz w:val="22"/>
        </w:rPr>
        <w:t>[36] E. Kus, O. Akgun, N. Dang, and I. Miguel, "Frugal algorithm selection," in Proc. CP 2024, LIPIcs, vol.307, pp.38:1-38:16, 2024. doi:10.4230/LIPIcs.CP.2024.38.</w:t>
      </w:r>
    </w:p>
    <w:p>
      <w:pPr>
        <w:keepNext w:val="0"/>
        <w:spacing w:before="0" w:after="60" w:line="240" w:lineRule="auto"/>
        <w:ind w:firstLine="317"/>
        <w:jc w:val="both"/>
      </w:pPr>
      <w:r>
        <w:rPr>
          <w:rFonts w:ascii="Times New Roman" w:hAnsi="Times New Roman"/>
          <w:b w:val="0"/>
          <w:i w:val="0"/>
          <w:color w:val="000000"/>
          <w:sz w:val="22"/>
        </w:rPr>
        <w:t>[37] A. Kostovska, A. Jankovic, D. Vermetten, J. de Nobel, H. Wang, T. Eftimov, and C. Doerr, "Per-run algorithm selection with warm-starting using trajectory-based features," in Parallel Problem Solving from Nature - PPSN XVII, LNCS, vol.13398, pp.46-60, 2022. doi:10.1007/978-3-031-14714-2_4.</w:t>
      </w:r>
    </w:p>
    <w:p>
      <w:pPr>
        <w:keepNext w:val="0"/>
        <w:spacing w:before="0" w:after="60" w:line="240" w:lineRule="auto"/>
        <w:ind w:firstLine="317"/>
        <w:jc w:val="both"/>
      </w:pPr>
      <w:r>
        <w:rPr>
          <w:rFonts w:ascii="Times New Roman" w:hAnsi="Times New Roman"/>
          <w:b w:val="0"/>
          <w:i w:val="0"/>
          <w:color w:val="000000"/>
          <w:sz w:val="22"/>
        </w:rPr>
        <w:t>[38] A. J. Booker, J. E. Dennis Jr., P. D. Frank, D. B. Serafini, V. Torczon, and M. W. Trosset, "A rigorous framework for optimization of expensive functions by surrogates," Structural Optimization, vol.17, pp.1-13, 1999. doi:10.1007/BF01197708.</w:t>
      </w:r>
    </w:p>
    <w:sectPr w:rsidR="00FC693F" w:rsidRPr="0006063C" w:rsidSect="00034616">
      <w:footerReference w:type="default" r:id="rId9"/>
      <w:headerReference w:type="default" r:id="rId16"/>
      <w:headerReference w:type="first" r:id="rId17"/>
      <w:headerReference w:type="even" r:id="rId18"/>
      <w:footerReference w:type="first" r:id="rId19"/>
      <w:footerReference w:type="even" r:id="rId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2.xml"/><Relationship Id="rId2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Decision-Consequence Auditing Framework for Reliable Surrogate-Assisted Optimization in Expensive Engineering Design</dc:title>
  <dc:subject>Engineering Optimization submission manuscript</dc:subject>
  <dc:creator>Shu-Chuan Chu; Ya-Yu Zhang; Zhenyu Meng; Jia Zhao; Jeng-Shyang Pan</dc:creator>
  <cp:keywords>expensive engineering optimization; surrogate-assisted optimization; model management; decision-consequence auditing</cp:keywords>
  <dc:description/>
  <cp:lastModifiedBy>Ya-Yu Zhang</cp:lastModifiedBy>
  <cp:revision>1</cp:revision>
  <dcterms:created xsi:type="dcterms:W3CDTF">2013-12-23T23:15:00Z</dcterms:created>
  <dcterms:modified xsi:type="dcterms:W3CDTF">2013-12-23T23:15:00Z</dcterms:modified>
  <cp:category/>
</cp:coreProperties>
</file>