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Benchmark Manuscript</w:t>
      </w:r>
    </w:p>
    <w:p>
      <w:r>
        <w:t xml:space="preserve">This generated DOCX sample exercises heading, prose, and bibliography-like fields.</w:t>
      </w:r>
    </w:p>
    <w:p>
      <w:pPr>
        <w:pStyle w:val="ListParagraph"/>
        <w:numPr>
          <w:ilvl w:val="0"/>
          <w:numId w:val="1"/>
        </w:numPr>
      </w:pPr>
      <w:r>
        <w:t xml:space="preserve">Eligibility criteria were defined prospectively.</w:t>
      </w:r>
    </w:p>
    <w:p>
      <w:pPr>
        <w:pStyle w:val="ListParagraph"/>
        <w:numPr>
          <w:ilvl w:val="0"/>
          <w:numId w:val="1"/>
        </w:numPr>
      </w:pPr>
      <w:r>
        <w:t xml:space="preserve">Outcome abstraction captured effect direction and variance.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Response rate</w:t>
            </w:r>
          </w:p>
        </w:tc>
        <w:tc>
          <w:p>
            <w:r>
              <w:t xml:space="preserve">64%</w:t>
            </w:r>
          </w:p>
        </w:tc>
      </w:tr>
    </w:tbl>
    <w:p>
      <w:r>
        <w:t xml:space="preserve">References: Smith 2020; Jones 2021.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2026-04-16T20:30:05.027Z</dcterms:created>
  <dcterms:modified xsi:type="dcterms:W3CDTF">2026-04-16T20:30:05.028Z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