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ED0B79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r w:rsidR="00ED0B79">
        <w:rPr>
          <w:rFonts w:hint="cs"/>
          <w:b/>
          <w:bCs/>
          <w:sz w:val="26"/>
          <w:szCs w:val="26"/>
          <w:rtl/>
        </w:rPr>
        <w:t>טופולגיה וקומפקטיות</w:t>
      </w:r>
    </w:p>
    <w:p w:rsidR="00ED0B79" w:rsidRPr="009A27A9" w:rsidRDefault="00EF5A14" w:rsidP="00B3780F">
      <w:pPr>
        <w:rPr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0F02AD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איחוד של קבוצות פתוחות</w:t>
      </w:r>
      <w:r w:rsidR="00352C90">
        <w:rPr>
          <w:rFonts w:hint="cs"/>
          <w:rtl/>
        </w:rPr>
        <w:t xml:space="preserve">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(מרחב האוסדורף)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</w:t>
      </w:r>
      <w:r w:rsidR="000F02AD">
        <w:rPr>
          <w:rFonts w:hint="cs"/>
          <w:rtl/>
        </w:rPr>
        <w:t xml:space="preserve">שהוא מרחב האוסדורף אם ורק אם 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r>
        <w:rPr>
          <w:rFonts w:hint="cs"/>
          <w:rtl/>
        </w:rPr>
        <w:t>האוסדורף</w:t>
      </w:r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5A0610" w:rsidP="00404E1B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>ת</w:t>
      </w:r>
      <w:r w:rsidR="00404E1B">
        <w:rPr>
          <w:rFonts w:hint="cs"/>
          <w:i/>
          <w:rtl/>
        </w:rPr>
        <w:t xml:space="preserve">הי </w:t>
      </w:r>
      <m:oMath>
        <m:r>
          <w:rPr>
            <w:rFonts w:ascii="Cambria Math" w:hAnsi="Cambria Math"/>
          </w:rPr>
          <m:t>f:X→Y</m:t>
        </m:r>
      </m:oMath>
      <w:r w:rsidR="00404E1B">
        <w:rPr>
          <w:rFonts w:hint="cs"/>
          <w:i/>
          <w:rtl/>
        </w:rPr>
        <w:t xml:space="preserve"> </w:t>
      </w:r>
      <w:r w:rsidR="00404E1B" w:rsidRPr="00404E1B">
        <w:rPr>
          <w:rFonts w:hint="cs"/>
          <w:b/>
          <w:bCs/>
          <w:i/>
          <w:rtl/>
        </w:rPr>
        <w:t>חד-חד-ערכית ועל</w:t>
      </w:r>
      <w:r w:rsidR="00404E1B"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r>
        <w:rPr>
          <w:rFonts w:hint="cs"/>
          <w:rtl/>
        </w:rPr>
        <w:t>קומפקטיפיקציה</w:t>
      </w:r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r w:rsidRPr="00EF5A14">
        <w:rPr>
          <w:rFonts w:hint="cs"/>
          <w:b/>
          <w:bCs/>
          <w:rtl/>
        </w:rPr>
        <w:t>קומפקטיפיקציה</w:t>
      </w:r>
      <w:r>
        <w:rPr>
          <w:rFonts w:hint="cs"/>
          <w:rtl/>
        </w:rPr>
        <w:t>(</w:t>
      </w:r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 xml:space="preserve">(קומפקטיפציית סטון-צ'ך, </w:t>
      </w:r>
      <w:r w:rsidR="00147417">
        <w:rPr>
          <w:rFonts w:ascii="CMR10" w:hAnsi="CMR10" w:cs="CMR10"/>
          <w:sz w:val="24"/>
          <w:szCs w:val="24"/>
        </w:rPr>
        <w:t>Stone-Cech compactification</w:t>
      </w:r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r>
        <w:rPr>
          <w:rFonts w:eastAsiaTheme="minorEastAsia" w:hint="cs"/>
          <w:i/>
          <w:rtl/>
        </w:rPr>
        <w:t>קומפקטיפציית סטון-צ'ך</w:t>
      </w:r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</w:t>
      </w:r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F91022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F73C23" w:rsidP="00B3780F">
      <w:pPr>
        <w:rPr>
          <w:rtl/>
        </w:rPr>
      </w:pPr>
      <w:r>
        <w:rPr>
          <w:rFonts w:hint="cs"/>
          <w:rtl/>
        </w:rPr>
        <w:t>יקרא אולטרא פילטר  - ראשי.</w:t>
      </w:r>
    </w:p>
    <w:p w:rsidR="00F73C23" w:rsidRDefault="00EF5A14" w:rsidP="00B3780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5F034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5F034B" w:rsidRPr="00AE6C1C" w:rsidRDefault="00F91022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5F034B" w:rsidRDefault="00F91022" w:rsidP="002639AD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rFonts w:hint="cs"/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F91022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F91022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Default="00F91022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r>
        <w:rPr>
          <w:rFonts w:hint="cs"/>
          <w:rtl/>
        </w:rPr>
        <w:t xml:space="preserve">התת-קבוצות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הומומורפיזם.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DC2EEB" w:rsidRPr="00DC2EEB" w:rsidRDefault="00DC2EEB" w:rsidP="00B3780F">
      <w:pPr>
        <w:rPr>
          <w:b/>
          <w:bCs/>
          <w:i/>
          <w:sz w:val="26"/>
          <w:szCs w:val="26"/>
          <w:rtl/>
        </w:rPr>
      </w:pP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>הוכחת משפט הינדמן</w:t>
      </w:r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2112D">
      <w:pPr>
        <w:rPr>
          <w:i/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של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 xml:space="preserve"> 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2E287B" w:rsidP="002639AD">
      <w:pPr>
        <w:rPr>
          <w:rFonts w:eastAsiaTheme="minorEastAsia" w:hint="cs"/>
          <w:rtl/>
        </w:rPr>
      </w:pPr>
      <w:r>
        <w:rPr>
          <w:rFonts w:hint="cs"/>
          <w:b/>
          <w:bCs/>
          <w:rtl/>
        </w:rPr>
        <w:t>טענה</w:t>
      </w:r>
      <w:r w:rsidRPr="002E287B">
        <w:rPr>
          <w:rFonts w:hint="cs"/>
          <w:rtl/>
        </w:rPr>
        <w:t>(אסוציאטיביות)</w:t>
      </w: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2E287B" w:rsidRPr="002639AD" w:rsidRDefault="00F91022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Fonts w:hint="cs"/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C868AF" w:rsidRDefault="00C868AF" w:rsidP="001A1CC3">
      <w:pPr>
        <w:rPr>
          <w:rFonts w:hint="cs"/>
          <w:b/>
          <w:bCs/>
          <w:rtl/>
        </w:rPr>
      </w:pP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Fonts w:hint="cs"/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>ז"א 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Fonts w:hint="cs"/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1A1CC3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F91022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r w:rsidR="00D16A11">
        <w:rPr>
          <w:rFonts w:hint="cs"/>
          <w:rtl/>
        </w:rPr>
        <w:t>הינדמן</w:t>
      </w:r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 w:hint="cs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Fonts w:hint="cs"/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05B"/>
    <w:rsid w:val="000105E8"/>
    <w:rsid w:val="00057604"/>
    <w:rsid w:val="000F02AD"/>
    <w:rsid w:val="00107C8B"/>
    <w:rsid w:val="00147417"/>
    <w:rsid w:val="00184D25"/>
    <w:rsid w:val="00187AEF"/>
    <w:rsid w:val="001A1CC3"/>
    <w:rsid w:val="002639AD"/>
    <w:rsid w:val="00266A87"/>
    <w:rsid w:val="002A6261"/>
    <w:rsid w:val="002E287B"/>
    <w:rsid w:val="002E3F73"/>
    <w:rsid w:val="00352C90"/>
    <w:rsid w:val="003C1E00"/>
    <w:rsid w:val="003C46B0"/>
    <w:rsid w:val="00404E1B"/>
    <w:rsid w:val="00411EA2"/>
    <w:rsid w:val="00497431"/>
    <w:rsid w:val="004F5B97"/>
    <w:rsid w:val="00502874"/>
    <w:rsid w:val="0051297B"/>
    <w:rsid w:val="005358E5"/>
    <w:rsid w:val="005A0610"/>
    <w:rsid w:val="005E503D"/>
    <w:rsid w:val="005F034B"/>
    <w:rsid w:val="00624E97"/>
    <w:rsid w:val="0062785C"/>
    <w:rsid w:val="006A2E34"/>
    <w:rsid w:val="006D3F51"/>
    <w:rsid w:val="00736CAD"/>
    <w:rsid w:val="007852CE"/>
    <w:rsid w:val="007A6599"/>
    <w:rsid w:val="00841569"/>
    <w:rsid w:val="008E67E5"/>
    <w:rsid w:val="00925467"/>
    <w:rsid w:val="009A27A9"/>
    <w:rsid w:val="00A842A9"/>
    <w:rsid w:val="00A96956"/>
    <w:rsid w:val="00AA7B67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E3155A"/>
    <w:rsid w:val="00E648BF"/>
    <w:rsid w:val="00EB4522"/>
    <w:rsid w:val="00EC3D49"/>
    <w:rsid w:val="00ED0B79"/>
    <w:rsid w:val="00EF5A14"/>
    <w:rsid w:val="00F2112D"/>
    <w:rsid w:val="00F73C23"/>
    <w:rsid w:val="00F91022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811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40</cp:revision>
  <cp:lastPrinted>2017-10-15T20:06:00Z</cp:lastPrinted>
  <dcterms:created xsi:type="dcterms:W3CDTF">2017-10-12T19:02:00Z</dcterms:created>
  <dcterms:modified xsi:type="dcterms:W3CDTF">2017-10-16T18:15:00Z</dcterms:modified>
</cp:coreProperties>
</file>