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6B966">
      <w:pPr>
        <w:jc w:val="center"/>
        <w:rPr>
          <w:rFonts w:hint="default" w:ascii="Times New Roman" w:hAnsi="Times New Roman" w:cs="Times New Roman"/>
          <w:b/>
          <w:bCs/>
          <w:sz w:val="36"/>
          <w:szCs w:val="36"/>
          <w:lang w:val="en-US"/>
        </w:rPr>
      </w:pPr>
      <w:r>
        <w:rPr>
          <w:b/>
          <w:sz w:val="20"/>
        </w:rPr>
        <w:drawing>
          <wp:anchor distT="0" distB="0" distL="0" distR="0" simplePos="0" relativeHeight="251659264" behindDoc="1" locked="0" layoutInCell="1" allowOverlap="1">
            <wp:simplePos x="0" y="0"/>
            <wp:positionH relativeFrom="page">
              <wp:posOffset>1708150</wp:posOffset>
            </wp:positionH>
            <wp:positionV relativeFrom="paragraph">
              <wp:posOffset>690245</wp:posOffset>
            </wp:positionV>
            <wp:extent cx="4148455" cy="2235200"/>
            <wp:effectExtent l="0" t="0" r="12065" b="508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4" cstate="print"/>
                    <a:stretch>
                      <a:fillRect/>
                    </a:stretch>
                  </pic:blipFill>
                  <pic:spPr>
                    <a:xfrm>
                      <a:off x="0" y="0"/>
                      <a:ext cx="4148455" cy="2235200"/>
                    </a:xfrm>
                    <a:prstGeom prst="rect">
                      <a:avLst/>
                    </a:prstGeom>
                  </pic:spPr>
                </pic:pic>
              </a:graphicData>
            </a:graphic>
          </wp:anchor>
        </w:drawing>
      </w:r>
      <w:r>
        <w:rPr>
          <w:rFonts w:hint="default" w:ascii="Times New Roman" w:hAnsi="Times New Roman" w:cs="Times New Roman"/>
          <w:b/>
          <w:bCs/>
          <w:sz w:val="36"/>
          <w:szCs w:val="36"/>
          <w:lang w:val="en-US"/>
        </w:rPr>
        <w:t>RESULTS</w:t>
      </w:r>
    </w:p>
    <w:p w14:paraId="63DD7F8F">
      <w:pPr>
        <w:jc w:val="center"/>
        <w:rPr>
          <w:rFonts w:hint="default" w:ascii="Times New Roman" w:hAnsi="Times New Roman" w:cs="Times New Roman"/>
          <w:b/>
          <w:bCs/>
          <w:sz w:val="36"/>
          <w:szCs w:val="36"/>
          <w:lang w:val="en-US"/>
        </w:rPr>
      </w:pPr>
    </w:p>
    <w:p w14:paraId="1A4C9709">
      <w:pPr>
        <w:jc w:val="center"/>
        <w:rPr>
          <w:rFonts w:hint="default" w:ascii="Times New Roman" w:hAnsi="Times New Roman" w:cs="Times New Roman"/>
          <w:b/>
          <w:bCs/>
          <w:sz w:val="36"/>
          <w:szCs w:val="36"/>
          <w:lang w:val="en-US"/>
        </w:rPr>
      </w:pPr>
      <w:bookmarkStart w:id="0" w:name="_GoBack"/>
      <w:bookmarkEnd w:id="0"/>
    </w:p>
    <w:p w14:paraId="0006C7D7">
      <w:pPr>
        <w:spacing w:line="360" w:lineRule="auto"/>
        <w:jc w:val="both"/>
        <w:rPr>
          <w:rFonts w:hint="default" w:ascii="Times New Roman" w:hAnsi="Times New Roman" w:cs="Times New Roman"/>
          <w:b/>
          <w:bCs/>
          <w:sz w:val="28"/>
          <w:szCs w:val="28"/>
          <w:lang w:val="en-US"/>
        </w:rPr>
      </w:pPr>
      <w:r>
        <w:rPr>
          <w:sz w:val="28"/>
          <w:szCs w:val="28"/>
        </w:rPr>
        <w:t xml:space="preserve"> </w:t>
      </w:r>
      <w:r>
        <w:rPr>
          <w:rFonts w:hint="default" w:ascii="Times New Roman" w:hAnsi="Times New Roman" w:cs="Times New Roman"/>
          <w:sz w:val="28"/>
          <w:szCs w:val="28"/>
        </w:rPr>
        <w:t xml:space="preserve"> The Truck Overload Monitoring and Notification System was successfully implemented and tested, demonstrating reliable performance in real-time weight monitoring and overload detection. The load cell and HX711 amplifier provided accurate and stable weight measurements, which were continuously displayed on the LCD. When the load exceeded the preset threshold, the system instantly identified the overload and triggered an alert message on the LCD while simultaneously sending an SMS notification to the authorized mobile number through the GSM module. The RFID module accurately identified the truck or driver using unique tags, ensuring proper authentication and record maintenance. Overall, the project demonstrates that a low-cost microcontroller-based design can deliver accurate overload detection and efficient alert mechanisms suitable for real-world transportation application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15434A"/>
    <w:rsid w:val="01154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2026-05-17T17:03:00Z</dcterms:created>
  <dc:creator>USER</dc:creator>
  <cp:lastModifiedBy>USER</cp:lastModifiedBy>
  <dcterms:modified xsi:type="dcterms:W3CDTF">2026-05-17T17:05:31Z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DFD8B4F68EF244618FD5016C03FBEE5F_11</vt:lpwstr>
  </property>
  <property fmtid="{D5CDD505-2E9C-101B-9397-08002B2CF9AE}" pid="4" name="KSOTemplateDocerSaveRecord">
    <vt:lpwstr>eyJoZGlkIjoiMWE1NDBiNTE4MWEwN2I3ZjQxZmNhMTY5MThhYWZjNjIiLCJ1c2VySWQiOiI1NjcyMDM3ODc4MzcifQ==</vt:lpwstr>
  </property>
</Properties>
</file>