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0F43A" w14:textId="77777777" w:rsidR="00AE0691" w:rsidRPr="00AE0691" w:rsidRDefault="00AE0691" w:rsidP="00AE0691">
      <w:pPr>
        <w:tabs>
          <w:tab w:val="left" w:pos="0"/>
        </w:tabs>
        <w:jc w:val="center"/>
        <w:rPr>
          <w:sz w:val="28"/>
          <w:szCs w:val="24"/>
        </w:rPr>
      </w:pPr>
      <w:r w:rsidRPr="00AE0691">
        <w:rPr>
          <w:sz w:val="28"/>
          <w:szCs w:val="24"/>
        </w:rPr>
        <w:t xml:space="preserve">Московский государственный университет имени </w:t>
      </w:r>
      <w:proofErr w:type="spellStart"/>
      <w:r w:rsidRPr="00AE0691">
        <w:rPr>
          <w:sz w:val="28"/>
          <w:szCs w:val="24"/>
        </w:rPr>
        <w:t>М.В.Ломоносова</w:t>
      </w:r>
      <w:proofErr w:type="spellEnd"/>
    </w:p>
    <w:p w14:paraId="54763ECB" w14:textId="77777777" w:rsidR="00AE0691" w:rsidRPr="00AE0691" w:rsidRDefault="00AE0691" w:rsidP="00AE0691">
      <w:pPr>
        <w:tabs>
          <w:tab w:val="left" w:pos="0"/>
        </w:tabs>
        <w:jc w:val="center"/>
        <w:rPr>
          <w:sz w:val="28"/>
          <w:szCs w:val="24"/>
        </w:rPr>
      </w:pPr>
      <w:r w:rsidRPr="00AE0691">
        <w:rPr>
          <w:sz w:val="28"/>
          <w:szCs w:val="24"/>
        </w:rPr>
        <w:t>Казахстанский филиал</w:t>
      </w:r>
    </w:p>
    <w:p w14:paraId="5753D6F9" w14:textId="77777777" w:rsidR="00AE0691" w:rsidRPr="00AE0691" w:rsidRDefault="00AE0691" w:rsidP="00AE0691">
      <w:pPr>
        <w:tabs>
          <w:tab w:val="left" w:pos="0"/>
        </w:tabs>
        <w:jc w:val="center"/>
        <w:rPr>
          <w:sz w:val="28"/>
          <w:szCs w:val="24"/>
        </w:rPr>
      </w:pPr>
      <w:r w:rsidRPr="00AE0691">
        <w:rPr>
          <w:sz w:val="28"/>
          <w:szCs w:val="24"/>
        </w:rPr>
        <w:t>Направление 38.03.01 «Экономика»</w:t>
      </w:r>
    </w:p>
    <w:p w14:paraId="466AF782" w14:textId="77777777" w:rsidR="00AE0691" w:rsidRPr="00AE0691" w:rsidRDefault="00AE0691" w:rsidP="00AE0691">
      <w:pPr>
        <w:tabs>
          <w:tab w:val="left" w:pos="0"/>
        </w:tabs>
        <w:jc w:val="both"/>
        <w:rPr>
          <w:sz w:val="28"/>
          <w:szCs w:val="24"/>
        </w:rPr>
      </w:pPr>
    </w:p>
    <w:p w14:paraId="10A60308" w14:textId="77777777" w:rsidR="00AE0691" w:rsidRPr="00AE0691" w:rsidRDefault="00AE0691" w:rsidP="00AE0691">
      <w:pPr>
        <w:tabs>
          <w:tab w:val="left" w:pos="0"/>
        </w:tabs>
        <w:jc w:val="both"/>
        <w:rPr>
          <w:sz w:val="28"/>
          <w:szCs w:val="24"/>
        </w:rPr>
      </w:pPr>
    </w:p>
    <w:p w14:paraId="4BCF045A" w14:textId="77777777" w:rsidR="00AE0691" w:rsidRPr="00AE0691" w:rsidRDefault="00AE0691" w:rsidP="00AE0691">
      <w:pPr>
        <w:tabs>
          <w:tab w:val="left" w:pos="0"/>
        </w:tabs>
        <w:jc w:val="both"/>
        <w:rPr>
          <w:sz w:val="28"/>
          <w:szCs w:val="24"/>
        </w:rPr>
      </w:pPr>
    </w:p>
    <w:p w14:paraId="5FE6BE3F" w14:textId="77777777" w:rsidR="00AE0691" w:rsidRPr="00AE0691" w:rsidRDefault="00AE0691" w:rsidP="00AE0691">
      <w:pPr>
        <w:tabs>
          <w:tab w:val="left" w:pos="0"/>
        </w:tabs>
        <w:jc w:val="both"/>
        <w:rPr>
          <w:sz w:val="28"/>
          <w:szCs w:val="24"/>
        </w:rPr>
      </w:pPr>
    </w:p>
    <w:p w14:paraId="321D50A7" w14:textId="77777777" w:rsidR="00AE0691" w:rsidRPr="00AE0691" w:rsidRDefault="00AE0691" w:rsidP="00AE0691">
      <w:pPr>
        <w:tabs>
          <w:tab w:val="left" w:pos="0"/>
        </w:tabs>
        <w:jc w:val="both"/>
        <w:rPr>
          <w:sz w:val="28"/>
          <w:szCs w:val="24"/>
        </w:rPr>
      </w:pPr>
    </w:p>
    <w:p w14:paraId="29ABE160" w14:textId="77777777" w:rsidR="00AE0691" w:rsidRPr="00AE0691" w:rsidRDefault="00AE0691" w:rsidP="00AE0691">
      <w:pPr>
        <w:tabs>
          <w:tab w:val="left" w:pos="0"/>
        </w:tabs>
        <w:jc w:val="center"/>
        <w:rPr>
          <w:b/>
          <w:sz w:val="32"/>
          <w:szCs w:val="32"/>
        </w:rPr>
      </w:pPr>
    </w:p>
    <w:p w14:paraId="41F1D706" w14:textId="77777777" w:rsidR="00AE0691" w:rsidRPr="00AE0691" w:rsidRDefault="00AE0691" w:rsidP="00AE0691">
      <w:pPr>
        <w:tabs>
          <w:tab w:val="left" w:pos="0"/>
          <w:tab w:val="left" w:pos="5592"/>
        </w:tabs>
        <w:rPr>
          <w:b/>
          <w:sz w:val="32"/>
          <w:szCs w:val="32"/>
        </w:rPr>
      </w:pPr>
      <w:r w:rsidRPr="00AE0691">
        <w:rPr>
          <w:b/>
          <w:sz w:val="32"/>
          <w:szCs w:val="32"/>
        </w:rPr>
        <w:tab/>
      </w:r>
    </w:p>
    <w:p w14:paraId="335D352E" w14:textId="6B234118" w:rsidR="00AE0691" w:rsidRPr="00AE0691" w:rsidRDefault="00AE0691" w:rsidP="00AE0691">
      <w:pPr>
        <w:tabs>
          <w:tab w:val="left" w:pos="0"/>
        </w:tabs>
        <w:jc w:val="center"/>
        <w:rPr>
          <w:rFonts w:eastAsia="Times New Roman"/>
          <w:b/>
          <w:bCs/>
          <w:color w:val="000000"/>
          <w:sz w:val="28"/>
          <w:szCs w:val="24"/>
          <w:lang w:eastAsia="ru-RU"/>
        </w:rPr>
      </w:pPr>
      <w:r w:rsidRPr="00AE0691">
        <w:rPr>
          <w:b/>
          <w:bCs/>
          <w:sz w:val="28"/>
          <w:szCs w:val="24"/>
        </w:rPr>
        <w:t>Анализ деятельность банка АО «</w:t>
      </w:r>
      <w:r>
        <w:rPr>
          <w:b/>
          <w:bCs/>
          <w:sz w:val="28"/>
          <w:szCs w:val="24"/>
        </w:rPr>
        <w:t>Ситибанк Казахстан</w:t>
      </w:r>
      <w:r w:rsidRPr="00AE0691">
        <w:rPr>
          <w:b/>
          <w:bCs/>
          <w:sz w:val="28"/>
          <w:szCs w:val="24"/>
        </w:rPr>
        <w:t>» и рекомендации по повышению операционной эффективности</w:t>
      </w:r>
    </w:p>
    <w:p w14:paraId="19CE0672" w14:textId="472146FE" w:rsidR="00AE0691" w:rsidRPr="00AE0691" w:rsidRDefault="00AE0691" w:rsidP="00AE0691">
      <w:pPr>
        <w:tabs>
          <w:tab w:val="left" w:pos="0"/>
        </w:tabs>
        <w:jc w:val="center"/>
        <w:rPr>
          <w:sz w:val="28"/>
          <w:szCs w:val="24"/>
        </w:rPr>
      </w:pPr>
      <w:r>
        <w:rPr>
          <w:sz w:val="28"/>
          <w:szCs w:val="24"/>
        </w:rPr>
        <w:t>Эссе</w:t>
      </w:r>
    </w:p>
    <w:p w14:paraId="0FDA0A00" w14:textId="77777777" w:rsidR="00AE0691" w:rsidRPr="00AE0691" w:rsidRDefault="00AE0691" w:rsidP="00AE0691">
      <w:pPr>
        <w:tabs>
          <w:tab w:val="left" w:pos="0"/>
        </w:tabs>
        <w:jc w:val="both"/>
        <w:rPr>
          <w:sz w:val="28"/>
          <w:szCs w:val="24"/>
        </w:rPr>
      </w:pPr>
    </w:p>
    <w:p w14:paraId="3ABE5986" w14:textId="77777777" w:rsidR="00AE0691" w:rsidRPr="00AE0691" w:rsidRDefault="00AE0691" w:rsidP="00AE0691">
      <w:pPr>
        <w:tabs>
          <w:tab w:val="left" w:pos="0"/>
        </w:tabs>
        <w:jc w:val="right"/>
        <w:rPr>
          <w:sz w:val="28"/>
          <w:szCs w:val="24"/>
        </w:rPr>
      </w:pPr>
    </w:p>
    <w:p w14:paraId="337D3402" w14:textId="77777777" w:rsidR="00AE0691" w:rsidRPr="00AE0691" w:rsidRDefault="00AE0691" w:rsidP="00AE0691">
      <w:pPr>
        <w:tabs>
          <w:tab w:val="left" w:pos="0"/>
        </w:tabs>
        <w:jc w:val="right"/>
        <w:rPr>
          <w:sz w:val="28"/>
          <w:szCs w:val="24"/>
        </w:rPr>
      </w:pPr>
    </w:p>
    <w:p w14:paraId="654111C2" w14:textId="77777777" w:rsidR="00AE0691" w:rsidRPr="00AE0691" w:rsidRDefault="00AE0691" w:rsidP="00AE0691">
      <w:pPr>
        <w:tabs>
          <w:tab w:val="left" w:pos="0"/>
        </w:tabs>
        <w:jc w:val="right"/>
        <w:rPr>
          <w:b/>
          <w:sz w:val="28"/>
          <w:szCs w:val="24"/>
        </w:rPr>
      </w:pPr>
      <w:r w:rsidRPr="00AE0691">
        <w:rPr>
          <w:b/>
          <w:sz w:val="28"/>
          <w:szCs w:val="24"/>
        </w:rPr>
        <w:t>Студент 4-го курса:</w:t>
      </w:r>
    </w:p>
    <w:p w14:paraId="0C5321F0" w14:textId="77777777" w:rsidR="00AE0691" w:rsidRPr="00AE0691" w:rsidRDefault="00AE0691" w:rsidP="00AE0691">
      <w:pPr>
        <w:tabs>
          <w:tab w:val="left" w:pos="0"/>
        </w:tabs>
        <w:jc w:val="right"/>
        <w:rPr>
          <w:sz w:val="28"/>
          <w:szCs w:val="24"/>
        </w:rPr>
      </w:pPr>
      <w:r w:rsidRPr="00AE0691">
        <w:rPr>
          <w:rFonts w:eastAsia="Times New Roman"/>
          <w:color w:val="000000"/>
          <w:sz w:val="28"/>
          <w:szCs w:val="24"/>
          <w:lang w:eastAsia="ru-RU"/>
        </w:rPr>
        <w:t>Салимов Райымбек Жумабекулы</w:t>
      </w:r>
    </w:p>
    <w:p w14:paraId="18DFEF3C" w14:textId="77777777" w:rsidR="00AE0691" w:rsidRPr="00AE0691" w:rsidRDefault="00AE0691" w:rsidP="00AE0691">
      <w:pPr>
        <w:tabs>
          <w:tab w:val="left" w:pos="0"/>
        </w:tabs>
        <w:jc w:val="right"/>
        <w:rPr>
          <w:sz w:val="28"/>
          <w:szCs w:val="24"/>
        </w:rPr>
      </w:pPr>
    </w:p>
    <w:p w14:paraId="61E9A2EB" w14:textId="77777777" w:rsidR="00AE0691" w:rsidRPr="00AE0691" w:rsidRDefault="00AE0691" w:rsidP="00AE0691">
      <w:pPr>
        <w:tabs>
          <w:tab w:val="left" w:pos="0"/>
        </w:tabs>
        <w:jc w:val="right"/>
        <w:rPr>
          <w:sz w:val="28"/>
          <w:szCs w:val="24"/>
        </w:rPr>
      </w:pPr>
    </w:p>
    <w:p w14:paraId="5B1BEE35" w14:textId="77777777" w:rsidR="00AE0691" w:rsidRPr="00AE0691" w:rsidRDefault="00AE0691" w:rsidP="00AE0691">
      <w:pPr>
        <w:tabs>
          <w:tab w:val="left" w:pos="0"/>
        </w:tabs>
        <w:jc w:val="right"/>
        <w:rPr>
          <w:sz w:val="28"/>
          <w:szCs w:val="24"/>
        </w:rPr>
      </w:pPr>
    </w:p>
    <w:p w14:paraId="598E431D" w14:textId="77777777" w:rsidR="00AE0691" w:rsidRPr="00AE0691" w:rsidRDefault="00AE0691" w:rsidP="00AE0691">
      <w:pPr>
        <w:tabs>
          <w:tab w:val="left" w:pos="0"/>
        </w:tabs>
        <w:jc w:val="right"/>
        <w:rPr>
          <w:sz w:val="28"/>
          <w:szCs w:val="24"/>
        </w:rPr>
      </w:pPr>
    </w:p>
    <w:p w14:paraId="41B1A3E6" w14:textId="77777777" w:rsidR="00AE0691" w:rsidRPr="00AE0691" w:rsidRDefault="00AE0691" w:rsidP="00AE0691">
      <w:pPr>
        <w:tabs>
          <w:tab w:val="left" w:pos="0"/>
        </w:tabs>
        <w:jc w:val="right"/>
        <w:rPr>
          <w:sz w:val="28"/>
          <w:szCs w:val="24"/>
        </w:rPr>
      </w:pPr>
    </w:p>
    <w:p w14:paraId="56E98BC4" w14:textId="77777777" w:rsidR="00AE0691" w:rsidRPr="00AE0691" w:rsidRDefault="00AE0691" w:rsidP="00AE0691">
      <w:pPr>
        <w:tabs>
          <w:tab w:val="left" w:pos="0"/>
        </w:tabs>
        <w:jc w:val="right"/>
        <w:rPr>
          <w:sz w:val="28"/>
          <w:szCs w:val="24"/>
        </w:rPr>
      </w:pPr>
    </w:p>
    <w:p w14:paraId="58A3B68B" w14:textId="77777777" w:rsidR="00AE0691" w:rsidRPr="00AE0691" w:rsidRDefault="00AE0691" w:rsidP="00AE0691">
      <w:pPr>
        <w:tabs>
          <w:tab w:val="left" w:pos="0"/>
          <w:tab w:val="left" w:pos="4032"/>
        </w:tabs>
        <w:rPr>
          <w:sz w:val="28"/>
          <w:szCs w:val="24"/>
        </w:rPr>
      </w:pPr>
      <w:r w:rsidRPr="00AE0691">
        <w:rPr>
          <w:sz w:val="28"/>
          <w:szCs w:val="24"/>
        </w:rPr>
        <w:tab/>
      </w:r>
    </w:p>
    <w:p w14:paraId="1B9ED242" w14:textId="77777777" w:rsidR="00AE0691" w:rsidRPr="00AE0691" w:rsidRDefault="00AE0691" w:rsidP="00AE0691">
      <w:pPr>
        <w:tabs>
          <w:tab w:val="left" w:pos="0"/>
        </w:tabs>
        <w:jc w:val="right"/>
        <w:rPr>
          <w:sz w:val="28"/>
          <w:szCs w:val="24"/>
        </w:rPr>
      </w:pPr>
    </w:p>
    <w:p w14:paraId="36F4E6B3" w14:textId="77777777" w:rsidR="00AE0691" w:rsidRPr="00AE0691" w:rsidRDefault="00AE0691" w:rsidP="00AE0691">
      <w:pPr>
        <w:tabs>
          <w:tab w:val="left" w:pos="0"/>
        </w:tabs>
        <w:jc w:val="right"/>
        <w:rPr>
          <w:sz w:val="28"/>
          <w:szCs w:val="24"/>
        </w:rPr>
      </w:pPr>
    </w:p>
    <w:p w14:paraId="6C4327C2" w14:textId="77777777" w:rsidR="00AE0691" w:rsidRPr="00AE0691" w:rsidRDefault="00AE0691" w:rsidP="00AE0691">
      <w:pPr>
        <w:tabs>
          <w:tab w:val="left" w:pos="0"/>
        </w:tabs>
        <w:jc w:val="right"/>
        <w:rPr>
          <w:sz w:val="28"/>
          <w:szCs w:val="24"/>
        </w:rPr>
      </w:pPr>
    </w:p>
    <w:p w14:paraId="6759294C" w14:textId="77777777" w:rsidR="00AE0691" w:rsidRPr="00AE0691" w:rsidRDefault="00AE0691" w:rsidP="00AE0691">
      <w:pPr>
        <w:jc w:val="center"/>
        <w:rPr>
          <w:b/>
          <w:sz w:val="28"/>
          <w:szCs w:val="24"/>
        </w:rPr>
      </w:pPr>
      <w:r w:rsidRPr="00AE0691">
        <w:rPr>
          <w:b/>
          <w:sz w:val="28"/>
          <w:szCs w:val="24"/>
        </w:rPr>
        <w:t>Нур-Султан</w:t>
      </w:r>
    </w:p>
    <w:p w14:paraId="62923122" w14:textId="77777777" w:rsidR="00AE0691" w:rsidRPr="00AE0691" w:rsidRDefault="00AE0691" w:rsidP="00AE0691">
      <w:pPr>
        <w:jc w:val="center"/>
        <w:rPr>
          <w:b/>
          <w:sz w:val="28"/>
          <w:szCs w:val="24"/>
        </w:rPr>
      </w:pPr>
      <w:r w:rsidRPr="00AE0691">
        <w:rPr>
          <w:b/>
          <w:sz w:val="28"/>
          <w:szCs w:val="24"/>
        </w:rPr>
        <w:t>2021</w:t>
      </w:r>
    </w:p>
    <w:p w14:paraId="54F7DA56" w14:textId="5F61E03B" w:rsidR="005F3F0F" w:rsidRPr="005220A8" w:rsidRDefault="005220A8" w:rsidP="00AE0691">
      <w:pPr>
        <w:contextualSpacing/>
        <w:jc w:val="center"/>
        <w:rPr>
          <w:rFonts w:cs="Times New Roman"/>
          <w:b/>
          <w:bCs/>
          <w:sz w:val="28"/>
          <w:szCs w:val="28"/>
        </w:rPr>
      </w:pPr>
      <w:r w:rsidRPr="005220A8">
        <w:rPr>
          <w:rFonts w:cs="Times New Roman"/>
          <w:b/>
          <w:bCs/>
          <w:sz w:val="28"/>
          <w:szCs w:val="28"/>
        </w:rPr>
        <w:lastRenderedPageBreak/>
        <w:t>ОГЛАВЛЕНИЕ</w:t>
      </w:r>
    </w:p>
    <w:p w14:paraId="38710AD9" w14:textId="63B9EA91" w:rsidR="005F3F0F" w:rsidRPr="00711B64" w:rsidRDefault="005F3F0F" w:rsidP="005F3F0F">
      <w:pPr>
        <w:contextualSpacing/>
        <w:jc w:val="center"/>
        <w:rPr>
          <w:rFonts w:cs="Times New Roman"/>
          <w:sz w:val="28"/>
          <w:szCs w:val="28"/>
        </w:rPr>
      </w:pPr>
    </w:p>
    <w:p w14:paraId="49EABFA5" w14:textId="77777777" w:rsidR="00CD643D" w:rsidRPr="00CD643D" w:rsidRDefault="00CD643D" w:rsidP="00CD643D">
      <w:pPr>
        <w:contextualSpacing/>
        <w:jc w:val="both"/>
        <w:rPr>
          <w:rFonts w:cs="Times New Roman"/>
          <w:sz w:val="28"/>
          <w:szCs w:val="28"/>
        </w:rPr>
      </w:pPr>
      <w:r w:rsidRPr="00CD643D">
        <w:rPr>
          <w:rFonts w:cs="Times New Roman"/>
          <w:sz w:val="28"/>
          <w:szCs w:val="28"/>
        </w:rPr>
        <w:t>Краткое изложение………………………………………………………</w:t>
      </w:r>
      <w:proofErr w:type="gramStart"/>
      <w:r w:rsidRPr="00CD643D">
        <w:rPr>
          <w:rFonts w:cs="Times New Roman"/>
          <w:sz w:val="28"/>
          <w:szCs w:val="28"/>
        </w:rPr>
        <w:t>…….</w:t>
      </w:r>
      <w:proofErr w:type="gramEnd"/>
      <w:r w:rsidRPr="00CD643D">
        <w:rPr>
          <w:rFonts w:cs="Times New Roman"/>
          <w:sz w:val="28"/>
          <w:szCs w:val="28"/>
        </w:rPr>
        <w:t>…….3</w:t>
      </w:r>
    </w:p>
    <w:p w14:paraId="4DC6E77F" w14:textId="77777777" w:rsidR="00CD643D" w:rsidRPr="00CD643D" w:rsidRDefault="00CD643D" w:rsidP="00CD643D">
      <w:pPr>
        <w:contextualSpacing/>
        <w:jc w:val="both"/>
        <w:rPr>
          <w:rFonts w:cs="Times New Roman"/>
          <w:sz w:val="28"/>
          <w:szCs w:val="28"/>
        </w:rPr>
      </w:pPr>
      <w:r w:rsidRPr="00CD643D">
        <w:rPr>
          <w:rFonts w:cs="Times New Roman"/>
          <w:sz w:val="28"/>
          <w:szCs w:val="28"/>
        </w:rPr>
        <w:t>Введение………………………………………………………………………...……4</w:t>
      </w:r>
    </w:p>
    <w:p w14:paraId="62ABC2B5" w14:textId="77777777" w:rsidR="00CD643D" w:rsidRPr="00CD643D" w:rsidRDefault="00CD643D" w:rsidP="00CD643D">
      <w:pPr>
        <w:contextualSpacing/>
        <w:jc w:val="both"/>
        <w:rPr>
          <w:rFonts w:cs="Times New Roman"/>
          <w:sz w:val="28"/>
          <w:szCs w:val="28"/>
        </w:rPr>
      </w:pPr>
      <w:r w:rsidRPr="00CD643D">
        <w:rPr>
          <w:rFonts w:cs="Times New Roman"/>
          <w:sz w:val="28"/>
          <w:szCs w:val="28"/>
        </w:rPr>
        <w:t>Основная часть…………………………………………………………………</w:t>
      </w:r>
      <w:proofErr w:type="gramStart"/>
      <w:r w:rsidRPr="00CD643D">
        <w:rPr>
          <w:rFonts w:cs="Times New Roman"/>
          <w:sz w:val="28"/>
          <w:szCs w:val="28"/>
        </w:rPr>
        <w:t>…….</w:t>
      </w:r>
      <w:proofErr w:type="gramEnd"/>
      <w:r w:rsidRPr="00CD643D">
        <w:rPr>
          <w:rFonts w:cs="Times New Roman"/>
          <w:sz w:val="28"/>
          <w:szCs w:val="28"/>
        </w:rPr>
        <w:t>5</w:t>
      </w:r>
    </w:p>
    <w:p w14:paraId="72599635" w14:textId="23D24BE5" w:rsidR="00CD643D" w:rsidRPr="00CD643D" w:rsidRDefault="00CD643D" w:rsidP="00CD643D">
      <w:pPr>
        <w:contextualSpacing/>
        <w:jc w:val="both"/>
        <w:rPr>
          <w:rFonts w:cs="Times New Roman"/>
          <w:sz w:val="28"/>
          <w:szCs w:val="28"/>
        </w:rPr>
      </w:pPr>
      <w:r w:rsidRPr="00CD643D">
        <w:rPr>
          <w:rFonts w:cs="Times New Roman"/>
          <w:sz w:val="28"/>
          <w:szCs w:val="28"/>
        </w:rPr>
        <w:t>Заключение……………………………………………………………………</w:t>
      </w:r>
      <w:proofErr w:type="gramStart"/>
      <w:r w:rsidRPr="00CD643D">
        <w:rPr>
          <w:rFonts w:cs="Times New Roman"/>
          <w:sz w:val="28"/>
          <w:szCs w:val="28"/>
        </w:rPr>
        <w:t>...….</w:t>
      </w:r>
      <w:proofErr w:type="gramEnd"/>
      <w:r w:rsidRPr="00CD643D">
        <w:rPr>
          <w:rFonts w:cs="Times New Roman"/>
          <w:sz w:val="28"/>
          <w:szCs w:val="28"/>
        </w:rPr>
        <w:t>.1</w:t>
      </w:r>
      <w:r w:rsidR="005769C7">
        <w:rPr>
          <w:rFonts w:cs="Times New Roman"/>
          <w:sz w:val="28"/>
          <w:szCs w:val="28"/>
        </w:rPr>
        <w:t>2</w:t>
      </w:r>
    </w:p>
    <w:p w14:paraId="4FCFA071" w14:textId="4A858BC2" w:rsidR="005769C7" w:rsidRDefault="008B565D" w:rsidP="00CD643D">
      <w:pPr>
        <w:contextualSpacing/>
        <w:jc w:val="both"/>
        <w:rPr>
          <w:rFonts w:cs="Times New Roman"/>
          <w:sz w:val="28"/>
          <w:szCs w:val="28"/>
        </w:rPr>
      </w:pPr>
      <w:r>
        <w:rPr>
          <w:rFonts w:cs="Times New Roman"/>
          <w:sz w:val="28"/>
          <w:szCs w:val="28"/>
        </w:rPr>
        <w:t>Список литературы...</w:t>
      </w:r>
      <w:r w:rsidR="00CD643D" w:rsidRPr="00CD643D">
        <w:rPr>
          <w:rFonts w:cs="Times New Roman"/>
          <w:sz w:val="28"/>
          <w:szCs w:val="28"/>
        </w:rPr>
        <w:t>…………………………………………………………</w:t>
      </w:r>
      <w:proofErr w:type="gramStart"/>
      <w:r w:rsidR="00CD643D" w:rsidRPr="00CD643D">
        <w:rPr>
          <w:rFonts w:cs="Times New Roman"/>
          <w:sz w:val="28"/>
          <w:szCs w:val="28"/>
        </w:rPr>
        <w:t>…….</w:t>
      </w:r>
      <w:proofErr w:type="gramEnd"/>
      <w:r w:rsidR="00CD643D" w:rsidRPr="00CD643D">
        <w:rPr>
          <w:rFonts w:cs="Times New Roman"/>
          <w:sz w:val="28"/>
          <w:szCs w:val="28"/>
        </w:rPr>
        <w:t>1</w:t>
      </w:r>
      <w:r w:rsidR="005769C7">
        <w:rPr>
          <w:rFonts w:cs="Times New Roman"/>
          <w:sz w:val="28"/>
          <w:szCs w:val="28"/>
        </w:rPr>
        <w:t>3</w:t>
      </w:r>
    </w:p>
    <w:p w14:paraId="643948CC" w14:textId="1FBB3A49" w:rsidR="008B565D" w:rsidRDefault="005769C7" w:rsidP="00CD643D">
      <w:pPr>
        <w:contextualSpacing/>
        <w:jc w:val="both"/>
        <w:rPr>
          <w:rFonts w:cs="Times New Roman"/>
          <w:sz w:val="28"/>
          <w:szCs w:val="28"/>
        </w:rPr>
      </w:pPr>
      <w:r>
        <w:rPr>
          <w:rFonts w:cs="Times New Roman"/>
          <w:sz w:val="28"/>
          <w:szCs w:val="28"/>
        </w:rPr>
        <w:t>Приложени</w:t>
      </w:r>
      <w:r w:rsidR="008B565D">
        <w:rPr>
          <w:rFonts w:cs="Times New Roman"/>
          <w:sz w:val="28"/>
          <w:szCs w:val="28"/>
        </w:rPr>
        <w:t>я…</w:t>
      </w:r>
      <w:r>
        <w:rPr>
          <w:rFonts w:cs="Times New Roman"/>
          <w:sz w:val="28"/>
          <w:szCs w:val="28"/>
        </w:rPr>
        <w:t>………………………………………………………………………15</w:t>
      </w:r>
    </w:p>
    <w:p w14:paraId="6CB7D457" w14:textId="77777777" w:rsidR="008B565D" w:rsidRDefault="008B565D" w:rsidP="00CD643D">
      <w:pPr>
        <w:contextualSpacing/>
        <w:jc w:val="both"/>
        <w:rPr>
          <w:rFonts w:cs="Times New Roman"/>
          <w:sz w:val="28"/>
          <w:szCs w:val="28"/>
        </w:rPr>
      </w:pPr>
    </w:p>
    <w:p w14:paraId="09B9B556" w14:textId="0D163AE3" w:rsidR="005220A8" w:rsidRDefault="008B565D" w:rsidP="00CD643D">
      <w:pPr>
        <w:contextualSpacing/>
        <w:jc w:val="both"/>
        <w:rPr>
          <w:rFonts w:cs="Times New Roman"/>
          <w:sz w:val="28"/>
          <w:szCs w:val="28"/>
        </w:rPr>
      </w:pPr>
      <w:r>
        <w:rPr>
          <w:rFonts w:cs="Times New Roman"/>
          <w:sz w:val="28"/>
          <w:szCs w:val="28"/>
        </w:rPr>
        <w:t>Приложение 1……………………………………………</w:t>
      </w:r>
      <w:proofErr w:type="gramStart"/>
      <w:r>
        <w:rPr>
          <w:rFonts w:cs="Times New Roman"/>
          <w:sz w:val="28"/>
          <w:szCs w:val="28"/>
        </w:rPr>
        <w:t>……</w:t>
      </w:r>
      <w:r>
        <w:rPr>
          <w:rFonts w:cs="Times New Roman"/>
          <w:sz w:val="28"/>
          <w:szCs w:val="28"/>
        </w:rPr>
        <w:t>.</w:t>
      </w:r>
      <w:proofErr w:type="gramEnd"/>
      <w:r>
        <w:rPr>
          <w:rFonts w:cs="Times New Roman"/>
          <w:sz w:val="28"/>
          <w:szCs w:val="28"/>
        </w:rPr>
        <w:t>……………………15</w:t>
      </w:r>
    </w:p>
    <w:p w14:paraId="764BD9E1" w14:textId="77777777" w:rsidR="005220A8" w:rsidRDefault="005220A8" w:rsidP="005F3F0F">
      <w:pPr>
        <w:contextualSpacing/>
        <w:jc w:val="both"/>
        <w:rPr>
          <w:rFonts w:cs="Times New Roman"/>
          <w:sz w:val="28"/>
          <w:szCs w:val="28"/>
        </w:rPr>
      </w:pPr>
    </w:p>
    <w:p w14:paraId="465E3373" w14:textId="77777777" w:rsidR="005220A8" w:rsidRDefault="005220A8" w:rsidP="005F3F0F">
      <w:pPr>
        <w:contextualSpacing/>
        <w:jc w:val="both"/>
        <w:rPr>
          <w:rFonts w:cs="Times New Roman"/>
          <w:sz w:val="28"/>
          <w:szCs w:val="28"/>
        </w:rPr>
      </w:pPr>
    </w:p>
    <w:p w14:paraId="432F3DB1" w14:textId="77777777" w:rsidR="005220A8" w:rsidRDefault="005220A8" w:rsidP="005F3F0F">
      <w:pPr>
        <w:contextualSpacing/>
        <w:jc w:val="both"/>
        <w:rPr>
          <w:rFonts w:cs="Times New Roman"/>
          <w:sz w:val="28"/>
          <w:szCs w:val="28"/>
        </w:rPr>
      </w:pPr>
    </w:p>
    <w:p w14:paraId="76609D7C" w14:textId="77777777" w:rsidR="005220A8" w:rsidRDefault="005220A8" w:rsidP="005F3F0F">
      <w:pPr>
        <w:contextualSpacing/>
        <w:jc w:val="both"/>
        <w:rPr>
          <w:rFonts w:cs="Times New Roman"/>
          <w:sz w:val="28"/>
          <w:szCs w:val="28"/>
        </w:rPr>
      </w:pPr>
    </w:p>
    <w:p w14:paraId="0D9758D4" w14:textId="77777777" w:rsidR="005220A8" w:rsidRDefault="005220A8" w:rsidP="005F3F0F">
      <w:pPr>
        <w:contextualSpacing/>
        <w:jc w:val="both"/>
        <w:rPr>
          <w:rFonts w:cs="Times New Roman"/>
          <w:sz w:val="28"/>
          <w:szCs w:val="28"/>
        </w:rPr>
      </w:pPr>
    </w:p>
    <w:p w14:paraId="25D1CD34" w14:textId="77777777" w:rsidR="005220A8" w:rsidRDefault="005220A8" w:rsidP="005F3F0F">
      <w:pPr>
        <w:contextualSpacing/>
        <w:jc w:val="both"/>
        <w:rPr>
          <w:rFonts w:cs="Times New Roman"/>
          <w:sz w:val="28"/>
          <w:szCs w:val="28"/>
        </w:rPr>
      </w:pPr>
    </w:p>
    <w:p w14:paraId="0844D7F2" w14:textId="77777777" w:rsidR="005220A8" w:rsidRDefault="005220A8" w:rsidP="005F3F0F">
      <w:pPr>
        <w:contextualSpacing/>
        <w:jc w:val="both"/>
        <w:rPr>
          <w:rFonts w:cs="Times New Roman"/>
          <w:sz w:val="28"/>
          <w:szCs w:val="28"/>
        </w:rPr>
      </w:pPr>
    </w:p>
    <w:p w14:paraId="781871DD" w14:textId="77777777" w:rsidR="005220A8" w:rsidRDefault="005220A8" w:rsidP="005F3F0F">
      <w:pPr>
        <w:contextualSpacing/>
        <w:jc w:val="both"/>
        <w:rPr>
          <w:rFonts w:cs="Times New Roman"/>
          <w:sz w:val="28"/>
          <w:szCs w:val="28"/>
        </w:rPr>
      </w:pPr>
    </w:p>
    <w:p w14:paraId="75EA0F12" w14:textId="77777777" w:rsidR="005220A8" w:rsidRDefault="005220A8" w:rsidP="005F3F0F">
      <w:pPr>
        <w:contextualSpacing/>
        <w:jc w:val="both"/>
        <w:rPr>
          <w:rFonts w:cs="Times New Roman"/>
          <w:sz w:val="28"/>
          <w:szCs w:val="28"/>
        </w:rPr>
      </w:pPr>
    </w:p>
    <w:p w14:paraId="5821902F" w14:textId="77777777" w:rsidR="005220A8" w:rsidRDefault="005220A8" w:rsidP="005F3F0F">
      <w:pPr>
        <w:contextualSpacing/>
        <w:jc w:val="both"/>
        <w:rPr>
          <w:rFonts w:cs="Times New Roman"/>
          <w:sz w:val="28"/>
          <w:szCs w:val="28"/>
        </w:rPr>
      </w:pPr>
    </w:p>
    <w:p w14:paraId="51614A5B" w14:textId="77777777" w:rsidR="005220A8" w:rsidRDefault="005220A8" w:rsidP="005F3F0F">
      <w:pPr>
        <w:contextualSpacing/>
        <w:jc w:val="both"/>
        <w:rPr>
          <w:rFonts w:cs="Times New Roman"/>
          <w:sz w:val="28"/>
          <w:szCs w:val="28"/>
        </w:rPr>
      </w:pPr>
    </w:p>
    <w:p w14:paraId="53E4B093" w14:textId="77777777" w:rsidR="005220A8" w:rsidRDefault="005220A8" w:rsidP="005F3F0F">
      <w:pPr>
        <w:contextualSpacing/>
        <w:jc w:val="both"/>
        <w:rPr>
          <w:rFonts w:cs="Times New Roman"/>
          <w:sz w:val="28"/>
          <w:szCs w:val="28"/>
        </w:rPr>
      </w:pPr>
    </w:p>
    <w:p w14:paraId="2BB10626" w14:textId="77777777" w:rsidR="005220A8" w:rsidRDefault="005220A8" w:rsidP="005F3F0F">
      <w:pPr>
        <w:contextualSpacing/>
        <w:jc w:val="both"/>
        <w:rPr>
          <w:rFonts w:cs="Times New Roman"/>
          <w:sz w:val="28"/>
          <w:szCs w:val="28"/>
        </w:rPr>
      </w:pPr>
    </w:p>
    <w:p w14:paraId="2A3AA8C3" w14:textId="77777777" w:rsidR="005220A8" w:rsidRDefault="005220A8" w:rsidP="005F3F0F">
      <w:pPr>
        <w:contextualSpacing/>
        <w:jc w:val="both"/>
        <w:rPr>
          <w:rFonts w:cs="Times New Roman"/>
          <w:sz w:val="28"/>
          <w:szCs w:val="28"/>
        </w:rPr>
      </w:pPr>
    </w:p>
    <w:p w14:paraId="04CA070D" w14:textId="77777777" w:rsidR="005220A8" w:rsidRDefault="005220A8" w:rsidP="005F3F0F">
      <w:pPr>
        <w:contextualSpacing/>
        <w:jc w:val="both"/>
        <w:rPr>
          <w:rFonts w:cs="Times New Roman"/>
          <w:sz w:val="28"/>
          <w:szCs w:val="28"/>
        </w:rPr>
      </w:pPr>
    </w:p>
    <w:p w14:paraId="413987A7" w14:textId="77777777" w:rsidR="005220A8" w:rsidRDefault="005220A8" w:rsidP="005F3F0F">
      <w:pPr>
        <w:contextualSpacing/>
        <w:jc w:val="both"/>
        <w:rPr>
          <w:rFonts w:cs="Times New Roman"/>
          <w:sz w:val="28"/>
          <w:szCs w:val="28"/>
        </w:rPr>
      </w:pPr>
    </w:p>
    <w:p w14:paraId="7F96C4C8" w14:textId="77777777" w:rsidR="005220A8" w:rsidRDefault="005220A8" w:rsidP="005F3F0F">
      <w:pPr>
        <w:contextualSpacing/>
        <w:jc w:val="both"/>
        <w:rPr>
          <w:rFonts w:cs="Times New Roman"/>
          <w:sz w:val="28"/>
          <w:szCs w:val="28"/>
        </w:rPr>
      </w:pPr>
    </w:p>
    <w:p w14:paraId="1323A04B" w14:textId="77777777" w:rsidR="005220A8" w:rsidRDefault="005220A8" w:rsidP="005F3F0F">
      <w:pPr>
        <w:contextualSpacing/>
        <w:jc w:val="both"/>
        <w:rPr>
          <w:rFonts w:cs="Times New Roman"/>
          <w:sz w:val="28"/>
          <w:szCs w:val="28"/>
        </w:rPr>
      </w:pPr>
    </w:p>
    <w:p w14:paraId="37EED436" w14:textId="77777777" w:rsidR="005220A8" w:rsidRDefault="005220A8" w:rsidP="005F3F0F">
      <w:pPr>
        <w:contextualSpacing/>
        <w:jc w:val="both"/>
        <w:rPr>
          <w:rFonts w:cs="Times New Roman"/>
          <w:sz w:val="28"/>
          <w:szCs w:val="28"/>
        </w:rPr>
      </w:pPr>
    </w:p>
    <w:p w14:paraId="75C7C3D6" w14:textId="77777777" w:rsidR="005220A8" w:rsidRDefault="005220A8" w:rsidP="005F3F0F">
      <w:pPr>
        <w:contextualSpacing/>
        <w:jc w:val="both"/>
        <w:rPr>
          <w:rFonts w:cs="Times New Roman"/>
          <w:sz w:val="28"/>
          <w:szCs w:val="28"/>
        </w:rPr>
      </w:pPr>
    </w:p>
    <w:p w14:paraId="6E689E4E" w14:textId="191619E1" w:rsidR="005F3F0F" w:rsidRPr="005220A8" w:rsidRDefault="005220A8" w:rsidP="005220A8">
      <w:pPr>
        <w:contextualSpacing/>
        <w:jc w:val="center"/>
        <w:rPr>
          <w:rFonts w:cs="Times New Roman"/>
          <w:b/>
          <w:bCs/>
          <w:sz w:val="28"/>
          <w:szCs w:val="28"/>
        </w:rPr>
      </w:pPr>
      <w:r w:rsidRPr="005220A8">
        <w:rPr>
          <w:rFonts w:cs="Times New Roman"/>
          <w:b/>
          <w:bCs/>
          <w:sz w:val="28"/>
          <w:szCs w:val="28"/>
        </w:rPr>
        <w:lastRenderedPageBreak/>
        <w:t>КРАТКОЕ ИЗЛОЖЕНИЕ</w:t>
      </w:r>
    </w:p>
    <w:p w14:paraId="33D2F9F4" w14:textId="7FEB9B42" w:rsidR="005220A8" w:rsidRDefault="005220A8" w:rsidP="005F3F0F">
      <w:pPr>
        <w:contextualSpacing/>
        <w:jc w:val="both"/>
        <w:rPr>
          <w:rFonts w:cs="Times New Roman"/>
          <w:sz w:val="28"/>
          <w:szCs w:val="28"/>
        </w:rPr>
      </w:pPr>
    </w:p>
    <w:p w14:paraId="0CB040F8" w14:textId="01B92DC4" w:rsidR="005220A8" w:rsidRDefault="005220A8" w:rsidP="005F3F0F">
      <w:pPr>
        <w:contextualSpacing/>
        <w:jc w:val="both"/>
        <w:rPr>
          <w:rFonts w:cs="Times New Roman"/>
          <w:sz w:val="28"/>
          <w:szCs w:val="28"/>
        </w:rPr>
      </w:pPr>
      <w:r>
        <w:rPr>
          <w:rFonts w:cs="Times New Roman"/>
          <w:sz w:val="28"/>
          <w:szCs w:val="28"/>
        </w:rPr>
        <w:tab/>
        <w:t xml:space="preserve">В работе исследуется банк АО «Ситибанк Казахстан», которые является частью международной корпорации </w:t>
      </w:r>
      <w:r>
        <w:rPr>
          <w:rFonts w:cs="Times New Roman"/>
          <w:sz w:val="28"/>
          <w:szCs w:val="28"/>
          <w:lang w:val="en-US"/>
        </w:rPr>
        <w:t>Citigroup</w:t>
      </w:r>
      <w:r w:rsidRPr="005220A8">
        <w:rPr>
          <w:rFonts w:cs="Times New Roman"/>
          <w:sz w:val="28"/>
          <w:szCs w:val="28"/>
        </w:rPr>
        <w:t xml:space="preserve"> </w:t>
      </w:r>
      <w:r>
        <w:rPr>
          <w:rFonts w:cs="Times New Roman"/>
          <w:sz w:val="28"/>
          <w:szCs w:val="28"/>
          <w:lang w:val="en-US"/>
        </w:rPr>
        <w:t>Inc</w:t>
      </w:r>
      <w:r w:rsidRPr="005220A8">
        <w:rPr>
          <w:rFonts w:cs="Times New Roman"/>
          <w:sz w:val="28"/>
          <w:szCs w:val="28"/>
        </w:rPr>
        <w:t>.</w:t>
      </w:r>
    </w:p>
    <w:p w14:paraId="381D77E5" w14:textId="5A7F1B12" w:rsidR="005220A8" w:rsidRDefault="005220A8" w:rsidP="005F3F0F">
      <w:pPr>
        <w:contextualSpacing/>
        <w:jc w:val="both"/>
        <w:rPr>
          <w:rFonts w:cs="Times New Roman"/>
          <w:sz w:val="28"/>
          <w:szCs w:val="28"/>
        </w:rPr>
      </w:pPr>
      <w:r>
        <w:rPr>
          <w:rFonts w:cs="Times New Roman"/>
          <w:sz w:val="28"/>
          <w:szCs w:val="28"/>
        </w:rPr>
        <w:tab/>
        <w:t>Компания занимается принятием депозитов от юридических лиц, выдачей кредитов юридическим лицам, операциями с государственными ценными бумагами, управлением денежными средствами.</w:t>
      </w:r>
    </w:p>
    <w:p w14:paraId="06059AE3" w14:textId="08A90594" w:rsidR="005220A8" w:rsidRDefault="005220A8" w:rsidP="005F3F0F">
      <w:pPr>
        <w:contextualSpacing/>
        <w:jc w:val="both"/>
        <w:rPr>
          <w:rFonts w:cs="Times New Roman"/>
          <w:sz w:val="28"/>
          <w:szCs w:val="28"/>
        </w:rPr>
      </w:pPr>
      <w:r>
        <w:rPr>
          <w:rFonts w:cs="Times New Roman"/>
          <w:sz w:val="28"/>
          <w:szCs w:val="28"/>
        </w:rPr>
        <w:tab/>
        <w:t xml:space="preserve">В работе ведется расчет финансового рычага, значение, которого говорит о большом объеме обязательств. Это в свою очередь </w:t>
      </w:r>
      <w:r w:rsidR="005F16D2">
        <w:rPr>
          <w:rFonts w:cs="Times New Roman"/>
          <w:sz w:val="28"/>
          <w:szCs w:val="28"/>
        </w:rPr>
        <w:t xml:space="preserve">является возможностью для повышения эффективности деятельности и рентабельности капитала банка, но также является и ограничением в виде увеличения неустойчивости и риска. </w:t>
      </w:r>
      <w:r w:rsidR="00A350A3">
        <w:rPr>
          <w:rFonts w:cs="Times New Roman"/>
          <w:sz w:val="28"/>
          <w:szCs w:val="28"/>
        </w:rPr>
        <w:t>Д</w:t>
      </w:r>
      <w:r w:rsidR="005F16D2">
        <w:rPr>
          <w:rFonts w:cs="Times New Roman"/>
          <w:sz w:val="28"/>
          <w:szCs w:val="28"/>
        </w:rPr>
        <w:t xml:space="preserve">ля </w:t>
      </w:r>
      <w:r w:rsidR="00A350A3">
        <w:rPr>
          <w:rFonts w:cs="Times New Roman"/>
          <w:sz w:val="28"/>
          <w:szCs w:val="28"/>
        </w:rPr>
        <w:t>полной картины</w:t>
      </w:r>
      <w:r w:rsidR="005F16D2">
        <w:rPr>
          <w:rFonts w:cs="Times New Roman"/>
          <w:sz w:val="28"/>
          <w:szCs w:val="28"/>
        </w:rPr>
        <w:t xml:space="preserve"> также стоит рассмотреть показатель мгновенной ликвидности.</w:t>
      </w:r>
    </w:p>
    <w:p w14:paraId="5329414D" w14:textId="20DCD53C" w:rsidR="005F16D2" w:rsidRDefault="005F16D2" w:rsidP="005F3F0F">
      <w:pPr>
        <w:contextualSpacing/>
        <w:jc w:val="both"/>
        <w:rPr>
          <w:rFonts w:cs="Times New Roman"/>
          <w:sz w:val="28"/>
          <w:szCs w:val="28"/>
        </w:rPr>
      </w:pPr>
      <w:r>
        <w:rPr>
          <w:rFonts w:cs="Times New Roman"/>
          <w:sz w:val="28"/>
          <w:szCs w:val="28"/>
        </w:rPr>
        <w:tab/>
      </w:r>
      <w:r w:rsidR="00A350A3">
        <w:rPr>
          <w:rFonts w:cs="Times New Roman"/>
          <w:sz w:val="28"/>
          <w:szCs w:val="28"/>
        </w:rPr>
        <w:t>М</w:t>
      </w:r>
      <w:r>
        <w:rPr>
          <w:rFonts w:cs="Times New Roman"/>
          <w:sz w:val="28"/>
          <w:szCs w:val="28"/>
        </w:rPr>
        <w:t>гновенн</w:t>
      </w:r>
      <w:r w:rsidR="00A350A3">
        <w:rPr>
          <w:rFonts w:cs="Times New Roman"/>
          <w:sz w:val="28"/>
          <w:szCs w:val="28"/>
        </w:rPr>
        <w:t>ая</w:t>
      </w:r>
      <w:r>
        <w:rPr>
          <w:rFonts w:cs="Times New Roman"/>
          <w:sz w:val="28"/>
          <w:szCs w:val="28"/>
        </w:rPr>
        <w:t xml:space="preserve"> ликвидност</w:t>
      </w:r>
      <w:r w:rsidR="00A350A3">
        <w:rPr>
          <w:rFonts w:cs="Times New Roman"/>
          <w:sz w:val="28"/>
          <w:szCs w:val="28"/>
        </w:rPr>
        <w:t>ь данного банка</w:t>
      </w:r>
      <w:r>
        <w:rPr>
          <w:rFonts w:cs="Times New Roman"/>
          <w:sz w:val="28"/>
          <w:szCs w:val="28"/>
        </w:rPr>
        <w:t xml:space="preserve"> показывает </w:t>
      </w:r>
      <w:r w:rsidR="00A350A3">
        <w:rPr>
          <w:rFonts w:cs="Times New Roman"/>
          <w:sz w:val="28"/>
          <w:szCs w:val="28"/>
        </w:rPr>
        <w:t>значение,</w:t>
      </w:r>
      <w:r>
        <w:rPr>
          <w:rFonts w:cs="Times New Roman"/>
          <w:sz w:val="28"/>
          <w:szCs w:val="28"/>
        </w:rPr>
        <w:t xml:space="preserve"> </w:t>
      </w:r>
      <w:r w:rsidR="00A350A3">
        <w:rPr>
          <w:rFonts w:cs="Times New Roman"/>
          <w:sz w:val="28"/>
          <w:szCs w:val="28"/>
        </w:rPr>
        <w:t>соответствующее</w:t>
      </w:r>
      <w:r>
        <w:rPr>
          <w:rFonts w:cs="Times New Roman"/>
          <w:sz w:val="28"/>
          <w:szCs w:val="28"/>
        </w:rPr>
        <w:t xml:space="preserve"> норм</w:t>
      </w:r>
      <w:r w:rsidR="00A350A3">
        <w:rPr>
          <w:rFonts w:cs="Times New Roman"/>
          <w:sz w:val="28"/>
          <w:szCs w:val="28"/>
        </w:rPr>
        <w:t>е, но также она указывает на большое количество свободных денежных средств.</w:t>
      </w:r>
    </w:p>
    <w:p w14:paraId="52ED1E43" w14:textId="565558E4" w:rsidR="00A350A3" w:rsidRDefault="00A350A3" w:rsidP="005F3F0F">
      <w:pPr>
        <w:contextualSpacing/>
        <w:jc w:val="both"/>
        <w:rPr>
          <w:rFonts w:cs="Times New Roman"/>
          <w:sz w:val="28"/>
          <w:szCs w:val="28"/>
        </w:rPr>
      </w:pPr>
      <w:r>
        <w:rPr>
          <w:rFonts w:cs="Times New Roman"/>
          <w:sz w:val="28"/>
          <w:szCs w:val="28"/>
        </w:rPr>
        <w:tab/>
        <w:t>Необходимо обратить внимание на структуру баланса, в первую очередь, на структуру актива. Сопоставление ее со структурой доходов дает понять, что для банка есть возможность для оптимизации портфеля, итогом чего может оказаться увеличение рентабельности активов.</w:t>
      </w:r>
    </w:p>
    <w:p w14:paraId="23400A02" w14:textId="30679C94" w:rsidR="00A350A3" w:rsidRPr="005220A8" w:rsidRDefault="00A350A3" w:rsidP="005F3F0F">
      <w:pPr>
        <w:contextualSpacing/>
        <w:jc w:val="both"/>
        <w:rPr>
          <w:rFonts w:cs="Times New Roman"/>
          <w:sz w:val="28"/>
          <w:szCs w:val="28"/>
        </w:rPr>
      </w:pPr>
      <w:r>
        <w:rPr>
          <w:rFonts w:cs="Times New Roman"/>
          <w:sz w:val="28"/>
          <w:szCs w:val="28"/>
        </w:rPr>
        <w:tab/>
        <w:t>Небольшие кредитны</w:t>
      </w:r>
      <w:r w:rsidR="00E361E9">
        <w:rPr>
          <w:rFonts w:cs="Times New Roman"/>
          <w:sz w:val="28"/>
          <w:szCs w:val="28"/>
        </w:rPr>
        <w:t>е</w:t>
      </w:r>
      <w:r>
        <w:rPr>
          <w:rFonts w:cs="Times New Roman"/>
          <w:sz w:val="28"/>
          <w:szCs w:val="28"/>
        </w:rPr>
        <w:t xml:space="preserve"> и финансовы</w:t>
      </w:r>
      <w:r w:rsidR="00E361E9">
        <w:rPr>
          <w:rFonts w:cs="Times New Roman"/>
          <w:sz w:val="28"/>
          <w:szCs w:val="28"/>
        </w:rPr>
        <w:t>е</w:t>
      </w:r>
      <w:r>
        <w:rPr>
          <w:rFonts w:cs="Times New Roman"/>
          <w:sz w:val="28"/>
          <w:szCs w:val="28"/>
        </w:rPr>
        <w:t xml:space="preserve"> портфели банка говорят о том, что есть возможности для увеличения прибыльности и рентабельности. Рекомендация состоит в том, чтобы постепенно за</w:t>
      </w:r>
      <w:r w:rsidR="00E361E9">
        <w:rPr>
          <w:rFonts w:cs="Times New Roman"/>
          <w:sz w:val="28"/>
          <w:szCs w:val="28"/>
        </w:rPr>
        <w:t xml:space="preserve"> счет небольшого</w:t>
      </w:r>
      <w:r>
        <w:rPr>
          <w:rFonts w:cs="Times New Roman"/>
          <w:sz w:val="28"/>
          <w:szCs w:val="28"/>
        </w:rPr>
        <w:t xml:space="preserve"> снижени</w:t>
      </w:r>
      <w:r w:rsidR="00E361E9">
        <w:rPr>
          <w:rFonts w:cs="Times New Roman"/>
          <w:sz w:val="28"/>
          <w:szCs w:val="28"/>
        </w:rPr>
        <w:t>я запасов прочности, распределении свободных денежных средств</w:t>
      </w:r>
      <w:r>
        <w:rPr>
          <w:rFonts w:cs="Times New Roman"/>
          <w:sz w:val="28"/>
          <w:szCs w:val="28"/>
        </w:rPr>
        <w:t xml:space="preserve"> </w:t>
      </w:r>
      <w:r w:rsidR="00E361E9">
        <w:rPr>
          <w:rFonts w:cs="Times New Roman"/>
          <w:sz w:val="28"/>
          <w:szCs w:val="28"/>
        </w:rPr>
        <w:t>на расширение кредитных и финансовых портфелей, расширения предоставляемых услуг, увеличить финансовые показатели банка.</w:t>
      </w:r>
    </w:p>
    <w:p w14:paraId="6A29334B" w14:textId="49A1A102" w:rsidR="005F3F0F" w:rsidRPr="00711B64" w:rsidRDefault="005F3F0F" w:rsidP="005F3F0F">
      <w:pPr>
        <w:contextualSpacing/>
        <w:jc w:val="both"/>
        <w:rPr>
          <w:rFonts w:cs="Times New Roman"/>
          <w:sz w:val="28"/>
          <w:szCs w:val="28"/>
        </w:rPr>
      </w:pPr>
    </w:p>
    <w:p w14:paraId="58AA9E9E" w14:textId="24940BE3" w:rsidR="005F3F0F" w:rsidRPr="00711B64" w:rsidRDefault="005F3F0F" w:rsidP="005F3F0F">
      <w:pPr>
        <w:contextualSpacing/>
        <w:jc w:val="both"/>
        <w:rPr>
          <w:rFonts w:cs="Times New Roman"/>
          <w:sz w:val="28"/>
          <w:szCs w:val="28"/>
        </w:rPr>
      </w:pPr>
    </w:p>
    <w:p w14:paraId="5E98B9F0" w14:textId="2422080D" w:rsidR="005F3F0F" w:rsidRPr="00711B64" w:rsidRDefault="005F3F0F" w:rsidP="005F3F0F">
      <w:pPr>
        <w:contextualSpacing/>
        <w:jc w:val="both"/>
        <w:rPr>
          <w:rFonts w:cs="Times New Roman"/>
          <w:sz w:val="28"/>
          <w:szCs w:val="28"/>
        </w:rPr>
      </w:pPr>
    </w:p>
    <w:p w14:paraId="489BA8B9" w14:textId="16A49E6C" w:rsidR="005F3F0F" w:rsidRPr="00711B64" w:rsidRDefault="005F3F0F" w:rsidP="005F3F0F">
      <w:pPr>
        <w:contextualSpacing/>
        <w:jc w:val="both"/>
        <w:rPr>
          <w:rFonts w:cs="Times New Roman"/>
          <w:sz w:val="28"/>
          <w:szCs w:val="28"/>
        </w:rPr>
      </w:pPr>
    </w:p>
    <w:p w14:paraId="445E4736" w14:textId="6FDEC25F" w:rsidR="005F3F0F" w:rsidRPr="00711B64" w:rsidRDefault="005F3F0F" w:rsidP="005F3F0F">
      <w:pPr>
        <w:contextualSpacing/>
        <w:jc w:val="both"/>
        <w:rPr>
          <w:rFonts w:cs="Times New Roman"/>
          <w:sz w:val="28"/>
          <w:szCs w:val="28"/>
        </w:rPr>
      </w:pPr>
    </w:p>
    <w:p w14:paraId="5D9B9F36" w14:textId="2328B05C" w:rsidR="005F3F0F" w:rsidRPr="00E361E9" w:rsidRDefault="00E361E9" w:rsidP="005F3F0F">
      <w:pPr>
        <w:contextualSpacing/>
        <w:jc w:val="center"/>
        <w:rPr>
          <w:rFonts w:cs="Times New Roman"/>
          <w:b/>
          <w:bCs/>
          <w:sz w:val="28"/>
          <w:szCs w:val="28"/>
        </w:rPr>
      </w:pPr>
      <w:r w:rsidRPr="00E361E9">
        <w:rPr>
          <w:rFonts w:cs="Times New Roman"/>
          <w:b/>
          <w:bCs/>
          <w:sz w:val="28"/>
          <w:szCs w:val="28"/>
        </w:rPr>
        <w:lastRenderedPageBreak/>
        <w:t>ВВЕДЕНИЕ</w:t>
      </w:r>
    </w:p>
    <w:p w14:paraId="35444F29" w14:textId="189DA992" w:rsidR="005F3F0F" w:rsidRPr="00711B64" w:rsidRDefault="005F3F0F" w:rsidP="005F3F0F">
      <w:pPr>
        <w:contextualSpacing/>
        <w:jc w:val="center"/>
        <w:rPr>
          <w:rFonts w:cs="Times New Roman"/>
          <w:sz w:val="28"/>
          <w:szCs w:val="28"/>
        </w:rPr>
      </w:pPr>
    </w:p>
    <w:p w14:paraId="662F1D99" w14:textId="5BC6876E" w:rsidR="007A061F" w:rsidRDefault="005F3F0F" w:rsidP="005F3F0F">
      <w:pPr>
        <w:contextualSpacing/>
        <w:jc w:val="both"/>
        <w:rPr>
          <w:rFonts w:cs="Times New Roman"/>
          <w:sz w:val="28"/>
          <w:szCs w:val="28"/>
        </w:rPr>
      </w:pPr>
      <w:r w:rsidRPr="00711B64">
        <w:rPr>
          <w:rFonts w:cs="Times New Roman"/>
          <w:sz w:val="28"/>
          <w:szCs w:val="28"/>
        </w:rPr>
        <w:tab/>
      </w:r>
      <w:r w:rsidR="007A061F">
        <w:rPr>
          <w:rFonts w:cs="Times New Roman"/>
          <w:sz w:val="28"/>
          <w:szCs w:val="28"/>
        </w:rPr>
        <w:t>Практической з</w:t>
      </w:r>
      <w:r w:rsidR="008F6AAB">
        <w:rPr>
          <w:rFonts w:cs="Times New Roman"/>
          <w:sz w:val="28"/>
          <w:szCs w:val="28"/>
        </w:rPr>
        <w:t xml:space="preserve">адачей данной работы является анализ деятельности </w:t>
      </w:r>
      <w:r w:rsidR="007A061F">
        <w:rPr>
          <w:rFonts w:cs="Times New Roman"/>
          <w:sz w:val="28"/>
          <w:szCs w:val="28"/>
        </w:rPr>
        <w:t>выбранного объекта исследования – АО «Ситибанк Казахстан» – на основе финансовых показателей, выявление несоответствия нормам, а также выявление внутренних и внешних проблем банка, и создание рекомендаций.</w:t>
      </w:r>
    </w:p>
    <w:p w14:paraId="091AF1AE" w14:textId="573B03AC" w:rsidR="007A061F" w:rsidRDefault="007A061F" w:rsidP="007A061F">
      <w:pPr>
        <w:spacing w:after="160"/>
        <w:ind w:firstLine="709"/>
        <w:jc w:val="both"/>
        <w:rPr>
          <w:sz w:val="28"/>
          <w:szCs w:val="28"/>
        </w:rPr>
      </w:pPr>
      <w:r>
        <w:rPr>
          <w:sz w:val="28"/>
          <w:szCs w:val="28"/>
        </w:rPr>
        <w:t xml:space="preserve">Анализ проводится на основе финансовой отчетности банка за несколько лет (2017–2019 гг.), данных международных рейтинговых агентств и </w:t>
      </w:r>
      <w:r w:rsidR="00E361E9">
        <w:rPr>
          <w:sz w:val="28"/>
          <w:szCs w:val="28"/>
        </w:rPr>
        <w:t>интернет-ресурсов</w:t>
      </w:r>
      <w:r>
        <w:rPr>
          <w:sz w:val="28"/>
          <w:szCs w:val="28"/>
        </w:rPr>
        <w:t>.</w:t>
      </w:r>
    </w:p>
    <w:p w14:paraId="2A6BAA24" w14:textId="69B6619F" w:rsidR="007A061F" w:rsidRDefault="007A061F" w:rsidP="007A061F">
      <w:pPr>
        <w:tabs>
          <w:tab w:val="left" w:pos="708"/>
          <w:tab w:val="left" w:pos="1416"/>
          <w:tab w:val="left" w:pos="2124"/>
          <w:tab w:val="left" w:pos="3555"/>
        </w:tabs>
        <w:contextualSpacing/>
        <w:jc w:val="both"/>
        <w:rPr>
          <w:rFonts w:cs="Times New Roman"/>
          <w:sz w:val="28"/>
          <w:szCs w:val="28"/>
        </w:rPr>
      </w:pPr>
    </w:p>
    <w:p w14:paraId="737EF910" w14:textId="1B8EACA3" w:rsidR="005F3F0F" w:rsidRPr="00711B64" w:rsidRDefault="007A061F" w:rsidP="005F3F0F">
      <w:pPr>
        <w:contextualSpacing/>
        <w:jc w:val="both"/>
        <w:rPr>
          <w:rFonts w:cs="Times New Roman"/>
          <w:sz w:val="28"/>
          <w:szCs w:val="28"/>
        </w:rPr>
      </w:pPr>
      <w:r>
        <w:rPr>
          <w:rFonts w:cs="Times New Roman"/>
          <w:sz w:val="28"/>
          <w:szCs w:val="28"/>
        </w:rPr>
        <w:tab/>
        <w:t xml:space="preserve"> </w:t>
      </w:r>
    </w:p>
    <w:p w14:paraId="4A57EE43" w14:textId="2A5C53D0" w:rsidR="005F3F0F" w:rsidRPr="00711B64" w:rsidRDefault="005F3F0F" w:rsidP="005F3F0F">
      <w:pPr>
        <w:contextualSpacing/>
        <w:jc w:val="both"/>
        <w:rPr>
          <w:rFonts w:cs="Times New Roman"/>
          <w:sz w:val="28"/>
          <w:szCs w:val="28"/>
        </w:rPr>
      </w:pPr>
    </w:p>
    <w:p w14:paraId="33081360" w14:textId="57DC2849" w:rsidR="005F3F0F" w:rsidRPr="00711B64" w:rsidRDefault="005F3F0F" w:rsidP="005F3F0F">
      <w:pPr>
        <w:contextualSpacing/>
        <w:jc w:val="both"/>
        <w:rPr>
          <w:rFonts w:cs="Times New Roman"/>
          <w:sz w:val="28"/>
          <w:szCs w:val="28"/>
        </w:rPr>
      </w:pPr>
    </w:p>
    <w:p w14:paraId="34024D44" w14:textId="575AEDE3" w:rsidR="005F3F0F" w:rsidRPr="00711B64" w:rsidRDefault="005F3F0F" w:rsidP="005F3F0F">
      <w:pPr>
        <w:contextualSpacing/>
        <w:jc w:val="both"/>
        <w:rPr>
          <w:rFonts w:cs="Times New Roman"/>
          <w:sz w:val="28"/>
          <w:szCs w:val="28"/>
        </w:rPr>
      </w:pPr>
    </w:p>
    <w:p w14:paraId="5665028B" w14:textId="7C1F699B" w:rsidR="005F3F0F" w:rsidRPr="00711B64" w:rsidRDefault="005F3F0F" w:rsidP="005F3F0F">
      <w:pPr>
        <w:contextualSpacing/>
        <w:jc w:val="both"/>
        <w:rPr>
          <w:rFonts w:cs="Times New Roman"/>
          <w:sz w:val="28"/>
          <w:szCs w:val="28"/>
        </w:rPr>
      </w:pPr>
    </w:p>
    <w:p w14:paraId="5C235AB7" w14:textId="535BFE9D" w:rsidR="005F3F0F" w:rsidRPr="00711B64" w:rsidRDefault="005F3F0F" w:rsidP="005F3F0F">
      <w:pPr>
        <w:contextualSpacing/>
        <w:jc w:val="both"/>
        <w:rPr>
          <w:rFonts w:cs="Times New Roman"/>
          <w:sz w:val="28"/>
          <w:szCs w:val="28"/>
        </w:rPr>
      </w:pPr>
    </w:p>
    <w:p w14:paraId="0B43A89A" w14:textId="3DA7CE13" w:rsidR="005F3F0F" w:rsidRPr="00711B64" w:rsidRDefault="005F3F0F" w:rsidP="005F3F0F">
      <w:pPr>
        <w:contextualSpacing/>
        <w:jc w:val="both"/>
        <w:rPr>
          <w:rFonts w:cs="Times New Roman"/>
          <w:sz w:val="28"/>
          <w:szCs w:val="28"/>
        </w:rPr>
      </w:pPr>
    </w:p>
    <w:p w14:paraId="6999763B" w14:textId="3F59B2A4" w:rsidR="005F3F0F" w:rsidRPr="00711B64" w:rsidRDefault="005F3F0F" w:rsidP="005F3F0F">
      <w:pPr>
        <w:contextualSpacing/>
        <w:jc w:val="both"/>
        <w:rPr>
          <w:rFonts w:cs="Times New Roman"/>
          <w:sz w:val="28"/>
          <w:szCs w:val="28"/>
        </w:rPr>
      </w:pPr>
    </w:p>
    <w:p w14:paraId="6F27050F" w14:textId="46F9F53A" w:rsidR="005F3F0F" w:rsidRPr="00711B64" w:rsidRDefault="005F3F0F" w:rsidP="005F3F0F">
      <w:pPr>
        <w:contextualSpacing/>
        <w:jc w:val="both"/>
        <w:rPr>
          <w:rFonts w:cs="Times New Roman"/>
          <w:sz w:val="28"/>
          <w:szCs w:val="28"/>
        </w:rPr>
      </w:pPr>
    </w:p>
    <w:p w14:paraId="7E4197BF" w14:textId="356766E2" w:rsidR="005F3F0F" w:rsidRPr="00711B64" w:rsidRDefault="005F3F0F" w:rsidP="005F3F0F">
      <w:pPr>
        <w:contextualSpacing/>
        <w:jc w:val="both"/>
        <w:rPr>
          <w:rFonts w:cs="Times New Roman"/>
          <w:sz w:val="28"/>
          <w:szCs w:val="28"/>
        </w:rPr>
      </w:pPr>
    </w:p>
    <w:p w14:paraId="5AE2C68A" w14:textId="48E77F30" w:rsidR="005F3F0F" w:rsidRPr="00711B64" w:rsidRDefault="005F3F0F" w:rsidP="005F3F0F">
      <w:pPr>
        <w:contextualSpacing/>
        <w:jc w:val="both"/>
        <w:rPr>
          <w:rFonts w:cs="Times New Roman"/>
          <w:sz w:val="28"/>
          <w:szCs w:val="28"/>
        </w:rPr>
      </w:pPr>
    </w:p>
    <w:p w14:paraId="74073338" w14:textId="5344E2EE" w:rsidR="005F3F0F" w:rsidRPr="00711B64" w:rsidRDefault="005F3F0F" w:rsidP="005F3F0F">
      <w:pPr>
        <w:contextualSpacing/>
        <w:jc w:val="both"/>
        <w:rPr>
          <w:rFonts w:cs="Times New Roman"/>
          <w:sz w:val="28"/>
          <w:szCs w:val="28"/>
        </w:rPr>
      </w:pPr>
    </w:p>
    <w:p w14:paraId="14C29A68" w14:textId="08AA4860" w:rsidR="005F3F0F" w:rsidRPr="00711B64" w:rsidRDefault="005F3F0F" w:rsidP="005F3F0F">
      <w:pPr>
        <w:contextualSpacing/>
        <w:jc w:val="both"/>
        <w:rPr>
          <w:rFonts w:cs="Times New Roman"/>
          <w:sz w:val="28"/>
          <w:szCs w:val="28"/>
        </w:rPr>
      </w:pPr>
    </w:p>
    <w:p w14:paraId="07A72E05" w14:textId="339D3090" w:rsidR="005F3F0F" w:rsidRPr="00711B64" w:rsidRDefault="005F3F0F" w:rsidP="005F3F0F">
      <w:pPr>
        <w:contextualSpacing/>
        <w:jc w:val="both"/>
        <w:rPr>
          <w:rFonts w:cs="Times New Roman"/>
          <w:sz w:val="28"/>
          <w:szCs w:val="28"/>
        </w:rPr>
      </w:pPr>
    </w:p>
    <w:p w14:paraId="305CC760" w14:textId="72597727" w:rsidR="005F3F0F" w:rsidRPr="00711B64" w:rsidRDefault="005F3F0F" w:rsidP="005F3F0F">
      <w:pPr>
        <w:contextualSpacing/>
        <w:jc w:val="both"/>
        <w:rPr>
          <w:rFonts w:cs="Times New Roman"/>
          <w:sz w:val="28"/>
          <w:szCs w:val="28"/>
        </w:rPr>
      </w:pPr>
    </w:p>
    <w:p w14:paraId="6D3D05BB" w14:textId="4E206A83" w:rsidR="005F3F0F" w:rsidRDefault="005F3F0F" w:rsidP="005F3F0F">
      <w:pPr>
        <w:contextualSpacing/>
        <w:jc w:val="both"/>
        <w:rPr>
          <w:rFonts w:cs="Times New Roman"/>
          <w:sz w:val="28"/>
          <w:szCs w:val="28"/>
        </w:rPr>
      </w:pPr>
    </w:p>
    <w:p w14:paraId="4CA2F03E" w14:textId="77777777" w:rsidR="005769C7" w:rsidRPr="00711B64" w:rsidRDefault="005769C7" w:rsidP="005F3F0F">
      <w:pPr>
        <w:contextualSpacing/>
        <w:jc w:val="both"/>
        <w:rPr>
          <w:rFonts w:cs="Times New Roman"/>
          <w:sz w:val="28"/>
          <w:szCs w:val="28"/>
        </w:rPr>
      </w:pPr>
    </w:p>
    <w:p w14:paraId="1AEA7D50" w14:textId="30D61951" w:rsidR="005F3F0F" w:rsidRPr="00711B64" w:rsidRDefault="005F3F0F" w:rsidP="005F3F0F">
      <w:pPr>
        <w:contextualSpacing/>
        <w:jc w:val="both"/>
        <w:rPr>
          <w:rFonts w:cs="Times New Roman"/>
          <w:sz w:val="28"/>
          <w:szCs w:val="28"/>
        </w:rPr>
      </w:pPr>
    </w:p>
    <w:p w14:paraId="2095F532" w14:textId="33EC3E8E" w:rsidR="005F3F0F" w:rsidRPr="00711B64" w:rsidRDefault="005F3F0F" w:rsidP="005F3F0F">
      <w:pPr>
        <w:contextualSpacing/>
        <w:jc w:val="both"/>
        <w:rPr>
          <w:rFonts w:cs="Times New Roman"/>
          <w:sz w:val="28"/>
          <w:szCs w:val="28"/>
        </w:rPr>
      </w:pPr>
    </w:p>
    <w:p w14:paraId="101115DF" w14:textId="03788E45" w:rsidR="005F3F0F" w:rsidRPr="00E361E9" w:rsidRDefault="00E361E9" w:rsidP="005F3F0F">
      <w:pPr>
        <w:contextualSpacing/>
        <w:jc w:val="center"/>
        <w:rPr>
          <w:rFonts w:cs="Times New Roman"/>
          <w:b/>
          <w:bCs/>
          <w:sz w:val="28"/>
          <w:szCs w:val="28"/>
        </w:rPr>
      </w:pPr>
      <w:r w:rsidRPr="00E361E9">
        <w:rPr>
          <w:rFonts w:cs="Times New Roman"/>
          <w:b/>
          <w:bCs/>
          <w:sz w:val="28"/>
          <w:szCs w:val="28"/>
        </w:rPr>
        <w:lastRenderedPageBreak/>
        <w:t>ОСНОВНАЯ ЧАСТЬ</w:t>
      </w:r>
    </w:p>
    <w:p w14:paraId="58B0B24E" w14:textId="0DB53501" w:rsidR="005F3F0F" w:rsidRPr="00711B64" w:rsidRDefault="005F3F0F" w:rsidP="005F3F0F">
      <w:pPr>
        <w:contextualSpacing/>
        <w:jc w:val="both"/>
        <w:rPr>
          <w:rFonts w:cs="Times New Roman"/>
          <w:sz w:val="28"/>
          <w:szCs w:val="28"/>
        </w:rPr>
      </w:pPr>
    </w:p>
    <w:p w14:paraId="67B259E7" w14:textId="6B2579C0" w:rsidR="00C15308" w:rsidRPr="008F6AAB" w:rsidRDefault="00C15308" w:rsidP="005F3F0F">
      <w:pPr>
        <w:contextualSpacing/>
        <w:jc w:val="both"/>
        <w:rPr>
          <w:rFonts w:cs="Times New Roman"/>
          <w:sz w:val="28"/>
          <w:szCs w:val="28"/>
        </w:rPr>
      </w:pPr>
      <w:r w:rsidRPr="00711B64">
        <w:rPr>
          <w:rFonts w:cs="Times New Roman"/>
          <w:color w:val="4472C4" w:themeColor="accent1"/>
          <w:sz w:val="28"/>
          <w:szCs w:val="28"/>
        </w:rPr>
        <w:tab/>
      </w:r>
      <w:r w:rsidRPr="008F6AAB">
        <w:rPr>
          <w:rFonts w:cs="Times New Roman"/>
          <w:sz w:val="28"/>
          <w:szCs w:val="28"/>
        </w:rPr>
        <w:t>АО «Ситибанк Казахстан» (далее - «Банк») был основан в Республике Казахстан</w:t>
      </w:r>
      <w:r w:rsidR="00564897" w:rsidRPr="008F6AAB">
        <w:rPr>
          <w:rFonts w:cs="Times New Roman"/>
          <w:sz w:val="28"/>
          <w:szCs w:val="28"/>
        </w:rPr>
        <w:t xml:space="preserve"> 1994 в виде акционерного общества</w:t>
      </w:r>
      <w:r w:rsidRPr="008F6AAB">
        <w:rPr>
          <w:rFonts w:cs="Times New Roman"/>
          <w:sz w:val="28"/>
          <w:szCs w:val="28"/>
        </w:rPr>
        <w:t>.</w:t>
      </w:r>
      <w:r w:rsidR="00564897" w:rsidRPr="008F6AAB">
        <w:rPr>
          <w:rFonts w:cs="Times New Roman"/>
          <w:sz w:val="28"/>
          <w:szCs w:val="28"/>
        </w:rPr>
        <w:t xml:space="preserve"> Является одним </w:t>
      </w:r>
      <w:r w:rsidR="008F6AAB" w:rsidRPr="008F6AAB">
        <w:rPr>
          <w:rFonts w:cs="Times New Roman"/>
          <w:sz w:val="28"/>
          <w:szCs w:val="28"/>
        </w:rPr>
        <w:t>из первых международных банков,</w:t>
      </w:r>
      <w:r w:rsidR="00564897" w:rsidRPr="008F6AAB">
        <w:rPr>
          <w:rFonts w:cs="Times New Roman"/>
          <w:sz w:val="28"/>
          <w:szCs w:val="28"/>
        </w:rPr>
        <w:t xml:space="preserve"> пришедших на </w:t>
      </w:r>
      <w:r w:rsidR="008F6AAB" w:rsidRPr="008F6AAB">
        <w:rPr>
          <w:rFonts w:cs="Times New Roman"/>
          <w:sz w:val="28"/>
          <w:szCs w:val="28"/>
        </w:rPr>
        <w:t xml:space="preserve">казахстанский финансовый </w:t>
      </w:r>
      <w:r w:rsidR="00564897" w:rsidRPr="008F6AAB">
        <w:rPr>
          <w:rFonts w:cs="Times New Roman"/>
          <w:sz w:val="28"/>
          <w:szCs w:val="28"/>
        </w:rPr>
        <w:t>рынок</w:t>
      </w:r>
      <w:r w:rsidR="008F6AAB" w:rsidRPr="008F6AAB">
        <w:rPr>
          <w:rFonts w:cs="Times New Roman"/>
          <w:sz w:val="28"/>
          <w:szCs w:val="28"/>
        </w:rPr>
        <w:t>.</w:t>
      </w:r>
      <w:r w:rsidR="00564897" w:rsidRPr="008F6AAB">
        <w:rPr>
          <w:rFonts w:cs="Times New Roman"/>
          <w:sz w:val="28"/>
          <w:szCs w:val="28"/>
        </w:rPr>
        <w:t xml:space="preserve"> </w:t>
      </w:r>
      <w:r w:rsidRPr="008F6AAB">
        <w:rPr>
          <w:rFonts w:cs="Times New Roman"/>
          <w:sz w:val="28"/>
          <w:szCs w:val="28"/>
        </w:rPr>
        <w:t xml:space="preserve"> Банк получил лицензию на общую банковскую деятельность в 1998 году и лицензию на осуществление деятельности на рынке ценных бумаг в 1999 году, и данные лицензии были обновлены в феврале 2020 года. Банк является членом государственной системы страхования депозитов в Республике Казахстан.</w:t>
      </w:r>
      <w:r w:rsidR="00703F2D">
        <w:rPr>
          <w:rFonts w:cs="Times New Roman"/>
          <w:sz w:val="28"/>
          <w:szCs w:val="28"/>
        </w:rPr>
        <w:t xml:space="preserve"> Отделения Банка есть в основных крупных городах – Алматы, Нур-Султан, Атырау, Актау</w:t>
      </w:r>
      <w:r w:rsidR="00703F2D">
        <w:rPr>
          <w:rStyle w:val="aa"/>
          <w:rFonts w:cs="Times New Roman"/>
          <w:sz w:val="28"/>
          <w:szCs w:val="28"/>
        </w:rPr>
        <w:footnoteReference w:id="1"/>
      </w:r>
      <w:r w:rsidR="00703F2D">
        <w:rPr>
          <w:rFonts w:cs="Times New Roman"/>
          <w:sz w:val="28"/>
          <w:szCs w:val="28"/>
        </w:rPr>
        <w:t>.</w:t>
      </w:r>
    </w:p>
    <w:p w14:paraId="12BC314E" w14:textId="282066CE" w:rsidR="00C15308" w:rsidRPr="008F6AAB" w:rsidRDefault="00C15308" w:rsidP="005F3F0F">
      <w:pPr>
        <w:contextualSpacing/>
        <w:jc w:val="both"/>
        <w:rPr>
          <w:rFonts w:cs="Times New Roman"/>
          <w:sz w:val="28"/>
          <w:szCs w:val="28"/>
        </w:rPr>
      </w:pPr>
      <w:r w:rsidRPr="008F6AAB">
        <w:rPr>
          <w:rFonts w:cs="Times New Roman"/>
          <w:sz w:val="28"/>
          <w:szCs w:val="28"/>
        </w:rPr>
        <w:tab/>
        <w:t xml:space="preserve">Основной деятельностью Банка являет принятие депозитов от юридических лиц, кредитование юридических лиц, управление денежными средствами, </w:t>
      </w:r>
      <w:proofErr w:type="spellStart"/>
      <w:r w:rsidRPr="008F6AAB">
        <w:rPr>
          <w:rFonts w:cs="Times New Roman"/>
          <w:sz w:val="28"/>
          <w:szCs w:val="28"/>
        </w:rPr>
        <w:t>кастодиальные</w:t>
      </w:r>
      <w:proofErr w:type="spellEnd"/>
      <w:r w:rsidRPr="008F6AAB">
        <w:rPr>
          <w:rFonts w:cs="Times New Roman"/>
          <w:sz w:val="28"/>
          <w:szCs w:val="28"/>
        </w:rPr>
        <w:t xml:space="preserve"> операции, операции с государственными ценными бумагами, сделки на денежных рынках и операции с иностранной валютой. Деятельность Банка регулируется Национальным Банком Республики Казахстан (далее - «НБРК»).</w:t>
      </w:r>
      <w:r w:rsidR="00214DA1">
        <w:rPr>
          <w:rFonts w:cs="Times New Roman"/>
          <w:sz w:val="28"/>
          <w:szCs w:val="28"/>
        </w:rPr>
        <w:t xml:space="preserve"> Основные пассивные операции – межбанковские займы, средства от операций с ценными бумагами, вклады по востребованию, депозиты по востребованию. </w:t>
      </w:r>
    </w:p>
    <w:p w14:paraId="0D9EE79E" w14:textId="3A193F50" w:rsidR="008F6AAB" w:rsidRPr="008F6AAB" w:rsidRDefault="00C15308" w:rsidP="005F3F0F">
      <w:pPr>
        <w:contextualSpacing/>
        <w:jc w:val="both"/>
        <w:rPr>
          <w:rFonts w:cs="Times New Roman"/>
          <w:sz w:val="28"/>
          <w:szCs w:val="28"/>
        </w:rPr>
      </w:pPr>
      <w:r w:rsidRPr="008F6AAB">
        <w:rPr>
          <w:rFonts w:cs="Times New Roman"/>
          <w:sz w:val="28"/>
          <w:szCs w:val="28"/>
        </w:rPr>
        <w:tab/>
        <w:t>Банк полностью принадлежит «</w:t>
      </w:r>
      <w:proofErr w:type="spellStart"/>
      <w:r w:rsidRPr="008F6AAB">
        <w:rPr>
          <w:rFonts w:cs="Times New Roman"/>
          <w:sz w:val="28"/>
          <w:szCs w:val="28"/>
        </w:rPr>
        <w:t>Citibank</w:t>
      </w:r>
      <w:proofErr w:type="spellEnd"/>
      <w:r w:rsidRPr="008F6AAB">
        <w:rPr>
          <w:rFonts w:cs="Times New Roman"/>
          <w:sz w:val="28"/>
          <w:szCs w:val="28"/>
        </w:rPr>
        <w:t xml:space="preserve"> N.A.». В результате Банк экономически зависит от Банка-акционера. В дополнение к этому деятельность Банка тесно связана с требованиями Банка-акционера, и определение стоимости услуг, предоставляемых Банком Банку-акционеру, осуществляется в зависимости и по согласованию с другими компаниями, принадлежащими Банку-акционеру.</w:t>
      </w:r>
      <w:r w:rsidR="008F6AAB" w:rsidRPr="008F6AAB">
        <w:rPr>
          <w:rFonts w:cs="Times New Roman"/>
          <w:sz w:val="28"/>
          <w:szCs w:val="28"/>
        </w:rPr>
        <w:t xml:space="preserve"> </w:t>
      </w:r>
      <w:r w:rsidR="008F6AAB" w:rsidRPr="008F6AAB">
        <w:rPr>
          <w:rFonts w:cs="Times New Roman"/>
          <w:sz w:val="28"/>
          <w:szCs w:val="28"/>
          <w:lang w:val="en-US"/>
        </w:rPr>
        <w:t>Citigroup</w:t>
      </w:r>
      <w:r w:rsidR="008F6AAB" w:rsidRPr="008F6AAB">
        <w:rPr>
          <w:rFonts w:cs="Times New Roman"/>
          <w:sz w:val="28"/>
          <w:szCs w:val="28"/>
        </w:rPr>
        <w:t xml:space="preserve"> </w:t>
      </w:r>
      <w:r w:rsidR="008F6AAB" w:rsidRPr="008F6AAB">
        <w:rPr>
          <w:rFonts w:cs="Times New Roman"/>
          <w:sz w:val="28"/>
          <w:szCs w:val="28"/>
          <w:lang w:val="en-US"/>
        </w:rPr>
        <w:t>Inc</w:t>
      </w:r>
      <w:r w:rsidR="008F6AAB" w:rsidRPr="008F6AAB">
        <w:rPr>
          <w:rFonts w:cs="Times New Roman"/>
          <w:sz w:val="28"/>
          <w:szCs w:val="28"/>
        </w:rPr>
        <w:t>., при этом, является одним из мировых лидеров в сфере финансового обслуживания</w:t>
      </w:r>
    </w:p>
    <w:p w14:paraId="4FE63739" w14:textId="759EB015" w:rsidR="00C15308" w:rsidRPr="008F6AAB" w:rsidRDefault="00C15308" w:rsidP="005F3F0F">
      <w:pPr>
        <w:contextualSpacing/>
        <w:jc w:val="both"/>
        <w:rPr>
          <w:rFonts w:cs="Times New Roman"/>
          <w:sz w:val="28"/>
          <w:szCs w:val="28"/>
        </w:rPr>
      </w:pPr>
      <w:r w:rsidRPr="008F6AAB">
        <w:rPr>
          <w:rFonts w:cs="Times New Roman"/>
          <w:sz w:val="28"/>
          <w:szCs w:val="28"/>
        </w:rPr>
        <w:tab/>
        <w:t xml:space="preserve">Банк осуществляет свою деятельность преимущественно на территории Казахстана. Соответственно, на бизнес Банка оказывают влияние экономика и </w:t>
      </w:r>
      <w:r w:rsidRPr="008F6AAB">
        <w:rPr>
          <w:rFonts w:cs="Times New Roman"/>
          <w:sz w:val="28"/>
          <w:szCs w:val="28"/>
        </w:rPr>
        <w:lastRenderedPageBreak/>
        <w:t>финансовые рынки Казахстана, которым присущи особенности развивающегося рынка. Правовая, налоговая и административная системы продолжают развиваться, однако сопряжены с риском неоднозначности толкования их требований, которые к тому же подвержены частым изменениям, что наряду с другими юридическими и фискальными преградами создает дополнительные проблемы для предприятий, ведущих бизнес в Казахстане. Дополнительно, первые месяцы 2020 года были обусловлены значительной нестабильностью на мировом рынке, вызванной вспышкой коронавируса. Вместе с другими факторами это привело к резкому снижению цены на нефть и фондовых индексов, а также усугубило обесценение казахстанского тенге. Эти события еще больше повышают уровень неопределенности условий осуществления хозяйственной деятельности в Казахстане</w:t>
      </w:r>
      <w:r w:rsidR="008F6AAB" w:rsidRPr="008F6AAB">
        <w:rPr>
          <w:rStyle w:val="aa"/>
          <w:rFonts w:cs="Times New Roman"/>
          <w:sz w:val="28"/>
          <w:szCs w:val="28"/>
        </w:rPr>
        <w:footnoteReference w:id="2"/>
      </w:r>
      <w:r w:rsidRPr="008F6AAB">
        <w:rPr>
          <w:rFonts w:cs="Times New Roman"/>
          <w:sz w:val="28"/>
          <w:szCs w:val="28"/>
        </w:rPr>
        <w:t>.</w:t>
      </w:r>
    </w:p>
    <w:p w14:paraId="60885DA7" w14:textId="54FF1A08" w:rsidR="00CA6DAD" w:rsidRDefault="00C15308" w:rsidP="00CA6DAD">
      <w:pPr>
        <w:contextualSpacing/>
        <w:jc w:val="both"/>
        <w:rPr>
          <w:rFonts w:cs="Times New Roman"/>
          <w:sz w:val="28"/>
          <w:szCs w:val="28"/>
        </w:rPr>
      </w:pPr>
      <w:r w:rsidRPr="008F6AAB">
        <w:rPr>
          <w:rFonts w:cs="Times New Roman"/>
          <w:sz w:val="28"/>
          <w:szCs w:val="28"/>
        </w:rPr>
        <w:tab/>
        <w:t xml:space="preserve">Данные меры могут оказать существенное влияние на деятельность Банка и его финансовые результаты, степень которого определить в настоящее время не представляется возможным. Финансовые результаты Банка зависят, в основном, от кредитного качестве клиентов и контрагентов, а также от волатильности финансовых рынков в целом. Банк внимательно отслеживает развитие ситуации на мировом рынке и рынке Казахстана с целью минимизироваться отрицательные последствия. Банк контролирует ликвидность на ежедневной основе в рамках оперативного и стратегического управления риском ликвидности для того, чтобы обеспечить выполнение требований </w:t>
      </w:r>
      <w:proofErr w:type="spellStart"/>
      <w:r w:rsidRPr="008F6AAB">
        <w:rPr>
          <w:rFonts w:cs="Times New Roman"/>
          <w:sz w:val="28"/>
          <w:szCs w:val="28"/>
        </w:rPr>
        <w:t>пруденциальных</w:t>
      </w:r>
      <w:proofErr w:type="spellEnd"/>
      <w:r w:rsidRPr="008F6AAB">
        <w:rPr>
          <w:rFonts w:cs="Times New Roman"/>
          <w:sz w:val="28"/>
          <w:szCs w:val="28"/>
        </w:rPr>
        <w:t xml:space="preserve"> коэффициентов ликвидности, соответствие фактического объема ликвидных активов требуемому уровню, а также обеспечить безопасность с точки зрения ликвидности в долгосрочной перспективе</w:t>
      </w:r>
      <w:r w:rsidR="008F6AAB" w:rsidRPr="008F6AAB">
        <w:rPr>
          <w:rStyle w:val="aa"/>
          <w:rFonts w:cs="Times New Roman"/>
          <w:sz w:val="28"/>
          <w:szCs w:val="28"/>
        </w:rPr>
        <w:footnoteReference w:id="3"/>
      </w:r>
      <w:r w:rsidRPr="008F6AAB">
        <w:rPr>
          <w:rFonts w:cs="Times New Roman"/>
          <w:sz w:val="28"/>
          <w:szCs w:val="28"/>
        </w:rPr>
        <w:t>.</w:t>
      </w:r>
    </w:p>
    <w:p w14:paraId="4A7C2844" w14:textId="761BA979" w:rsidR="00CA6DAD" w:rsidRDefault="00214DA1" w:rsidP="00CA6DAD">
      <w:pPr>
        <w:contextualSpacing/>
        <w:jc w:val="both"/>
        <w:rPr>
          <w:rFonts w:cs="Times New Roman"/>
          <w:color w:val="808080" w:themeColor="background1" w:themeShade="80"/>
          <w:sz w:val="28"/>
          <w:szCs w:val="28"/>
        </w:rPr>
      </w:pPr>
      <w:r>
        <w:rPr>
          <w:rFonts w:cs="Times New Roman"/>
          <w:sz w:val="28"/>
          <w:szCs w:val="28"/>
        </w:rPr>
        <w:tab/>
      </w:r>
      <w:r w:rsidR="00CA6DAD">
        <w:rPr>
          <w:rFonts w:cs="Times New Roman"/>
          <w:color w:val="808080" w:themeColor="background1" w:themeShade="80"/>
          <w:sz w:val="28"/>
          <w:szCs w:val="28"/>
        </w:rPr>
        <w:tab/>
      </w:r>
      <w:r w:rsidR="00711B64" w:rsidRPr="00711B64">
        <w:rPr>
          <w:rFonts w:cs="Times New Roman"/>
          <w:sz w:val="28"/>
          <w:szCs w:val="28"/>
        </w:rPr>
        <w:t xml:space="preserve">Финансовый рычаг (соотношение обязательств и собственных средств банка). </w:t>
      </w:r>
      <w:r w:rsidR="00366CBA">
        <w:rPr>
          <w:rFonts w:cs="Times New Roman"/>
          <w:sz w:val="28"/>
          <w:szCs w:val="28"/>
        </w:rPr>
        <w:t xml:space="preserve">Показатель финансового рычага равен 5,696 в 2019 г. и 2,900 в 2017 г. </w:t>
      </w:r>
      <w:r w:rsidR="00A74481">
        <w:rPr>
          <w:rFonts w:cs="Times New Roman"/>
          <w:sz w:val="28"/>
          <w:szCs w:val="28"/>
        </w:rPr>
        <w:t>Значения финансового рычага</w:t>
      </w:r>
      <w:r w:rsidR="00366CBA">
        <w:rPr>
          <w:rFonts w:cs="Times New Roman"/>
          <w:sz w:val="28"/>
          <w:szCs w:val="28"/>
        </w:rPr>
        <w:t xml:space="preserve"> за </w:t>
      </w:r>
      <w:r w:rsidR="00A74481">
        <w:rPr>
          <w:rFonts w:cs="Times New Roman"/>
          <w:sz w:val="28"/>
          <w:szCs w:val="28"/>
        </w:rPr>
        <w:t xml:space="preserve">два года показали положительный темп </w:t>
      </w:r>
      <w:r w:rsidR="00A74481">
        <w:rPr>
          <w:rFonts w:cs="Times New Roman"/>
          <w:sz w:val="28"/>
          <w:szCs w:val="28"/>
        </w:rPr>
        <w:lastRenderedPageBreak/>
        <w:t xml:space="preserve">прироста – 30,96% в 2019 г. и 50,00% в 2018 г. Заметна тенденция у </w:t>
      </w:r>
      <w:r w:rsidR="009B6A0B">
        <w:rPr>
          <w:rFonts w:cs="Times New Roman"/>
          <w:sz w:val="28"/>
          <w:szCs w:val="28"/>
        </w:rPr>
        <w:t>Банка</w:t>
      </w:r>
      <w:r w:rsidR="00A74481">
        <w:rPr>
          <w:rFonts w:cs="Times New Roman"/>
          <w:sz w:val="28"/>
          <w:szCs w:val="28"/>
        </w:rPr>
        <w:t xml:space="preserve"> в увеличении количества обязательств. </w:t>
      </w:r>
      <w:r w:rsidR="009B6A0B">
        <w:rPr>
          <w:rFonts w:cs="Times New Roman"/>
          <w:sz w:val="28"/>
          <w:szCs w:val="28"/>
        </w:rPr>
        <w:t xml:space="preserve">Что в свою очередь повысило рентабельность капитала за последние два года – на 21,04% в 2019 г. и 18,50% в 2018 г. </w:t>
      </w:r>
      <w:r w:rsidR="00540795">
        <w:rPr>
          <w:rFonts w:cs="Times New Roman"/>
          <w:sz w:val="28"/>
          <w:szCs w:val="28"/>
        </w:rPr>
        <w:t xml:space="preserve">К тому же высокое значение мгновенной ликвидности обеспечивает Банку высокую прочность при таком количестве </w:t>
      </w:r>
      <w:r w:rsidR="005220A8">
        <w:rPr>
          <w:rFonts w:cs="Times New Roman"/>
          <w:sz w:val="28"/>
          <w:szCs w:val="28"/>
        </w:rPr>
        <w:t>обязательств</w:t>
      </w:r>
      <w:r w:rsidR="00540795">
        <w:rPr>
          <w:rFonts w:cs="Times New Roman"/>
          <w:sz w:val="28"/>
          <w:szCs w:val="28"/>
        </w:rPr>
        <w:t>.</w:t>
      </w:r>
    </w:p>
    <w:p w14:paraId="401BCE10" w14:textId="77777777" w:rsidR="001C313B" w:rsidRDefault="00CA6DAD" w:rsidP="001C313B">
      <w:pPr>
        <w:contextualSpacing/>
        <w:jc w:val="both"/>
        <w:rPr>
          <w:rFonts w:cs="Times New Roman"/>
          <w:color w:val="808080" w:themeColor="background1" w:themeShade="80"/>
          <w:sz w:val="28"/>
          <w:szCs w:val="28"/>
        </w:rPr>
      </w:pPr>
      <w:r>
        <w:rPr>
          <w:rFonts w:cs="Times New Roman"/>
          <w:color w:val="808080" w:themeColor="background1" w:themeShade="80"/>
          <w:sz w:val="28"/>
          <w:szCs w:val="28"/>
        </w:rPr>
        <w:tab/>
      </w:r>
      <w:r w:rsidR="009B6A0B" w:rsidRPr="00CA6DAD">
        <w:rPr>
          <w:rFonts w:cs="Times New Roman"/>
          <w:sz w:val="28"/>
          <w:szCs w:val="28"/>
        </w:rPr>
        <w:t xml:space="preserve">Показатель мгновенной ликвидности у Банка стабильно очень высокий – 1,017 в 2019 г., 1,054 в 2018 г. и 0,984 в 2018 г. Что может говорить об не эффективном управлении свободными денежными. </w:t>
      </w:r>
      <w:r w:rsidRPr="00CA6DAD">
        <w:rPr>
          <w:rFonts w:cs="Times New Roman"/>
          <w:sz w:val="28"/>
          <w:szCs w:val="28"/>
        </w:rPr>
        <w:t>С другой стороны,</w:t>
      </w:r>
      <w:r w:rsidR="00ED5D5A" w:rsidRPr="00CA6DAD">
        <w:rPr>
          <w:rFonts w:cs="Times New Roman"/>
          <w:sz w:val="28"/>
          <w:szCs w:val="28"/>
        </w:rPr>
        <w:t xml:space="preserve"> это говорит о хорошем запасе прочности, что в такие нестабильные периоды как сейчас может оказаться полезным.</w:t>
      </w:r>
    </w:p>
    <w:p w14:paraId="2D01D0C7" w14:textId="46EFDEAB" w:rsidR="00CA6DAD" w:rsidRDefault="001C313B" w:rsidP="001C313B">
      <w:pPr>
        <w:contextualSpacing/>
        <w:jc w:val="both"/>
        <w:rPr>
          <w:rFonts w:cs="Times New Roman"/>
          <w:sz w:val="28"/>
          <w:szCs w:val="28"/>
        </w:rPr>
      </w:pPr>
      <w:r>
        <w:rPr>
          <w:rFonts w:cs="Times New Roman"/>
          <w:color w:val="808080" w:themeColor="background1" w:themeShade="80"/>
          <w:sz w:val="28"/>
          <w:szCs w:val="28"/>
        </w:rPr>
        <w:tab/>
      </w:r>
      <w:r w:rsidR="00CA6DAD">
        <w:rPr>
          <w:rFonts w:cs="Times New Roman"/>
          <w:sz w:val="28"/>
          <w:szCs w:val="28"/>
        </w:rPr>
        <w:t>Структура активов</w:t>
      </w:r>
      <w:r>
        <w:rPr>
          <w:rFonts w:cs="Times New Roman"/>
          <w:sz w:val="28"/>
          <w:szCs w:val="28"/>
        </w:rPr>
        <w:t xml:space="preserve"> в 2019 г выглядит таким образом: Денежные средства и их эквиваленты (84,97%), Счета и депозиты в банках (0,17%), Финансовые инструменты (0,06%), Инвестиционные ценные бумаги (4,43%) и Кредиты, выданные клиентам (10,01%). По сравнению с 2018 г. снизилось количество кредитов</w:t>
      </w:r>
      <w:r w:rsidR="006F6783">
        <w:rPr>
          <w:rFonts w:cs="Times New Roman"/>
          <w:sz w:val="28"/>
          <w:szCs w:val="28"/>
        </w:rPr>
        <w:t>,</w:t>
      </w:r>
      <w:r>
        <w:rPr>
          <w:rFonts w:cs="Times New Roman"/>
          <w:sz w:val="28"/>
          <w:szCs w:val="28"/>
        </w:rPr>
        <w:t xml:space="preserve"> </w:t>
      </w:r>
      <w:r w:rsidR="006F6783">
        <w:rPr>
          <w:rFonts w:cs="Times New Roman"/>
          <w:sz w:val="28"/>
          <w:szCs w:val="28"/>
        </w:rPr>
        <w:t>выданных клиентам на -30,09%.</w:t>
      </w:r>
      <w:r w:rsidR="00540795">
        <w:rPr>
          <w:rFonts w:cs="Times New Roman"/>
          <w:sz w:val="28"/>
          <w:szCs w:val="28"/>
        </w:rPr>
        <w:t xml:space="preserve"> Но снижение выданных кредитов пришлось на категорию «Требующих внимание», стоимость стандартных, не имеющих явного признака обесценения, характеризующая низкой степенью риска, практически не изменилось с 2018 г.</w:t>
      </w:r>
      <w:r w:rsidR="006F6783">
        <w:rPr>
          <w:rFonts w:cs="Times New Roman"/>
          <w:sz w:val="28"/>
          <w:szCs w:val="28"/>
        </w:rPr>
        <w:t xml:space="preserve"> При этом одним их самых доходных для Банка видов услуг является корпоративное банковское обслуживание. Кредиты, выданные клиентам за 2019 г</w:t>
      </w:r>
      <w:r w:rsidR="00B25F31">
        <w:rPr>
          <w:rFonts w:cs="Times New Roman"/>
          <w:sz w:val="28"/>
          <w:szCs w:val="28"/>
        </w:rPr>
        <w:t>.</w:t>
      </w:r>
      <w:r w:rsidR="006F6783">
        <w:rPr>
          <w:rFonts w:cs="Times New Roman"/>
          <w:sz w:val="28"/>
          <w:szCs w:val="28"/>
        </w:rPr>
        <w:t xml:space="preserve"> принесли 8 491 007 тыс</w:t>
      </w:r>
      <w:r w:rsidR="00B25F31">
        <w:rPr>
          <w:rFonts w:cs="Times New Roman"/>
          <w:sz w:val="28"/>
          <w:szCs w:val="28"/>
        </w:rPr>
        <w:t>.</w:t>
      </w:r>
      <w:r w:rsidR="006F6783">
        <w:rPr>
          <w:rFonts w:cs="Times New Roman"/>
          <w:sz w:val="28"/>
          <w:szCs w:val="28"/>
        </w:rPr>
        <w:t xml:space="preserve"> тенге процентного дохода.</w:t>
      </w:r>
      <w:r w:rsidR="00B25F31">
        <w:rPr>
          <w:rFonts w:cs="Times New Roman"/>
          <w:sz w:val="28"/>
          <w:szCs w:val="28"/>
        </w:rPr>
        <w:t xml:space="preserve"> Немалый доход принесли инвестиционные ценные бумаги – 7 067 245 тыс. тенге. Изменения в структуре активов могли бы увеличить рентабельность активов, которая в 2019 г. составила 4,1%. </w:t>
      </w:r>
      <w:r w:rsidR="00540795">
        <w:rPr>
          <w:rFonts w:cs="Times New Roman"/>
          <w:sz w:val="28"/>
          <w:szCs w:val="28"/>
        </w:rPr>
        <w:t>Д</w:t>
      </w:r>
      <w:r w:rsidR="00B25F31">
        <w:rPr>
          <w:rFonts w:cs="Times New Roman"/>
          <w:sz w:val="28"/>
          <w:szCs w:val="28"/>
        </w:rPr>
        <w:t xml:space="preserve">инамика </w:t>
      </w:r>
      <w:r w:rsidR="00B25F31">
        <w:rPr>
          <w:rFonts w:cs="Times New Roman"/>
          <w:sz w:val="28"/>
          <w:szCs w:val="28"/>
          <w:lang w:val="en-US"/>
        </w:rPr>
        <w:t>ROA</w:t>
      </w:r>
      <w:r w:rsidR="00B25F31" w:rsidRPr="00B25F31">
        <w:rPr>
          <w:rFonts w:cs="Times New Roman"/>
          <w:sz w:val="28"/>
          <w:szCs w:val="28"/>
        </w:rPr>
        <w:t xml:space="preserve"> </w:t>
      </w:r>
      <w:r w:rsidR="00B25F31">
        <w:rPr>
          <w:rFonts w:cs="Times New Roman"/>
          <w:sz w:val="28"/>
          <w:szCs w:val="28"/>
        </w:rPr>
        <w:t xml:space="preserve">за последние годы </w:t>
      </w:r>
      <w:r w:rsidR="00540795">
        <w:rPr>
          <w:rFonts w:cs="Times New Roman"/>
          <w:sz w:val="28"/>
          <w:szCs w:val="28"/>
        </w:rPr>
        <w:t>отрицательная</w:t>
      </w:r>
      <w:r w:rsidR="00B25F31">
        <w:rPr>
          <w:rFonts w:cs="Times New Roman"/>
          <w:sz w:val="28"/>
          <w:szCs w:val="28"/>
        </w:rPr>
        <w:t xml:space="preserve"> (рис. 1).</w:t>
      </w:r>
      <w:r w:rsidR="00316516">
        <w:rPr>
          <w:rFonts w:cs="Times New Roman"/>
          <w:sz w:val="28"/>
          <w:szCs w:val="28"/>
        </w:rPr>
        <w:t xml:space="preserve"> </w:t>
      </w:r>
    </w:p>
    <w:p w14:paraId="7B3E0FC6" w14:textId="16F00DFA" w:rsidR="00703F2D" w:rsidRDefault="00703F2D" w:rsidP="001C313B">
      <w:pPr>
        <w:contextualSpacing/>
        <w:jc w:val="both"/>
        <w:rPr>
          <w:rFonts w:cs="Times New Roman"/>
          <w:sz w:val="28"/>
          <w:szCs w:val="28"/>
        </w:rPr>
      </w:pPr>
    </w:p>
    <w:p w14:paraId="0B7F7C9E" w14:textId="5766036D" w:rsidR="00703F2D" w:rsidRDefault="004656EA" w:rsidP="004656EA">
      <w:pPr>
        <w:contextualSpacing/>
        <w:jc w:val="center"/>
        <w:rPr>
          <w:rFonts w:cs="Times New Roman"/>
          <w:sz w:val="28"/>
          <w:szCs w:val="28"/>
        </w:rPr>
      </w:pPr>
      <w:r>
        <w:rPr>
          <w:noProof/>
        </w:rPr>
        <w:lastRenderedPageBreak/>
        <w:drawing>
          <wp:inline distT="0" distB="0" distL="0" distR="0" wp14:anchorId="70DCF859" wp14:editId="4D318090">
            <wp:extent cx="4572000" cy="2743200"/>
            <wp:effectExtent l="0" t="0" r="0" b="0"/>
            <wp:docPr id="2" name="Диаграмма 2">
              <a:extLst xmlns:a="http://schemas.openxmlformats.org/drawingml/2006/main">
                <a:ext uri="{FF2B5EF4-FFF2-40B4-BE49-F238E27FC236}">
                  <a16:creationId xmlns:a16="http://schemas.microsoft.com/office/drawing/2014/main" id="{66F4C811-C9FE-4F08-97EB-0E100181FE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E526BE" w14:textId="40BD2C63" w:rsidR="00153A5B" w:rsidRDefault="00153A5B" w:rsidP="00153A5B">
      <w:pPr>
        <w:contextualSpacing/>
        <w:jc w:val="both"/>
        <w:rPr>
          <w:rFonts w:cs="Times New Roman"/>
          <w:sz w:val="28"/>
          <w:szCs w:val="28"/>
          <w:lang w:val="en-US"/>
        </w:rPr>
      </w:pPr>
      <w:r>
        <w:rPr>
          <w:rFonts w:cs="Times New Roman"/>
          <w:sz w:val="28"/>
          <w:szCs w:val="28"/>
        </w:rPr>
        <w:tab/>
        <w:t>Источник: построено автором на основе данных</w:t>
      </w:r>
      <w:r w:rsidRPr="00153A5B">
        <w:t xml:space="preserve"> </w:t>
      </w:r>
      <w:proofErr w:type="spellStart"/>
      <w:r w:rsidR="00EB68A4" w:rsidRPr="00EB68A4">
        <w:rPr>
          <w:rFonts w:cs="Times New Roman"/>
          <w:sz w:val="28"/>
          <w:szCs w:val="28"/>
        </w:rPr>
        <w:t>Аудированная</w:t>
      </w:r>
      <w:proofErr w:type="spellEnd"/>
      <w:r w:rsidR="00EB68A4" w:rsidRPr="00EB68A4">
        <w:rPr>
          <w:rFonts w:cs="Times New Roman"/>
          <w:sz w:val="28"/>
          <w:szCs w:val="28"/>
        </w:rPr>
        <w:t xml:space="preserve"> финансовая отчетность АО "Ситибанк Казахстан" за год, закончившийся 31 декабря 2019 года</w:t>
      </w:r>
      <w:r>
        <w:rPr>
          <w:rFonts w:cs="Times New Roman"/>
          <w:sz w:val="28"/>
          <w:szCs w:val="28"/>
        </w:rPr>
        <w:t xml:space="preserve">. </w:t>
      </w:r>
      <w:r>
        <w:rPr>
          <w:rFonts w:cs="Times New Roman"/>
          <w:sz w:val="28"/>
          <w:szCs w:val="28"/>
          <w:lang w:val="en-US"/>
        </w:rPr>
        <w:t>URL</w:t>
      </w:r>
      <w:r w:rsidRPr="00153A5B">
        <w:rPr>
          <w:rFonts w:cs="Times New Roman"/>
          <w:sz w:val="28"/>
          <w:szCs w:val="28"/>
          <w:lang w:val="en-US"/>
        </w:rPr>
        <w:t xml:space="preserve">: </w:t>
      </w:r>
      <w:r w:rsidRPr="00EB40D8">
        <w:rPr>
          <w:rFonts w:cs="Times New Roman"/>
          <w:sz w:val="28"/>
          <w:szCs w:val="28"/>
          <w:lang w:val="en-US"/>
        </w:rPr>
        <w:t>https://www.citibank.com/icg/sa/emea/kazakhstan/russian/assets/docs/Citibank_RUS_2019.pdf</w:t>
      </w:r>
    </w:p>
    <w:p w14:paraId="6EAE227C" w14:textId="728F2E03" w:rsidR="00153A5B" w:rsidRPr="00153A5B" w:rsidRDefault="00153A5B" w:rsidP="00153A5B">
      <w:pPr>
        <w:contextualSpacing/>
        <w:jc w:val="both"/>
        <w:rPr>
          <w:rFonts w:cs="Times New Roman"/>
          <w:sz w:val="28"/>
          <w:szCs w:val="28"/>
        </w:rPr>
      </w:pPr>
      <w:r w:rsidRPr="00153A5B">
        <w:rPr>
          <w:rFonts w:cs="Times New Roman"/>
          <w:sz w:val="28"/>
          <w:szCs w:val="28"/>
          <w:lang w:val="en-US"/>
        </w:rPr>
        <w:tab/>
      </w:r>
      <w:r>
        <w:rPr>
          <w:rFonts w:cs="Times New Roman"/>
          <w:sz w:val="28"/>
          <w:szCs w:val="28"/>
        </w:rPr>
        <w:t>Рисунок</w:t>
      </w:r>
      <w:r w:rsidRPr="00CD643D">
        <w:rPr>
          <w:rFonts w:cs="Times New Roman"/>
          <w:sz w:val="28"/>
          <w:szCs w:val="28"/>
        </w:rPr>
        <w:t xml:space="preserve"> 1.</w:t>
      </w:r>
      <w:r w:rsidRPr="00CD643D">
        <w:t xml:space="preserve"> </w:t>
      </w:r>
      <w:r w:rsidRPr="00153A5B">
        <w:rPr>
          <w:rFonts w:cs="Times New Roman"/>
          <w:sz w:val="28"/>
          <w:szCs w:val="28"/>
        </w:rPr>
        <w:t>Динамика рентабельности актива АО "Ситибанк Казахстан" 2017–2019 гг.</w:t>
      </w:r>
    </w:p>
    <w:p w14:paraId="20EB70FD" w14:textId="77777777" w:rsidR="00703F2D" w:rsidRDefault="00703F2D" w:rsidP="001C313B">
      <w:pPr>
        <w:contextualSpacing/>
        <w:jc w:val="both"/>
        <w:rPr>
          <w:rFonts w:cs="Times New Roman"/>
          <w:sz w:val="28"/>
          <w:szCs w:val="28"/>
        </w:rPr>
      </w:pPr>
    </w:p>
    <w:p w14:paraId="41FBBDE6" w14:textId="740214E4" w:rsidR="00316516" w:rsidRDefault="00316516" w:rsidP="001C313B">
      <w:pPr>
        <w:contextualSpacing/>
        <w:jc w:val="both"/>
        <w:rPr>
          <w:rFonts w:cs="Times New Roman"/>
          <w:sz w:val="28"/>
          <w:szCs w:val="28"/>
        </w:rPr>
      </w:pPr>
      <w:r>
        <w:rPr>
          <w:rFonts w:cs="Times New Roman"/>
          <w:sz w:val="28"/>
          <w:szCs w:val="28"/>
        </w:rPr>
        <w:tab/>
        <w:t>Инвестиционные ценные бумаги представлены Облигациями Министерства финансов Республики Казахстан и Нотами Национального банка Республики Казахстана (</w:t>
      </w:r>
      <w:r w:rsidR="0086105A">
        <w:rPr>
          <w:rFonts w:cs="Times New Roman"/>
          <w:sz w:val="28"/>
          <w:szCs w:val="28"/>
        </w:rPr>
        <w:t>таб</w:t>
      </w:r>
      <w:r>
        <w:rPr>
          <w:rFonts w:cs="Times New Roman"/>
          <w:sz w:val="28"/>
          <w:szCs w:val="28"/>
        </w:rPr>
        <w:t xml:space="preserve">. </w:t>
      </w:r>
      <w:r w:rsidR="0086105A" w:rsidRPr="0086105A">
        <w:rPr>
          <w:rFonts w:cs="Times New Roman"/>
          <w:sz w:val="28"/>
          <w:szCs w:val="28"/>
        </w:rPr>
        <w:t>1</w:t>
      </w:r>
      <w:r>
        <w:rPr>
          <w:rFonts w:cs="Times New Roman"/>
          <w:sz w:val="28"/>
          <w:szCs w:val="28"/>
        </w:rPr>
        <w:t>)</w:t>
      </w:r>
      <w:r w:rsidR="00AC05BE">
        <w:rPr>
          <w:rFonts w:cs="Times New Roman"/>
          <w:sz w:val="28"/>
          <w:szCs w:val="28"/>
        </w:rPr>
        <w:t xml:space="preserve"> </w:t>
      </w:r>
      <w:r w:rsidR="007B3520">
        <w:rPr>
          <w:rFonts w:cs="Times New Roman"/>
          <w:sz w:val="28"/>
          <w:szCs w:val="28"/>
        </w:rPr>
        <w:t>Ценные бумаги обладают малым кредитным риском.</w:t>
      </w:r>
    </w:p>
    <w:p w14:paraId="083962B7" w14:textId="512E21E3" w:rsidR="00703F2D" w:rsidRDefault="00703F2D" w:rsidP="001C313B">
      <w:pPr>
        <w:contextualSpacing/>
        <w:jc w:val="both"/>
        <w:rPr>
          <w:rFonts w:cs="Times New Roman"/>
          <w:sz w:val="28"/>
          <w:szCs w:val="28"/>
        </w:rPr>
      </w:pPr>
    </w:p>
    <w:p w14:paraId="71D6DA41" w14:textId="5A7FD2D1" w:rsidR="00153A5B" w:rsidRDefault="00153A5B" w:rsidP="001C313B">
      <w:pPr>
        <w:contextualSpacing/>
        <w:jc w:val="both"/>
        <w:rPr>
          <w:rFonts w:cs="Times New Roman"/>
          <w:sz w:val="28"/>
          <w:szCs w:val="28"/>
        </w:rPr>
      </w:pPr>
    </w:p>
    <w:p w14:paraId="74C788A5" w14:textId="25D21149" w:rsidR="00153A5B" w:rsidRDefault="00153A5B" w:rsidP="001C313B">
      <w:pPr>
        <w:contextualSpacing/>
        <w:jc w:val="both"/>
        <w:rPr>
          <w:rFonts w:cs="Times New Roman"/>
          <w:sz w:val="28"/>
          <w:szCs w:val="28"/>
        </w:rPr>
      </w:pPr>
    </w:p>
    <w:p w14:paraId="06EDF45D" w14:textId="71C45B44" w:rsidR="00153A5B" w:rsidRDefault="00153A5B" w:rsidP="001C313B">
      <w:pPr>
        <w:contextualSpacing/>
        <w:jc w:val="both"/>
        <w:rPr>
          <w:rFonts w:cs="Times New Roman"/>
          <w:sz w:val="28"/>
          <w:szCs w:val="28"/>
        </w:rPr>
      </w:pPr>
    </w:p>
    <w:p w14:paraId="14EE247C" w14:textId="0EFA685D" w:rsidR="00153A5B" w:rsidRDefault="00153A5B" w:rsidP="001C313B">
      <w:pPr>
        <w:contextualSpacing/>
        <w:jc w:val="both"/>
        <w:rPr>
          <w:rFonts w:cs="Times New Roman"/>
          <w:sz w:val="28"/>
          <w:szCs w:val="28"/>
        </w:rPr>
      </w:pPr>
    </w:p>
    <w:p w14:paraId="37827DEB" w14:textId="24257AD0" w:rsidR="00153A5B" w:rsidRDefault="00153A5B" w:rsidP="001C313B">
      <w:pPr>
        <w:contextualSpacing/>
        <w:jc w:val="both"/>
        <w:rPr>
          <w:rFonts w:cs="Times New Roman"/>
          <w:sz w:val="28"/>
          <w:szCs w:val="28"/>
        </w:rPr>
      </w:pPr>
    </w:p>
    <w:p w14:paraId="4CE53A41" w14:textId="1E84CC94" w:rsidR="00153A5B" w:rsidRDefault="00153A5B" w:rsidP="001C313B">
      <w:pPr>
        <w:contextualSpacing/>
        <w:jc w:val="both"/>
        <w:rPr>
          <w:rFonts w:cs="Times New Roman"/>
          <w:sz w:val="28"/>
          <w:szCs w:val="28"/>
        </w:rPr>
      </w:pPr>
    </w:p>
    <w:p w14:paraId="67A91691" w14:textId="77777777" w:rsidR="007C19F3" w:rsidRDefault="007C19F3" w:rsidP="001C313B">
      <w:pPr>
        <w:contextualSpacing/>
        <w:jc w:val="both"/>
        <w:rPr>
          <w:rFonts w:cs="Times New Roman"/>
          <w:sz w:val="28"/>
          <w:szCs w:val="28"/>
        </w:rPr>
      </w:pPr>
    </w:p>
    <w:p w14:paraId="02E4BB18" w14:textId="677DB893" w:rsidR="0086105A" w:rsidRDefault="00153A5B" w:rsidP="00153A5B">
      <w:pPr>
        <w:contextualSpacing/>
        <w:jc w:val="both"/>
        <w:rPr>
          <w:rFonts w:cs="Times New Roman"/>
          <w:sz w:val="28"/>
          <w:szCs w:val="28"/>
        </w:rPr>
      </w:pPr>
      <w:r>
        <w:rPr>
          <w:rFonts w:cs="Times New Roman"/>
          <w:sz w:val="28"/>
          <w:szCs w:val="28"/>
        </w:rPr>
        <w:lastRenderedPageBreak/>
        <w:tab/>
      </w:r>
      <w:r w:rsidR="0086105A">
        <w:rPr>
          <w:rFonts w:cs="Times New Roman"/>
          <w:sz w:val="28"/>
          <w:szCs w:val="28"/>
        </w:rPr>
        <w:t>Таблица 1.</w:t>
      </w:r>
      <w:r>
        <w:rPr>
          <w:rFonts w:cs="Times New Roman"/>
          <w:sz w:val="28"/>
          <w:szCs w:val="28"/>
        </w:rPr>
        <w:t xml:space="preserve"> Инвестиционные ценные бумаги АО «Ситибанк Казахстан» 2018–2019 гг.</w:t>
      </w:r>
    </w:p>
    <w:tbl>
      <w:tblPr>
        <w:tblW w:w="8180" w:type="dxa"/>
        <w:tblLook w:val="04A0" w:firstRow="1" w:lastRow="0" w:firstColumn="1" w:lastColumn="0" w:noHBand="0" w:noVBand="1"/>
      </w:tblPr>
      <w:tblGrid>
        <w:gridCol w:w="5000"/>
        <w:gridCol w:w="1622"/>
        <w:gridCol w:w="1522"/>
        <w:gridCol w:w="222"/>
      </w:tblGrid>
      <w:tr w:rsidR="004656EA" w:rsidRPr="004656EA" w14:paraId="610A6356" w14:textId="77777777" w:rsidTr="004656EA">
        <w:trPr>
          <w:gridAfter w:val="1"/>
          <w:wAfter w:w="36" w:type="dxa"/>
          <w:trHeight w:val="288"/>
        </w:trPr>
        <w:tc>
          <w:tcPr>
            <w:tcW w:w="5000" w:type="dxa"/>
            <w:tcBorders>
              <w:top w:val="nil"/>
              <w:left w:val="nil"/>
              <w:bottom w:val="nil"/>
              <w:right w:val="nil"/>
            </w:tcBorders>
            <w:shd w:val="clear" w:color="auto" w:fill="auto"/>
            <w:noWrap/>
            <w:vAlign w:val="bottom"/>
            <w:hideMark/>
          </w:tcPr>
          <w:p w14:paraId="5298353C" w14:textId="77777777" w:rsidR="004656EA" w:rsidRPr="004656EA" w:rsidRDefault="004656EA" w:rsidP="004656EA">
            <w:pPr>
              <w:spacing w:line="240" w:lineRule="auto"/>
              <w:jc w:val="center"/>
              <w:rPr>
                <w:rFonts w:eastAsia="Times New Roman" w:cs="Times New Roman"/>
                <w:szCs w:val="24"/>
                <w:lang w:eastAsia="ru-RU"/>
              </w:rPr>
            </w:pPr>
          </w:p>
        </w:tc>
        <w:tc>
          <w:tcPr>
            <w:tcW w:w="1622" w:type="dxa"/>
            <w:vMerge w:val="restart"/>
            <w:tcBorders>
              <w:top w:val="nil"/>
              <w:left w:val="nil"/>
              <w:bottom w:val="single" w:sz="4" w:space="0" w:color="000000"/>
              <w:right w:val="nil"/>
            </w:tcBorders>
            <w:shd w:val="clear" w:color="auto" w:fill="auto"/>
            <w:vAlign w:val="bottom"/>
            <w:hideMark/>
          </w:tcPr>
          <w:p w14:paraId="343F31AA" w14:textId="77777777" w:rsidR="004656EA" w:rsidRPr="004656EA" w:rsidRDefault="004656EA" w:rsidP="004656EA">
            <w:pPr>
              <w:spacing w:line="240" w:lineRule="auto"/>
              <w:jc w:val="center"/>
              <w:rPr>
                <w:rFonts w:eastAsia="Times New Roman" w:cs="Times New Roman"/>
                <w:color w:val="000000"/>
                <w:sz w:val="22"/>
                <w:lang w:eastAsia="ru-RU"/>
              </w:rPr>
            </w:pPr>
            <w:r w:rsidRPr="004656EA">
              <w:rPr>
                <w:rFonts w:eastAsia="Times New Roman" w:cs="Times New Roman"/>
                <w:color w:val="000000"/>
                <w:sz w:val="22"/>
                <w:lang w:eastAsia="ru-RU"/>
              </w:rPr>
              <w:t>2019 г. тыс. тенге</w:t>
            </w:r>
          </w:p>
        </w:tc>
        <w:tc>
          <w:tcPr>
            <w:tcW w:w="1522" w:type="dxa"/>
            <w:vMerge w:val="restart"/>
            <w:tcBorders>
              <w:top w:val="nil"/>
              <w:left w:val="nil"/>
              <w:bottom w:val="single" w:sz="4" w:space="0" w:color="000000"/>
              <w:right w:val="nil"/>
            </w:tcBorders>
            <w:shd w:val="clear" w:color="auto" w:fill="auto"/>
            <w:vAlign w:val="bottom"/>
            <w:hideMark/>
          </w:tcPr>
          <w:p w14:paraId="77610BB0" w14:textId="77777777" w:rsidR="004656EA" w:rsidRPr="004656EA" w:rsidRDefault="004656EA" w:rsidP="004656EA">
            <w:pPr>
              <w:spacing w:line="240" w:lineRule="auto"/>
              <w:jc w:val="center"/>
              <w:rPr>
                <w:rFonts w:eastAsia="Times New Roman" w:cs="Times New Roman"/>
                <w:color w:val="000000"/>
                <w:sz w:val="22"/>
                <w:lang w:eastAsia="ru-RU"/>
              </w:rPr>
            </w:pPr>
            <w:r w:rsidRPr="004656EA">
              <w:rPr>
                <w:rFonts w:eastAsia="Times New Roman" w:cs="Times New Roman"/>
                <w:color w:val="000000"/>
                <w:sz w:val="22"/>
                <w:lang w:eastAsia="ru-RU"/>
              </w:rPr>
              <w:t>2018 г. тыс. тенге</w:t>
            </w:r>
          </w:p>
        </w:tc>
      </w:tr>
      <w:tr w:rsidR="004656EA" w:rsidRPr="004656EA" w14:paraId="530EE407" w14:textId="77777777" w:rsidTr="004656EA">
        <w:trPr>
          <w:gridAfter w:val="1"/>
          <w:wAfter w:w="36" w:type="dxa"/>
          <w:trHeight w:val="288"/>
        </w:trPr>
        <w:tc>
          <w:tcPr>
            <w:tcW w:w="5000" w:type="dxa"/>
            <w:tcBorders>
              <w:top w:val="nil"/>
              <w:left w:val="nil"/>
              <w:bottom w:val="nil"/>
              <w:right w:val="nil"/>
            </w:tcBorders>
            <w:shd w:val="clear" w:color="auto" w:fill="auto"/>
            <w:noWrap/>
            <w:vAlign w:val="bottom"/>
            <w:hideMark/>
          </w:tcPr>
          <w:p w14:paraId="6691B295" w14:textId="77777777" w:rsidR="004656EA" w:rsidRPr="004656EA" w:rsidRDefault="004656EA" w:rsidP="004656EA">
            <w:pPr>
              <w:spacing w:line="240" w:lineRule="auto"/>
              <w:jc w:val="center"/>
              <w:rPr>
                <w:rFonts w:eastAsia="Times New Roman" w:cs="Times New Roman"/>
                <w:color w:val="000000"/>
                <w:sz w:val="22"/>
                <w:lang w:eastAsia="ru-RU"/>
              </w:rPr>
            </w:pPr>
          </w:p>
        </w:tc>
        <w:tc>
          <w:tcPr>
            <w:tcW w:w="1622" w:type="dxa"/>
            <w:vMerge/>
            <w:tcBorders>
              <w:top w:val="nil"/>
              <w:left w:val="nil"/>
              <w:bottom w:val="single" w:sz="4" w:space="0" w:color="000000"/>
              <w:right w:val="nil"/>
            </w:tcBorders>
            <w:vAlign w:val="center"/>
            <w:hideMark/>
          </w:tcPr>
          <w:p w14:paraId="7E7CDDE2" w14:textId="77777777" w:rsidR="004656EA" w:rsidRPr="004656EA" w:rsidRDefault="004656EA" w:rsidP="004656EA">
            <w:pPr>
              <w:spacing w:line="240" w:lineRule="auto"/>
              <w:jc w:val="center"/>
              <w:rPr>
                <w:rFonts w:eastAsia="Times New Roman" w:cs="Times New Roman"/>
                <w:color w:val="000000"/>
                <w:sz w:val="22"/>
                <w:lang w:eastAsia="ru-RU"/>
              </w:rPr>
            </w:pPr>
          </w:p>
        </w:tc>
        <w:tc>
          <w:tcPr>
            <w:tcW w:w="1522" w:type="dxa"/>
            <w:vMerge/>
            <w:tcBorders>
              <w:top w:val="nil"/>
              <w:left w:val="nil"/>
              <w:bottom w:val="single" w:sz="4" w:space="0" w:color="000000"/>
              <w:right w:val="nil"/>
            </w:tcBorders>
            <w:vAlign w:val="center"/>
            <w:hideMark/>
          </w:tcPr>
          <w:p w14:paraId="17592C8D" w14:textId="77777777" w:rsidR="004656EA" w:rsidRPr="004656EA" w:rsidRDefault="004656EA" w:rsidP="004656EA">
            <w:pPr>
              <w:spacing w:line="240" w:lineRule="auto"/>
              <w:jc w:val="center"/>
              <w:rPr>
                <w:rFonts w:eastAsia="Times New Roman" w:cs="Times New Roman"/>
                <w:color w:val="000000"/>
                <w:sz w:val="22"/>
                <w:lang w:eastAsia="ru-RU"/>
              </w:rPr>
            </w:pPr>
          </w:p>
        </w:tc>
      </w:tr>
      <w:tr w:rsidR="004656EA" w:rsidRPr="004656EA" w14:paraId="4B60A2E8" w14:textId="77777777" w:rsidTr="004656EA">
        <w:trPr>
          <w:gridAfter w:val="1"/>
          <w:wAfter w:w="36" w:type="dxa"/>
          <w:trHeight w:val="414"/>
        </w:trPr>
        <w:tc>
          <w:tcPr>
            <w:tcW w:w="5000" w:type="dxa"/>
            <w:vMerge w:val="restart"/>
            <w:tcBorders>
              <w:top w:val="nil"/>
              <w:left w:val="nil"/>
              <w:bottom w:val="nil"/>
              <w:right w:val="nil"/>
            </w:tcBorders>
            <w:shd w:val="clear" w:color="auto" w:fill="auto"/>
            <w:vAlign w:val="bottom"/>
            <w:hideMark/>
          </w:tcPr>
          <w:p w14:paraId="7D4ED354" w14:textId="77777777" w:rsidR="004656EA" w:rsidRPr="004656EA" w:rsidRDefault="004656EA" w:rsidP="004656EA">
            <w:pPr>
              <w:spacing w:line="240" w:lineRule="auto"/>
              <w:rPr>
                <w:rFonts w:eastAsia="Times New Roman" w:cs="Times New Roman"/>
                <w:b/>
                <w:bCs/>
                <w:color w:val="000000"/>
                <w:sz w:val="22"/>
                <w:lang w:eastAsia="ru-RU"/>
              </w:rPr>
            </w:pPr>
            <w:r w:rsidRPr="004656EA">
              <w:rPr>
                <w:rFonts w:eastAsia="Times New Roman" w:cs="Times New Roman"/>
                <w:b/>
                <w:bCs/>
                <w:color w:val="000000"/>
                <w:sz w:val="22"/>
                <w:lang w:eastAsia="ru-RU"/>
              </w:rPr>
              <w:t>Инвестиционные ценные бумаги, оцениваемые по справедливой стоимости через прочий совокупный доход</w:t>
            </w:r>
          </w:p>
        </w:tc>
        <w:tc>
          <w:tcPr>
            <w:tcW w:w="1622" w:type="dxa"/>
            <w:vMerge w:val="restart"/>
            <w:tcBorders>
              <w:top w:val="nil"/>
              <w:left w:val="nil"/>
              <w:bottom w:val="nil"/>
              <w:right w:val="nil"/>
            </w:tcBorders>
            <w:shd w:val="clear" w:color="auto" w:fill="auto"/>
            <w:noWrap/>
            <w:vAlign w:val="bottom"/>
            <w:hideMark/>
          </w:tcPr>
          <w:p w14:paraId="540E4835" w14:textId="77777777" w:rsidR="004656EA" w:rsidRPr="004656EA" w:rsidRDefault="004656EA" w:rsidP="004656EA">
            <w:pPr>
              <w:spacing w:line="240" w:lineRule="auto"/>
              <w:jc w:val="center"/>
              <w:rPr>
                <w:rFonts w:eastAsia="Times New Roman" w:cs="Times New Roman"/>
                <w:b/>
                <w:bCs/>
                <w:color w:val="000000"/>
                <w:sz w:val="22"/>
                <w:lang w:eastAsia="ru-RU"/>
              </w:rPr>
            </w:pPr>
          </w:p>
        </w:tc>
        <w:tc>
          <w:tcPr>
            <w:tcW w:w="1522" w:type="dxa"/>
            <w:vMerge w:val="restart"/>
            <w:tcBorders>
              <w:top w:val="nil"/>
              <w:left w:val="nil"/>
              <w:bottom w:val="nil"/>
              <w:right w:val="nil"/>
            </w:tcBorders>
            <w:shd w:val="clear" w:color="auto" w:fill="auto"/>
            <w:noWrap/>
            <w:vAlign w:val="bottom"/>
            <w:hideMark/>
          </w:tcPr>
          <w:p w14:paraId="42F4FB7C" w14:textId="77777777" w:rsidR="004656EA" w:rsidRPr="004656EA" w:rsidRDefault="004656EA" w:rsidP="004656EA">
            <w:pPr>
              <w:spacing w:line="240" w:lineRule="auto"/>
              <w:jc w:val="center"/>
              <w:rPr>
                <w:rFonts w:eastAsia="Times New Roman" w:cs="Times New Roman"/>
                <w:sz w:val="20"/>
                <w:szCs w:val="20"/>
                <w:lang w:eastAsia="ru-RU"/>
              </w:rPr>
            </w:pPr>
          </w:p>
        </w:tc>
      </w:tr>
      <w:tr w:rsidR="004656EA" w:rsidRPr="004656EA" w14:paraId="7FD136D5" w14:textId="77777777" w:rsidTr="004656EA">
        <w:trPr>
          <w:trHeight w:val="288"/>
        </w:trPr>
        <w:tc>
          <w:tcPr>
            <w:tcW w:w="5000" w:type="dxa"/>
            <w:vMerge/>
            <w:tcBorders>
              <w:top w:val="nil"/>
              <w:left w:val="nil"/>
              <w:bottom w:val="nil"/>
              <w:right w:val="nil"/>
            </w:tcBorders>
            <w:vAlign w:val="center"/>
            <w:hideMark/>
          </w:tcPr>
          <w:p w14:paraId="55567679" w14:textId="77777777" w:rsidR="004656EA" w:rsidRPr="004656EA" w:rsidRDefault="004656EA" w:rsidP="004656EA">
            <w:pPr>
              <w:spacing w:line="240" w:lineRule="auto"/>
              <w:rPr>
                <w:rFonts w:eastAsia="Times New Roman" w:cs="Times New Roman"/>
                <w:b/>
                <w:bCs/>
                <w:color w:val="000000"/>
                <w:sz w:val="22"/>
                <w:lang w:eastAsia="ru-RU"/>
              </w:rPr>
            </w:pPr>
          </w:p>
        </w:tc>
        <w:tc>
          <w:tcPr>
            <w:tcW w:w="1622" w:type="dxa"/>
            <w:vMerge/>
            <w:tcBorders>
              <w:top w:val="nil"/>
              <w:left w:val="nil"/>
              <w:bottom w:val="nil"/>
              <w:right w:val="nil"/>
            </w:tcBorders>
            <w:vAlign w:val="center"/>
            <w:hideMark/>
          </w:tcPr>
          <w:p w14:paraId="710BD1C7" w14:textId="77777777" w:rsidR="004656EA" w:rsidRPr="004656EA" w:rsidRDefault="004656EA" w:rsidP="004656EA">
            <w:pPr>
              <w:spacing w:line="240" w:lineRule="auto"/>
              <w:jc w:val="center"/>
              <w:rPr>
                <w:rFonts w:eastAsia="Times New Roman" w:cs="Times New Roman"/>
                <w:b/>
                <w:bCs/>
                <w:color w:val="000000"/>
                <w:sz w:val="22"/>
                <w:lang w:eastAsia="ru-RU"/>
              </w:rPr>
            </w:pPr>
          </w:p>
        </w:tc>
        <w:tc>
          <w:tcPr>
            <w:tcW w:w="1522" w:type="dxa"/>
            <w:vMerge/>
            <w:tcBorders>
              <w:top w:val="nil"/>
              <w:left w:val="nil"/>
              <w:bottom w:val="nil"/>
              <w:right w:val="nil"/>
            </w:tcBorders>
            <w:vAlign w:val="center"/>
            <w:hideMark/>
          </w:tcPr>
          <w:p w14:paraId="6D7BA69E" w14:textId="77777777" w:rsidR="004656EA" w:rsidRPr="004656EA" w:rsidRDefault="004656EA" w:rsidP="004656EA">
            <w:pPr>
              <w:spacing w:line="240" w:lineRule="auto"/>
              <w:jc w:val="center"/>
              <w:rPr>
                <w:rFonts w:eastAsia="Times New Roman" w:cs="Times New Roman"/>
                <w:sz w:val="20"/>
                <w:szCs w:val="20"/>
                <w:lang w:eastAsia="ru-RU"/>
              </w:rPr>
            </w:pPr>
          </w:p>
        </w:tc>
        <w:tc>
          <w:tcPr>
            <w:tcW w:w="36" w:type="dxa"/>
            <w:tcBorders>
              <w:top w:val="nil"/>
              <w:left w:val="nil"/>
              <w:bottom w:val="nil"/>
              <w:right w:val="nil"/>
            </w:tcBorders>
            <w:shd w:val="clear" w:color="auto" w:fill="auto"/>
            <w:noWrap/>
            <w:vAlign w:val="bottom"/>
            <w:hideMark/>
          </w:tcPr>
          <w:p w14:paraId="3BB3E7D2" w14:textId="77777777" w:rsidR="004656EA" w:rsidRPr="004656EA" w:rsidRDefault="004656EA" w:rsidP="004656EA">
            <w:pPr>
              <w:spacing w:line="240" w:lineRule="auto"/>
              <w:jc w:val="center"/>
              <w:rPr>
                <w:rFonts w:eastAsia="Times New Roman" w:cs="Times New Roman"/>
                <w:sz w:val="20"/>
                <w:szCs w:val="20"/>
                <w:lang w:eastAsia="ru-RU"/>
              </w:rPr>
            </w:pPr>
          </w:p>
        </w:tc>
      </w:tr>
      <w:tr w:rsidR="004656EA" w:rsidRPr="004656EA" w14:paraId="0D6E74D3" w14:textId="77777777" w:rsidTr="004656EA">
        <w:trPr>
          <w:trHeight w:val="288"/>
        </w:trPr>
        <w:tc>
          <w:tcPr>
            <w:tcW w:w="5000" w:type="dxa"/>
            <w:vMerge/>
            <w:tcBorders>
              <w:top w:val="nil"/>
              <w:left w:val="nil"/>
              <w:bottom w:val="nil"/>
              <w:right w:val="nil"/>
            </w:tcBorders>
            <w:vAlign w:val="center"/>
            <w:hideMark/>
          </w:tcPr>
          <w:p w14:paraId="18317787" w14:textId="77777777" w:rsidR="004656EA" w:rsidRPr="004656EA" w:rsidRDefault="004656EA" w:rsidP="004656EA">
            <w:pPr>
              <w:spacing w:line="240" w:lineRule="auto"/>
              <w:rPr>
                <w:rFonts w:eastAsia="Times New Roman" w:cs="Times New Roman"/>
                <w:b/>
                <w:bCs/>
                <w:color w:val="000000"/>
                <w:sz w:val="22"/>
                <w:lang w:eastAsia="ru-RU"/>
              </w:rPr>
            </w:pPr>
          </w:p>
        </w:tc>
        <w:tc>
          <w:tcPr>
            <w:tcW w:w="1622" w:type="dxa"/>
            <w:vMerge/>
            <w:tcBorders>
              <w:top w:val="nil"/>
              <w:left w:val="nil"/>
              <w:bottom w:val="nil"/>
              <w:right w:val="nil"/>
            </w:tcBorders>
            <w:vAlign w:val="center"/>
            <w:hideMark/>
          </w:tcPr>
          <w:p w14:paraId="3CC32A1E" w14:textId="77777777" w:rsidR="004656EA" w:rsidRPr="004656EA" w:rsidRDefault="004656EA" w:rsidP="004656EA">
            <w:pPr>
              <w:spacing w:line="240" w:lineRule="auto"/>
              <w:jc w:val="center"/>
              <w:rPr>
                <w:rFonts w:eastAsia="Times New Roman" w:cs="Times New Roman"/>
                <w:b/>
                <w:bCs/>
                <w:color w:val="000000"/>
                <w:sz w:val="22"/>
                <w:lang w:eastAsia="ru-RU"/>
              </w:rPr>
            </w:pPr>
          </w:p>
        </w:tc>
        <w:tc>
          <w:tcPr>
            <w:tcW w:w="1522" w:type="dxa"/>
            <w:vMerge/>
            <w:tcBorders>
              <w:top w:val="nil"/>
              <w:left w:val="nil"/>
              <w:bottom w:val="nil"/>
              <w:right w:val="nil"/>
            </w:tcBorders>
            <w:vAlign w:val="center"/>
            <w:hideMark/>
          </w:tcPr>
          <w:p w14:paraId="2633A3F5" w14:textId="77777777" w:rsidR="004656EA" w:rsidRPr="004656EA" w:rsidRDefault="004656EA" w:rsidP="004656EA">
            <w:pPr>
              <w:spacing w:line="240" w:lineRule="auto"/>
              <w:jc w:val="center"/>
              <w:rPr>
                <w:rFonts w:eastAsia="Times New Roman" w:cs="Times New Roman"/>
                <w:sz w:val="20"/>
                <w:szCs w:val="20"/>
                <w:lang w:eastAsia="ru-RU"/>
              </w:rPr>
            </w:pPr>
          </w:p>
        </w:tc>
        <w:tc>
          <w:tcPr>
            <w:tcW w:w="36" w:type="dxa"/>
            <w:tcBorders>
              <w:top w:val="nil"/>
              <w:left w:val="nil"/>
              <w:bottom w:val="nil"/>
              <w:right w:val="nil"/>
            </w:tcBorders>
            <w:shd w:val="clear" w:color="auto" w:fill="auto"/>
            <w:noWrap/>
            <w:vAlign w:val="bottom"/>
            <w:hideMark/>
          </w:tcPr>
          <w:p w14:paraId="2625A66D" w14:textId="77777777" w:rsidR="004656EA" w:rsidRPr="004656EA" w:rsidRDefault="004656EA" w:rsidP="004656EA">
            <w:pPr>
              <w:spacing w:line="240" w:lineRule="auto"/>
              <w:jc w:val="center"/>
              <w:rPr>
                <w:rFonts w:eastAsia="Times New Roman" w:cs="Times New Roman"/>
                <w:sz w:val="20"/>
                <w:szCs w:val="20"/>
                <w:lang w:eastAsia="ru-RU"/>
              </w:rPr>
            </w:pPr>
          </w:p>
        </w:tc>
      </w:tr>
      <w:tr w:rsidR="004656EA" w:rsidRPr="004656EA" w14:paraId="1CF44774" w14:textId="77777777" w:rsidTr="004656EA">
        <w:trPr>
          <w:trHeight w:val="288"/>
        </w:trPr>
        <w:tc>
          <w:tcPr>
            <w:tcW w:w="5000" w:type="dxa"/>
            <w:vMerge w:val="restart"/>
            <w:tcBorders>
              <w:top w:val="nil"/>
              <w:left w:val="nil"/>
              <w:bottom w:val="nil"/>
              <w:right w:val="nil"/>
            </w:tcBorders>
            <w:shd w:val="clear" w:color="auto" w:fill="auto"/>
            <w:vAlign w:val="bottom"/>
            <w:hideMark/>
          </w:tcPr>
          <w:p w14:paraId="6184723B" w14:textId="77777777" w:rsidR="004656EA" w:rsidRPr="004656EA" w:rsidRDefault="004656EA" w:rsidP="004656EA">
            <w:pPr>
              <w:spacing w:line="240" w:lineRule="auto"/>
              <w:rPr>
                <w:rFonts w:eastAsia="Times New Roman" w:cs="Times New Roman"/>
                <w:color w:val="000000"/>
                <w:sz w:val="22"/>
                <w:lang w:eastAsia="ru-RU"/>
              </w:rPr>
            </w:pPr>
            <w:r w:rsidRPr="004656EA">
              <w:rPr>
                <w:rFonts w:eastAsia="Times New Roman" w:cs="Times New Roman"/>
                <w:color w:val="000000"/>
                <w:sz w:val="22"/>
                <w:lang w:eastAsia="ru-RU"/>
              </w:rPr>
              <w:t>Облигации Министерства финансов Республики Казахстан (страновой суверенный рейтинг: BBB-)</w:t>
            </w:r>
          </w:p>
        </w:tc>
        <w:tc>
          <w:tcPr>
            <w:tcW w:w="1622" w:type="dxa"/>
            <w:vMerge w:val="restart"/>
            <w:tcBorders>
              <w:top w:val="nil"/>
              <w:left w:val="nil"/>
              <w:bottom w:val="nil"/>
              <w:right w:val="nil"/>
            </w:tcBorders>
            <w:shd w:val="clear" w:color="auto" w:fill="auto"/>
            <w:noWrap/>
            <w:vAlign w:val="bottom"/>
            <w:hideMark/>
          </w:tcPr>
          <w:p w14:paraId="311F2863" w14:textId="65B35852" w:rsidR="004656EA" w:rsidRPr="004656EA" w:rsidRDefault="004656EA" w:rsidP="004656EA">
            <w:pPr>
              <w:spacing w:line="240" w:lineRule="auto"/>
              <w:jc w:val="center"/>
              <w:rPr>
                <w:rFonts w:eastAsia="Times New Roman" w:cs="Times New Roman"/>
                <w:color w:val="000000"/>
                <w:sz w:val="22"/>
                <w:lang w:eastAsia="ru-RU"/>
              </w:rPr>
            </w:pPr>
            <w:r w:rsidRPr="004656EA">
              <w:rPr>
                <w:rFonts w:eastAsia="Times New Roman" w:cs="Times New Roman"/>
                <w:color w:val="000000"/>
                <w:sz w:val="22"/>
                <w:lang w:eastAsia="ru-RU"/>
              </w:rPr>
              <w:t>10 985 843</w:t>
            </w:r>
          </w:p>
        </w:tc>
        <w:tc>
          <w:tcPr>
            <w:tcW w:w="1522" w:type="dxa"/>
            <w:vMerge w:val="restart"/>
            <w:tcBorders>
              <w:top w:val="nil"/>
              <w:left w:val="nil"/>
              <w:bottom w:val="nil"/>
              <w:right w:val="nil"/>
            </w:tcBorders>
            <w:shd w:val="clear" w:color="auto" w:fill="auto"/>
            <w:noWrap/>
            <w:vAlign w:val="bottom"/>
            <w:hideMark/>
          </w:tcPr>
          <w:p w14:paraId="135D2779" w14:textId="18A27CC4" w:rsidR="004656EA" w:rsidRPr="004656EA" w:rsidRDefault="004656EA" w:rsidP="004656EA">
            <w:pPr>
              <w:spacing w:line="240" w:lineRule="auto"/>
              <w:jc w:val="center"/>
              <w:rPr>
                <w:rFonts w:eastAsia="Times New Roman" w:cs="Times New Roman"/>
                <w:color w:val="000000"/>
                <w:sz w:val="22"/>
                <w:lang w:eastAsia="ru-RU"/>
              </w:rPr>
            </w:pPr>
            <w:r w:rsidRPr="004656EA">
              <w:rPr>
                <w:rFonts w:eastAsia="Times New Roman" w:cs="Times New Roman"/>
                <w:color w:val="000000"/>
                <w:sz w:val="22"/>
                <w:lang w:eastAsia="ru-RU"/>
              </w:rPr>
              <w:t>9 970 545</w:t>
            </w:r>
          </w:p>
        </w:tc>
        <w:tc>
          <w:tcPr>
            <w:tcW w:w="36" w:type="dxa"/>
            <w:vAlign w:val="center"/>
            <w:hideMark/>
          </w:tcPr>
          <w:p w14:paraId="77C007B3" w14:textId="77777777" w:rsidR="004656EA" w:rsidRPr="004656EA" w:rsidRDefault="004656EA" w:rsidP="004656EA">
            <w:pPr>
              <w:spacing w:line="240" w:lineRule="auto"/>
              <w:jc w:val="center"/>
              <w:rPr>
                <w:rFonts w:eastAsia="Times New Roman" w:cs="Times New Roman"/>
                <w:sz w:val="20"/>
                <w:szCs w:val="20"/>
                <w:lang w:eastAsia="ru-RU"/>
              </w:rPr>
            </w:pPr>
          </w:p>
        </w:tc>
      </w:tr>
      <w:tr w:rsidR="004656EA" w:rsidRPr="004656EA" w14:paraId="3518C94F" w14:textId="77777777" w:rsidTr="004656EA">
        <w:trPr>
          <w:trHeight w:val="288"/>
        </w:trPr>
        <w:tc>
          <w:tcPr>
            <w:tcW w:w="5000" w:type="dxa"/>
            <w:vMerge/>
            <w:tcBorders>
              <w:top w:val="nil"/>
              <w:left w:val="nil"/>
              <w:bottom w:val="nil"/>
              <w:right w:val="nil"/>
            </w:tcBorders>
            <w:vAlign w:val="center"/>
            <w:hideMark/>
          </w:tcPr>
          <w:p w14:paraId="6265F67E" w14:textId="77777777" w:rsidR="004656EA" w:rsidRPr="004656EA" w:rsidRDefault="004656EA" w:rsidP="004656EA">
            <w:pPr>
              <w:spacing w:line="240" w:lineRule="auto"/>
              <w:rPr>
                <w:rFonts w:eastAsia="Times New Roman" w:cs="Times New Roman"/>
                <w:color w:val="000000"/>
                <w:sz w:val="22"/>
                <w:lang w:eastAsia="ru-RU"/>
              </w:rPr>
            </w:pPr>
          </w:p>
        </w:tc>
        <w:tc>
          <w:tcPr>
            <w:tcW w:w="1622" w:type="dxa"/>
            <w:vMerge/>
            <w:tcBorders>
              <w:top w:val="nil"/>
              <w:left w:val="nil"/>
              <w:bottom w:val="nil"/>
              <w:right w:val="nil"/>
            </w:tcBorders>
            <w:vAlign w:val="center"/>
            <w:hideMark/>
          </w:tcPr>
          <w:p w14:paraId="7CAE394E" w14:textId="77777777" w:rsidR="004656EA" w:rsidRPr="004656EA" w:rsidRDefault="004656EA" w:rsidP="004656EA">
            <w:pPr>
              <w:spacing w:line="240" w:lineRule="auto"/>
              <w:jc w:val="center"/>
              <w:rPr>
                <w:rFonts w:eastAsia="Times New Roman" w:cs="Times New Roman"/>
                <w:color w:val="000000"/>
                <w:sz w:val="22"/>
                <w:lang w:eastAsia="ru-RU"/>
              </w:rPr>
            </w:pPr>
          </w:p>
        </w:tc>
        <w:tc>
          <w:tcPr>
            <w:tcW w:w="1522" w:type="dxa"/>
            <w:vMerge/>
            <w:tcBorders>
              <w:top w:val="nil"/>
              <w:left w:val="nil"/>
              <w:bottom w:val="nil"/>
              <w:right w:val="nil"/>
            </w:tcBorders>
            <w:vAlign w:val="center"/>
            <w:hideMark/>
          </w:tcPr>
          <w:p w14:paraId="42D95701" w14:textId="77777777" w:rsidR="004656EA" w:rsidRPr="004656EA" w:rsidRDefault="004656EA" w:rsidP="004656EA">
            <w:pPr>
              <w:spacing w:line="240" w:lineRule="auto"/>
              <w:jc w:val="center"/>
              <w:rPr>
                <w:rFonts w:eastAsia="Times New Roman" w:cs="Times New Roman"/>
                <w:color w:val="000000"/>
                <w:sz w:val="22"/>
                <w:lang w:eastAsia="ru-RU"/>
              </w:rPr>
            </w:pPr>
          </w:p>
        </w:tc>
        <w:tc>
          <w:tcPr>
            <w:tcW w:w="36" w:type="dxa"/>
            <w:tcBorders>
              <w:top w:val="nil"/>
              <w:left w:val="nil"/>
              <w:bottom w:val="nil"/>
              <w:right w:val="nil"/>
            </w:tcBorders>
            <w:shd w:val="clear" w:color="auto" w:fill="auto"/>
            <w:noWrap/>
            <w:vAlign w:val="bottom"/>
            <w:hideMark/>
          </w:tcPr>
          <w:p w14:paraId="26EB89F8" w14:textId="77777777" w:rsidR="004656EA" w:rsidRPr="004656EA" w:rsidRDefault="004656EA" w:rsidP="004656EA">
            <w:pPr>
              <w:spacing w:line="240" w:lineRule="auto"/>
              <w:jc w:val="center"/>
              <w:rPr>
                <w:rFonts w:eastAsia="Times New Roman" w:cs="Times New Roman"/>
                <w:color w:val="000000"/>
                <w:sz w:val="22"/>
                <w:lang w:eastAsia="ru-RU"/>
              </w:rPr>
            </w:pPr>
          </w:p>
        </w:tc>
      </w:tr>
      <w:tr w:rsidR="004656EA" w:rsidRPr="004656EA" w14:paraId="644ECCCC" w14:textId="77777777" w:rsidTr="004656EA">
        <w:trPr>
          <w:trHeight w:val="288"/>
        </w:trPr>
        <w:tc>
          <w:tcPr>
            <w:tcW w:w="5000" w:type="dxa"/>
            <w:vMerge w:val="restart"/>
            <w:tcBorders>
              <w:top w:val="nil"/>
              <w:left w:val="nil"/>
              <w:bottom w:val="nil"/>
              <w:right w:val="nil"/>
            </w:tcBorders>
            <w:shd w:val="clear" w:color="auto" w:fill="auto"/>
            <w:vAlign w:val="bottom"/>
            <w:hideMark/>
          </w:tcPr>
          <w:p w14:paraId="12EFA9DA" w14:textId="77777777" w:rsidR="004656EA" w:rsidRPr="004656EA" w:rsidRDefault="004656EA" w:rsidP="004656EA">
            <w:pPr>
              <w:spacing w:line="240" w:lineRule="auto"/>
              <w:rPr>
                <w:rFonts w:eastAsia="Times New Roman" w:cs="Times New Roman"/>
                <w:color w:val="000000"/>
                <w:sz w:val="22"/>
                <w:lang w:eastAsia="ru-RU"/>
              </w:rPr>
            </w:pPr>
            <w:r w:rsidRPr="004656EA">
              <w:rPr>
                <w:rFonts w:eastAsia="Times New Roman" w:cs="Times New Roman"/>
                <w:color w:val="000000"/>
                <w:sz w:val="22"/>
                <w:lang w:eastAsia="ru-RU"/>
              </w:rPr>
              <w:t>Ноты Национального банка Республики Казахстан (страновой суверенный рейтинг: BBB-)</w:t>
            </w:r>
          </w:p>
        </w:tc>
        <w:tc>
          <w:tcPr>
            <w:tcW w:w="1622" w:type="dxa"/>
            <w:vMerge w:val="restart"/>
            <w:tcBorders>
              <w:top w:val="nil"/>
              <w:left w:val="nil"/>
              <w:bottom w:val="nil"/>
              <w:right w:val="nil"/>
            </w:tcBorders>
            <w:shd w:val="clear" w:color="auto" w:fill="auto"/>
            <w:noWrap/>
            <w:vAlign w:val="bottom"/>
            <w:hideMark/>
          </w:tcPr>
          <w:p w14:paraId="0F53D4FC" w14:textId="0B2934A4" w:rsidR="004656EA" w:rsidRPr="004656EA" w:rsidRDefault="004656EA" w:rsidP="004656EA">
            <w:pPr>
              <w:spacing w:line="240" w:lineRule="auto"/>
              <w:jc w:val="center"/>
              <w:rPr>
                <w:rFonts w:eastAsia="Times New Roman" w:cs="Times New Roman"/>
                <w:color w:val="000000"/>
                <w:sz w:val="22"/>
                <w:u w:val="single"/>
                <w:lang w:eastAsia="ru-RU"/>
              </w:rPr>
            </w:pPr>
            <w:r w:rsidRPr="004656EA">
              <w:rPr>
                <w:rFonts w:eastAsia="Times New Roman" w:cs="Times New Roman"/>
                <w:color w:val="000000"/>
                <w:sz w:val="22"/>
                <w:u w:val="single"/>
                <w:lang w:eastAsia="ru-RU"/>
              </w:rPr>
              <w:t>25 516 508</w:t>
            </w:r>
          </w:p>
        </w:tc>
        <w:tc>
          <w:tcPr>
            <w:tcW w:w="1522" w:type="dxa"/>
            <w:vMerge w:val="restart"/>
            <w:tcBorders>
              <w:top w:val="nil"/>
              <w:left w:val="nil"/>
              <w:bottom w:val="nil"/>
              <w:right w:val="nil"/>
            </w:tcBorders>
            <w:shd w:val="clear" w:color="auto" w:fill="auto"/>
            <w:noWrap/>
            <w:vAlign w:val="bottom"/>
            <w:hideMark/>
          </w:tcPr>
          <w:p w14:paraId="1E1E7149" w14:textId="7DD2A7DF" w:rsidR="004656EA" w:rsidRPr="004656EA" w:rsidRDefault="004656EA" w:rsidP="004656EA">
            <w:pPr>
              <w:spacing w:line="240" w:lineRule="auto"/>
              <w:jc w:val="center"/>
              <w:rPr>
                <w:rFonts w:eastAsia="Times New Roman" w:cs="Times New Roman"/>
                <w:color w:val="000000"/>
                <w:sz w:val="22"/>
                <w:u w:val="single"/>
                <w:lang w:eastAsia="ru-RU"/>
              </w:rPr>
            </w:pPr>
            <w:r w:rsidRPr="004656EA">
              <w:rPr>
                <w:rFonts w:eastAsia="Times New Roman" w:cs="Times New Roman"/>
                <w:color w:val="000000"/>
                <w:sz w:val="22"/>
                <w:u w:val="single"/>
                <w:lang w:eastAsia="ru-RU"/>
              </w:rPr>
              <w:t>-</w:t>
            </w:r>
          </w:p>
        </w:tc>
        <w:tc>
          <w:tcPr>
            <w:tcW w:w="36" w:type="dxa"/>
            <w:vAlign w:val="center"/>
            <w:hideMark/>
          </w:tcPr>
          <w:p w14:paraId="10ECB7AB" w14:textId="77777777" w:rsidR="004656EA" w:rsidRPr="004656EA" w:rsidRDefault="004656EA" w:rsidP="004656EA">
            <w:pPr>
              <w:spacing w:line="240" w:lineRule="auto"/>
              <w:jc w:val="center"/>
              <w:rPr>
                <w:rFonts w:eastAsia="Times New Roman" w:cs="Times New Roman"/>
                <w:sz w:val="20"/>
                <w:szCs w:val="20"/>
                <w:lang w:eastAsia="ru-RU"/>
              </w:rPr>
            </w:pPr>
          </w:p>
        </w:tc>
      </w:tr>
      <w:tr w:rsidR="004656EA" w:rsidRPr="004656EA" w14:paraId="15714EE6" w14:textId="77777777" w:rsidTr="004656EA">
        <w:trPr>
          <w:trHeight w:val="288"/>
        </w:trPr>
        <w:tc>
          <w:tcPr>
            <w:tcW w:w="5000" w:type="dxa"/>
            <w:vMerge/>
            <w:tcBorders>
              <w:top w:val="nil"/>
              <w:left w:val="nil"/>
              <w:bottom w:val="nil"/>
              <w:right w:val="nil"/>
            </w:tcBorders>
            <w:vAlign w:val="center"/>
            <w:hideMark/>
          </w:tcPr>
          <w:p w14:paraId="3E13985C" w14:textId="77777777" w:rsidR="004656EA" w:rsidRPr="004656EA" w:rsidRDefault="004656EA" w:rsidP="004656EA">
            <w:pPr>
              <w:spacing w:line="240" w:lineRule="auto"/>
              <w:jc w:val="center"/>
              <w:rPr>
                <w:rFonts w:eastAsia="Times New Roman" w:cs="Times New Roman"/>
                <w:color w:val="000000"/>
                <w:sz w:val="22"/>
                <w:lang w:eastAsia="ru-RU"/>
              </w:rPr>
            </w:pPr>
          </w:p>
        </w:tc>
        <w:tc>
          <w:tcPr>
            <w:tcW w:w="1622" w:type="dxa"/>
            <w:vMerge/>
            <w:tcBorders>
              <w:top w:val="nil"/>
              <w:left w:val="nil"/>
              <w:bottom w:val="nil"/>
              <w:right w:val="nil"/>
            </w:tcBorders>
            <w:vAlign w:val="center"/>
            <w:hideMark/>
          </w:tcPr>
          <w:p w14:paraId="10C8CAA1" w14:textId="77777777" w:rsidR="004656EA" w:rsidRPr="004656EA" w:rsidRDefault="004656EA" w:rsidP="004656EA">
            <w:pPr>
              <w:spacing w:line="240" w:lineRule="auto"/>
              <w:jc w:val="center"/>
              <w:rPr>
                <w:rFonts w:eastAsia="Times New Roman" w:cs="Times New Roman"/>
                <w:color w:val="000000"/>
                <w:sz w:val="22"/>
                <w:u w:val="single"/>
                <w:lang w:eastAsia="ru-RU"/>
              </w:rPr>
            </w:pPr>
          </w:p>
        </w:tc>
        <w:tc>
          <w:tcPr>
            <w:tcW w:w="1522" w:type="dxa"/>
            <w:vMerge/>
            <w:tcBorders>
              <w:top w:val="nil"/>
              <w:left w:val="nil"/>
              <w:bottom w:val="nil"/>
              <w:right w:val="nil"/>
            </w:tcBorders>
            <w:vAlign w:val="center"/>
            <w:hideMark/>
          </w:tcPr>
          <w:p w14:paraId="021247BA" w14:textId="77777777" w:rsidR="004656EA" w:rsidRPr="004656EA" w:rsidRDefault="004656EA" w:rsidP="004656EA">
            <w:pPr>
              <w:spacing w:line="240" w:lineRule="auto"/>
              <w:jc w:val="center"/>
              <w:rPr>
                <w:rFonts w:eastAsia="Times New Roman" w:cs="Times New Roman"/>
                <w:color w:val="000000"/>
                <w:sz w:val="22"/>
                <w:u w:val="single"/>
                <w:lang w:eastAsia="ru-RU"/>
              </w:rPr>
            </w:pPr>
          </w:p>
        </w:tc>
        <w:tc>
          <w:tcPr>
            <w:tcW w:w="36" w:type="dxa"/>
            <w:tcBorders>
              <w:top w:val="nil"/>
              <w:left w:val="nil"/>
              <w:bottom w:val="nil"/>
              <w:right w:val="nil"/>
            </w:tcBorders>
            <w:shd w:val="clear" w:color="auto" w:fill="auto"/>
            <w:noWrap/>
            <w:vAlign w:val="bottom"/>
            <w:hideMark/>
          </w:tcPr>
          <w:p w14:paraId="125657C1" w14:textId="77777777" w:rsidR="004656EA" w:rsidRPr="004656EA" w:rsidRDefault="004656EA" w:rsidP="004656EA">
            <w:pPr>
              <w:spacing w:line="240" w:lineRule="auto"/>
              <w:jc w:val="center"/>
              <w:rPr>
                <w:rFonts w:eastAsia="Times New Roman" w:cs="Times New Roman"/>
                <w:color w:val="000000"/>
                <w:sz w:val="22"/>
                <w:u w:val="single"/>
                <w:lang w:eastAsia="ru-RU"/>
              </w:rPr>
            </w:pPr>
          </w:p>
        </w:tc>
      </w:tr>
      <w:tr w:rsidR="004656EA" w:rsidRPr="004656EA" w14:paraId="1EFB30BA" w14:textId="77777777" w:rsidTr="004656EA">
        <w:trPr>
          <w:trHeight w:val="288"/>
        </w:trPr>
        <w:tc>
          <w:tcPr>
            <w:tcW w:w="5000" w:type="dxa"/>
            <w:tcBorders>
              <w:top w:val="nil"/>
              <w:left w:val="nil"/>
              <w:bottom w:val="nil"/>
              <w:right w:val="nil"/>
            </w:tcBorders>
            <w:shd w:val="clear" w:color="auto" w:fill="auto"/>
            <w:noWrap/>
            <w:vAlign w:val="bottom"/>
            <w:hideMark/>
          </w:tcPr>
          <w:p w14:paraId="36EC987C" w14:textId="77777777" w:rsidR="004656EA" w:rsidRPr="004656EA" w:rsidRDefault="004656EA" w:rsidP="004656EA">
            <w:pPr>
              <w:spacing w:line="240" w:lineRule="auto"/>
              <w:jc w:val="center"/>
              <w:rPr>
                <w:rFonts w:eastAsia="Times New Roman" w:cs="Times New Roman"/>
                <w:sz w:val="20"/>
                <w:szCs w:val="20"/>
                <w:lang w:eastAsia="ru-RU"/>
              </w:rPr>
            </w:pPr>
          </w:p>
        </w:tc>
        <w:tc>
          <w:tcPr>
            <w:tcW w:w="1622" w:type="dxa"/>
            <w:vMerge w:val="restart"/>
            <w:tcBorders>
              <w:top w:val="nil"/>
              <w:left w:val="nil"/>
              <w:bottom w:val="nil"/>
              <w:right w:val="nil"/>
            </w:tcBorders>
            <w:shd w:val="clear" w:color="auto" w:fill="auto"/>
            <w:noWrap/>
            <w:vAlign w:val="bottom"/>
            <w:hideMark/>
          </w:tcPr>
          <w:p w14:paraId="2DA2991A" w14:textId="469E1813" w:rsidR="004656EA" w:rsidRPr="004656EA" w:rsidRDefault="004656EA" w:rsidP="004656EA">
            <w:pPr>
              <w:spacing w:line="240" w:lineRule="auto"/>
              <w:jc w:val="center"/>
              <w:rPr>
                <w:rFonts w:eastAsia="Times New Roman" w:cs="Times New Roman"/>
                <w:color w:val="000000"/>
                <w:sz w:val="22"/>
                <w:u w:val="double"/>
                <w:lang w:eastAsia="ru-RU"/>
              </w:rPr>
            </w:pPr>
            <w:r w:rsidRPr="004656EA">
              <w:rPr>
                <w:rFonts w:eastAsia="Times New Roman" w:cs="Times New Roman"/>
                <w:color w:val="000000"/>
                <w:sz w:val="22"/>
                <w:u w:val="double"/>
                <w:lang w:eastAsia="ru-RU"/>
              </w:rPr>
              <w:t>36 502 351</w:t>
            </w:r>
          </w:p>
        </w:tc>
        <w:tc>
          <w:tcPr>
            <w:tcW w:w="1522" w:type="dxa"/>
            <w:vMerge w:val="restart"/>
            <w:tcBorders>
              <w:top w:val="nil"/>
              <w:left w:val="nil"/>
              <w:bottom w:val="nil"/>
              <w:right w:val="nil"/>
            </w:tcBorders>
            <w:shd w:val="clear" w:color="auto" w:fill="auto"/>
            <w:noWrap/>
            <w:vAlign w:val="bottom"/>
            <w:hideMark/>
          </w:tcPr>
          <w:p w14:paraId="51D83BEF" w14:textId="54C5FC58" w:rsidR="004656EA" w:rsidRPr="004656EA" w:rsidRDefault="004656EA" w:rsidP="004656EA">
            <w:pPr>
              <w:spacing w:line="240" w:lineRule="auto"/>
              <w:jc w:val="center"/>
              <w:rPr>
                <w:rFonts w:eastAsia="Times New Roman" w:cs="Times New Roman"/>
                <w:color w:val="000000"/>
                <w:sz w:val="22"/>
                <w:u w:val="double"/>
                <w:lang w:eastAsia="ru-RU"/>
              </w:rPr>
            </w:pPr>
            <w:r w:rsidRPr="004656EA">
              <w:rPr>
                <w:rFonts w:eastAsia="Times New Roman" w:cs="Times New Roman"/>
                <w:color w:val="000000"/>
                <w:sz w:val="22"/>
                <w:u w:val="double"/>
                <w:lang w:eastAsia="ru-RU"/>
              </w:rPr>
              <w:t>9 970 545</w:t>
            </w:r>
          </w:p>
        </w:tc>
        <w:tc>
          <w:tcPr>
            <w:tcW w:w="36" w:type="dxa"/>
            <w:vAlign w:val="center"/>
            <w:hideMark/>
          </w:tcPr>
          <w:p w14:paraId="6F801038" w14:textId="77777777" w:rsidR="004656EA" w:rsidRPr="004656EA" w:rsidRDefault="004656EA" w:rsidP="004656EA">
            <w:pPr>
              <w:spacing w:line="240" w:lineRule="auto"/>
              <w:jc w:val="center"/>
              <w:rPr>
                <w:rFonts w:eastAsia="Times New Roman" w:cs="Times New Roman"/>
                <w:sz w:val="20"/>
                <w:szCs w:val="20"/>
                <w:lang w:eastAsia="ru-RU"/>
              </w:rPr>
            </w:pPr>
          </w:p>
        </w:tc>
      </w:tr>
      <w:tr w:rsidR="004656EA" w:rsidRPr="004656EA" w14:paraId="5D4B1662" w14:textId="77777777" w:rsidTr="004656EA">
        <w:trPr>
          <w:trHeight w:val="288"/>
        </w:trPr>
        <w:tc>
          <w:tcPr>
            <w:tcW w:w="5000" w:type="dxa"/>
            <w:tcBorders>
              <w:top w:val="nil"/>
              <w:left w:val="nil"/>
              <w:bottom w:val="nil"/>
              <w:right w:val="nil"/>
            </w:tcBorders>
            <w:shd w:val="clear" w:color="auto" w:fill="auto"/>
            <w:noWrap/>
            <w:vAlign w:val="bottom"/>
            <w:hideMark/>
          </w:tcPr>
          <w:p w14:paraId="25891721" w14:textId="77777777" w:rsidR="004656EA" w:rsidRPr="004656EA" w:rsidRDefault="004656EA" w:rsidP="004656EA">
            <w:pPr>
              <w:spacing w:line="240" w:lineRule="auto"/>
              <w:jc w:val="center"/>
              <w:rPr>
                <w:rFonts w:eastAsia="Times New Roman" w:cs="Times New Roman"/>
                <w:color w:val="000000"/>
                <w:sz w:val="22"/>
                <w:u w:val="double"/>
                <w:lang w:eastAsia="ru-RU"/>
              </w:rPr>
            </w:pPr>
          </w:p>
        </w:tc>
        <w:tc>
          <w:tcPr>
            <w:tcW w:w="1622" w:type="dxa"/>
            <w:vMerge/>
            <w:tcBorders>
              <w:top w:val="nil"/>
              <w:left w:val="nil"/>
              <w:bottom w:val="nil"/>
              <w:right w:val="nil"/>
            </w:tcBorders>
            <w:vAlign w:val="center"/>
            <w:hideMark/>
          </w:tcPr>
          <w:p w14:paraId="17491260" w14:textId="77777777" w:rsidR="004656EA" w:rsidRPr="004656EA" w:rsidRDefault="004656EA" w:rsidP="004656EA">
            <w:pPr>
              <w:spacing w:line="240" w:lineRule="auto"/>
              <w:jc w:val="center"/>
              <w:rPr>
                <w:rFonts w:eastAsia="Times New Roman" w:cs="Times New Roman"/>
                <w:color w:val="000000"/>
                <w:sz w:val="22"/>
                <w:u w:val="double"/>
                <w:lang w:eastAsia="ru-RU"/>
              </w:rPr>
            </w:pPr>
          </w:p>
        </w:tc>
        <w:tc>
          <w:tcPr>
            <w:tcW w:w="1522" w:type="dxa"/>
            <w:vMerge/>
            <w:tcBorders>
              <w:top w:val="nil"/>
              <w:left w:val="nil"/>
              <w:bottom w:val="nil"/>
              <w:right w:val="nil"/>
            </w:tcBorders>
            <w:vAlign w:val="center"/>
            <w:hideMark/>
          </w:tcPr>
          <w:p w14:paraId="6952A7FE" w14:textId="77777777" w:rsidR="004656EA" w:rsidRPr="004656EA" w:rsidRDefault="004656EA" w:rsidP="004656EA">
            <w:pPr>
              <w:spacing w:line="240" w:lineRule="auto"/>
              <w:jc w:val="center"/>
              <w:rPr>
                <w:rFonts w:eastAsia="Times New Roman" w:cs="Times New Roman"/>
                <w:color w:val="000000"/>
                <w:sz w:val="22"/>
                <w:u w:val="double"/>
                <w:lang w:eastAsia="ru-RU"/>
              </w:rPr>
            </w:pPr>
          </w:p>
        </w:tc>
        <w:tc>
          <w:tcPr>
            <w:tcW w:w="36" w:type="dxa"/>
            <w:vAlign w:val="center"/>
            <w:hideMark/>
          </w:tcPr>
          <w:p w14:paraId="2303A12E" w14:textId="77777777" w:rsidR="004656EA" w:rsidRPr="004656EA" w:rsidRDefault="004656EA" w:rsidP="004656EA">
            <w:pPr>
              <w:spacing w:line="240" w:lineRule="auto"/>
              <w:jc w:val="center"/>
              <w:rPr>
                <w:rFonts w:eastAsia="Times New Roman" w:cs="Times New Roman"/>
                <w:sz w:val="20"/>
                <w:szCs w:val="20"/>
                <w:lang w:eastAsia="ru-RU"/>
              </w:rPr>
            </w:pPr>
          </w:p>
        </w:tc>
      </w:tr>
    </w:tbl>
    <w:p w14:paraId="74ABEEF2" w14:textId="77777777" w:rsidR="00CD643D" w:rsidRDefault="00153A5B" w:rsidP="00153A5B">
      <w:pPr>
        <w:contextualSpacing/>
        <w:jc w:val="both"/>
        <w:rPr>
          <w:rFonts w:cs="Times New Roman"/>
          <w:sz w:val="28"/>
          <w:szCs w:val="28"/>
        </w:rPr>
      </w:pPr>
      <w:r>
        <w:rPr>
          <w:rFonts w:cs="Times New Roman"/>
          <w:sz w:val="28"/>
          <w:szCs w:val="28"/>
        </w:rPr>
        <w:tab/>
      </w:r>
    </w:p>
    <w:p w14:paraId="2A4C1C50" w14:textId="03CDF905" w:rsidR="004656EA" w:rsidRPr="00153A5B" w:rsidRDefault="00CD643D" w:rsidP="00153A5B">
      <w:pPr>
        <w:contextualSpacing/>
        <w:jc w:val="both"/>
        <w:rPr>
          <w:rFonts w:cs="Times New Roman"/>
          <w:sz w:val="28"/>
          <w:szCs w:val="28"/>
          <w:lang w:val="en-US"/>
        </w:rPr>
      </w:pPr>
      <w:r>
        <w:rPr>
          <w:rFonts w:cs="Times New Roman"/>
          <w:sz w:val="28"/>
          <w:szCs w:val="28"/>
        </w:rPr>
        <w:tab/>
      </w:r>
      <w:r w:rsidR="00153A5B">
        <w:rPr>
          <w:rFonts w:cs="Times New Roman"/>
          <w:sz w:val="28"/>
          <w:szCs w:val="28"/>
        </w:rPr>
        <w:t>Источник: построено автором на основе данных</w:t>
      </w:r>
      <w:r w:rsidR="00153A5B" w:rsidRPr="00153A5B">
        <w:t xml:space="preserve"> </w:t>
      </w:r>
      <w:proofErr w:type="spellStart"/>
      <w:r w:rsidR="00EB68A4" w:rsidRPr="00EB68A4">
        <w:rPr>
          <w:rFonts w:cs="Times New Roman"/>
          <w:sz w:val="28"/>
          <w:szCs w:val="28"/>
        </w:rPr>
        <w:t>Аудированная</w:t>
      </w:r>
      <w:proofErr w:type="spellEnd"/>
      <w:r w:rsidR="00EB68A4" w:rsidRPr="00EB68A4">
        <w:rPr>
          <w:rFonts w:cs="Times New Roman"/>
          <w:sz w:val="28"/>
          <w:szCs w:val="28"/>
        </w:rPr>
        <w:t xml:space="preserve"> финансовая отчетность АО "Ситибанк Казахстан" за год, закончившийся 31 декабря 2019 года</w:t>
      </w:r>
      <w:r w:rsidR="00153A5B">
        <w:rPr>
          <w:rFonts w:cs="Times New Roman"/>
          <w:sz w:val="28"/>
          <w:szCs w:val="28"/>
        </w:rPr>
        <w:t xml:space="preserve">. </w:t>
      </w:r>
      <w:r w:rsidR="00153A5B">
        <w:rPr>
          <w:rFonts w:cs="Times New Roman"/>
          <w:sz w:val="28"/>
          <w:szCs w:val="28"/>
          <w:lang w:val="en-US"/>
        </w:rPr>
        <w:t>URL</w:t>
      </w:r>
      <w:r w:rsidR="00153A5B" w:rsidRPr="00153A5B">
        <w:rPr>
          <w:rFonts w:cs="Times New Roman"/>
          <w:sz w:val="28"/>
          <w:szCs w:val="28"/>
          <w:lang w:val="en-US"/>
        </w:rPr>
        <w:t>: https://www.citibank.com/icg/sa/emea/kazakhstan/russian/assets/docs/Citibank_RUS_2019.pdf</w:t>
      </w:r>
    </w:p>
    <w:p w14:paraId="5F592B92" w14:textId="532E8ED8" w:rsidR="00703F2D" w:rsidRPr="00153A5B" w:rsidRDefault="00703F2D" w:rsidP="001C313B">
      <w:pPr>
        <w:contextualSpacing/>
        <w:jc w:val="both"/>
        <w:rPr>
          <w:rFonts w:cs="Times New Roman"/>
          <w:sz w:val="28"/>
          <w:szCs w:val="28"/>
          <w:lang w:val="en-US"/>
        </w:rPr>
      </w:pPr>
    </w:p>
    <w:p w14:paraId="29CEB383" w14:textId="3C0FB8CE" w:rsidR="00AC05BE" w:rsidRDefault="00AC05BE" w:rsidP="001C313B">
      <w:pPr>
        <w:contextualSpacing/>
        <w:jc w:val="both"/>
        <w:rPr>
          <w:rFonts w:cs="Times New Roman"/>
          <w:sz w:val="28"/>
          <w:szCs w:val="28"/>
        </w:rPr>
      </w:pPr>
      <w:r w:rsidRPr="00153A5B">
        <w:rPr>
          <w:rFonts w:cs="Times New Roman"/>
          <w:sz w:val="28"/>
          <w:szCs w:val="28"/>
          <w:lang w:val="en-US"/>
        </w:rPr>
        <w:tab/>
      </w:r>
      <w:r>
        <w:rPr>
          <w:rFonts w:cs="Times New Roman"/>
          <w:sz w:val="28"/>
          <w:szCs w:val="28"/>
        </w:rPr>
        <w:t xml:space="preserve">Как уже говорилось выше, темпы прироста </w:t>
      </w:r>
      <w:r>
        <w:rPr>
          <w:rFonts w:cs="Times New Roman"/>
          <w:sz w:val="28"/>
          <w:szCs w:val="28"/>
          <w:lang w:val="en-US"/>
        </w:rPr>
        <w:t>ROA</w:t>
      </w:r>
      <w:r>
        <w:rPr>
          <w:rFonts w:cs="Times New Roman"/>
          <w:sz w:val="28"/>
          <w:szCs w:val="28"/>
        </w:rPr>
        <w:t xml:space="preserve"> показывают отрицательную динамику, тогда как </w:t>
      </w:r>
      <w:r>
        <w:rPr>
          <w:rFonts w:cs="Times New Roman"/>
          <w:sz w:val="28"/>
          <w:szCs w:val="28"/>
          <w:lang w:val="en-US"/>
        </w:rPr>
        <w:t>ROE</w:t>
      </w:r>
      <w:r w:rsidRPr="00AC05BE">
        <w:rPr>
          <w:rFonts w:cs="Times New Roman"/>
          <w:sz w:val="28"/>
          <w:szCs w:val="28"/>
        </w:rPr>
        <w:t xml:space="preserve"> </w:t>
      </w:r>
      <w:r>
        <w:rPr>
          <w:rFonts w:cs="Times New Roman"/>
          <w:sz w:val="28"/>
          <w:szCs w:val="28"/>
        </w:rPr>
        <w:t>положительную (рис</w:t>
      </w:r>
      <w:r w:rsidR="00153A5B">
        <w:rPr>
          <w:rFonts w:cs="Times New Roman"/>
          <w:sz w:val="28"/>
          <w:szCs w:val="28"/>
        </w:rPr>
        <w:t>. 2</w:t>
      </w:r>
      <w:r>
        <w:rPr>
          <w:rFonts w:cs="Times New Roman"/>
          <w:sz w:val="28"/>
          <w:szCs w:val="28"/>
        </w:rPr>
        <w:t xml:space="preserve">). </w:t>
      </w:r>
      <w:r w:rsidR="007B3520">
        <w:rPr>
          <w:rFonts w:cs="Times New Roman"/>
          <w:sz w:val="28"/>
          <w:szCs w:val="28"/>
        </w:rPr>
        <w:t>Что в какой-то степени может быть следствием увеличения показателя финансового рычага.</w:t>
      </w:r>
    </w:p>
    <w:p w14:paraId="0F61D8C8" w14:textId="5CD3997B" w:rsidR="004656EA" w:rsidRDefault="004656EA" w:rsidP="001C313B">
      <w:pPr>
        <w:contextualSpacing/>
        <w:jc w:val="both"/>
        <w:rPr>
          <w:rFonts w:cs="Times New Roman"/>
          <w:sz w:val="28"/>
          <w:szCs w:val="28"/>
        </w:rPr>
      </w:pPr>
    </w:p>
    <w:p w14:paraId="6C33C015" w14:textId="77777777" w:rsidR="007C19F3" w:rsidRDefault="007C19F3" w:rsidP="001C313B">
      <w:pPr>
        <w:contextualSpacing/>
        <w:jc w:val="both"/>
        <w:rPr>
          <w:rFonts w:cs="Times New Roman"/>
          <w:sz w:val="28"/>
          <w:szCs w:val="28"/>
        </w:rPr>
      </w:pPr>
    </w:p>
    <w:p w14:paraId="4DFF115E" w14:textId="77777777" w:rsidR="00CD643D" w:rsidRDefault="00CD643D" w:rsidP="001C313B">
      <w:pPr>
        <w:contextualSpacing/>
        <w:jc w:val="both"/>
        <w:rPr>
          <w:rFonts w:cs="Times New Roman"/>
          <w:sz w:val="28"/>
          <w:szCs w:val="28"/>
        </w:rPr>
      </w:pPr>
    </w:p>
    <w:p w14:paraId="45E6AF39" w14:textId="62BACDCC" w:rsidR="004656EA" w:rsidRDefault="004656EA" w:rsidP="004656EA">
      <w:pPr>
        <w:contextualSpacing/>
        <w:jc w:val="center"/>
        <w:rPr>
          <w:rFonts w:cs="Times New Roman"/>
          <w:sz w:val="28"/>
          <w:szCs w:val="28"/>
        </w:rPr>
      </w:pPr>
      <w:r>
        <w:rPr>
          <w:noProof/>
        </w:rPr>
        <w:lastRenderedPageBreak/>
        <w:drawing>
          <wp:inline distT="0" distB="0" distL="0" distR="0" wp14:anchorId="3375EC25" wp14:editId="07F797A4">
            <wp:extent cx="4572000" cy="2743200"/>
            <wp:effectExtent l="0" t="0" r="0" b="0"/>
            <wp:docPr id="1" name="Диаграмма 1">
              <a:extLst xmlns:a="http://schemas.openxmlformats.org/drawingml/2006/main">
                <a:ext uri="{FF2B5EF4-FFF2-40B4-BE49-F238E27FC236}">
                  <a16:creationId xmlns:a16="http://schemas.microsoft.com/office/drawing/2014/main" id="{DA5907E0-1E79-441C-8578-A5E9106E0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A6D54B" w14:textId="15F638F0" w:rsidR="004656EA" w:rsidRPr="00153A5B" w:rsidRDefault="00153A5B" w:rsidP="00153A5B">
      <w:pPr>
        <w:contextualSpacing/>
        <w:jc w:val="both"/>
        <w:rPr>
          <w:rFonts w:cs="Times New Roman"/>
          <w:sz w:val="28"/>
          <w:szCs w:val="28"/>
          <w:lang w:val="en-US"/>
        </w:rPr>
      </w:pPr>
      <w:r>
        <w:rPr>
          <w:rFonts w:cs="Times New Roman"/>
          <w:sz w:val="28"/>
          <w:szCs w:val="28"/>
        </w:rPr>
        <w:tab/>
        <w:t>Источник: построено автором на основе данных</w:t>
      </w:r>
      <w:r w:rsidRPr="00153A5B">
        <w:t xml:space="preserve"> </w:t>
      </w:r>
      <w:proofErr w:type="spellStart"/>
      <w:r w:rsidR="00EB68A4" w:rsidRPr="00EB68A4">
        <w:rPr>
          <w:rFonts w:cs="Times New Roman"/>
          <w:sz w:val="28"/>
          <w:szCs w:val="28"/>
        </w:rPr>
        <w:t>Аудированная</w:t>
      </w:r>
      <w:proofErr w:type="spellEnd"/>
      <w:r w:rsidR="00EB68A4" w:rsidRPr="00EB68A4">
        <w:rPr>
          <w:rFonts w:cs="Times New Roman"/>
          <w:sz w:val="28"/>
          <w:szCs w:val="28"/>
        </w:rPr>
        <w:t xml:space="preserve"> финансовая отчетность АО "Ситибанк Казахстан" за год, закончившийся 31 декабря 2019 года</w:t>
      </w:r>
      <w:r>
        <w:rPr>
          <w:rFonts w:cs="Times New Roman"/>
          <w:sz w:val="28"/>
          <w:szCs w:val="28"/>
        </w:rPr>
        <w:t xml:space="preserve">. </w:t>
      </w:r>
      <w:r>
        <w:rPr>
          <w:rFonts w:cs="Times New Roman"/>
          <w:sz w:val="28"/>
          <w:szCs w:val="28"/>
          <w:lang w:val="en-US"/>
        </w:rPr>
        <w:t>URL</w:t>
      </w:r>
      <w:r w:rsidRPr="00153A5B">
        <w:rPr>
          <w:rFonts w:cs="Times New Roman"/>
          <w:sz w:val="28"/>
          <w:szCs w:val="28"/>
          <w:lang w:val="en-US"/>
        </w:rPr>
        <w:t>: https://www.citibank.com/icg/sa/emea/kazakhstan/russian/assets/docs/Citibank_RUS_2019.pdf</w:t>
      </w:r>
    </w:p>
    <w:p w14:paraId="584F18BA" w14:textId="7EEBEEBC" w:rsidR="00153A5B" w:rsidRDefault="00153A5B" w:rsidP="00153A5B">
      <w:pPr>
        <w:contextualSpacing/>
        <w:jc w:val="both"/>
        <w:rPr>
          <w:rFonts w:cs="Times New Roman"/>
          <w:sz w:val="28"/>
          <w:szCs w:val="28"/>
        </w:rPr>
      </w:pPr>
      <w:r w:rsidRPr="00153A5B">
        <w:rPr>
          <w:rFonts w:cs="Times New Roman"/>
          <w:sz w:val="28"/>
          <w:szCs w:val="28"/>
          <w:lang w:val="en-US"/>
        </w:rPr>
        <w:tab/>
      </w:r>
      <w:r>
        <w:rPr>
          <w:rFonts w:cs="Times New Roman"/>
          <w:sz w:val="28"/>
          <w:szCs w:val="28"/>
        </w:rPr>
        <w:t xml:space="preserve">Рисунок 2. </w:t>
      </w:r>
      <w:r w:rsidRPr="00153A5B">
        <w:rPr>
          <w:rFonts w:cs="Times New Roman"/>
          <w:sz w:val="28"/>
          <w:szCs w:val="28"/>
        </w:rPr>
        <w:t xml:space="preserve">Динамика рентабельности капитала АО "Ситибанк </w:t>
      </w:r>
      <w:r>
        <w:rPr>
          <w:rFonts w:cs="Times New Roman"/>
          <w:sz w:val="28"/>
          <w:szCs w:val="28"/>
        </w:rPr>
        <w:t>К</w:t>
      </w:r>
      <w:r w:rsidRPr="00153A5B">
        <w:rPr>
          <w:rFonts w:cs="Times New Roman"/>
          <w:sz w:val="28"/>
          <w:szCs w:val="28"/>
        </w:rPr>
        <w:t>азахстан" 2017–2019 гг.</w:t>
      </w:r>
    </w:p>
    <w:p w14:paraId="4B043869" w14:textId="77777777" w:rsidR="00153A5B" w:rsidRDefault="00153A5B" w:rsidP="001C313B">
      <w:pPr>
        <w:contextualSpacing/>
        <w:jc w:val="both"/>
        <w:rPr>
          <w:rFonts w:cs="Times New Roman"/>
          <w:sz w:val="28"/>
          <w:szCs w:val="28"/>
        </w:rPr>
      </w:pPr>
    </w:p>
    <w:p w14:paraId="54B15C7F" w14:textId="1EE8D1CC" w:rsidR="00BA2DB0" w:rsidRPr="00BA2DB0" w:rsidRDefault="00BA2DB0" w:rsidP="00BA2DB0">
      <w:pPr>
        <w:contextualSpacing/>
        <w:jc w:val="both"/>
        <w:rPr>
          <w:rFonts w:cs="Times New Roman"/>
          <w:sz w:val="28"/>
          <w:szCs w:val="28"/>
        </w:rPr>
      </w:pPr>
      <w:r>
        <w:rPr>
          <w:rFonts w:cs="Times New Roman"/>
          <w:sz w:val="28"/>
          <w:szCs w:val="28"/>
        </w:rPr>
        <w:tab/>
      </w:r>
      <w:r w:rsidRPr="00BA2DB0">
        <w:rPr>
          <w:rFonts w:cs="Times New Roman"/>
          <w:sz w:val="28"/>
          <w:szCs w:val="28"/>
        </w:rPr>
        <w:t>В соответствии с действующим требованиями, установленными НБРК, банки должны</w:t>
      </w:r>
      <w:r w:rsidR="00DD3931">
        <w:rPr>
          <w:rFonts w:cs="Times New Roman"/>
          <w:sz w:val="28"/>
          <w:szCs w:val="28"/>
        </w:rPr>
        <w:t xml:space="preserve"> </w:t>
      </w:r>
      <w:r w:rsidRPr="00BA2DB0">
        <w:rPr>
          <w:rFonts w:cs="Times New Roman"/>
          <w:sz w:val="28"/>
          <w:szCs w:val="28"/>
        </w:rPr>
        <w:t>поддерживать</w:t>
      </w:r>
      <w:r w:rsidR="00DD3931">
        <w:rPr>
          <w:rStyle w:val="aa"/>
          <w:rFonts w:cs="Times New Roman"/>
          <w:sz w:val="28"/>
          <w:szCs w:val="28"/>
        </w:rPr>
        <w:footnoteReference w:id="4"/>
      </w:r>
      <w:r w:rsidRPr="00BA2DB0">
        <w:rPr>
          <w:rFonts w:cs="Times New Roman"/>
          <w:sz w:val="28"/>
          <w:szCs w:val="28"/>
        </w:rPr>
        <w:t xml:space="preserve">: </w:t>
      </w:r>
    </w:p>
    <w:p w14:paraId="7A280CA7" w14:textId="676EC0D6" w:rsidR="00BA2DB0" w:rsidRPr="00BA2DB0" w:rsidRDefault="00BA2DB0" w:rsidP="00BA2DB0">
      <w:pPr>
        <w:contextualSpacing/>
        <w:jc w:val="both"/>
        <w:rPr>
          <w:rFonts w:cs="Times New Roman"/>
          <w:sz w:val="28"/>
          <w:szCs w:val="28"/>
        </w:rPr>
      </w:pPr>
      <w:r w:rsidRPr="00BA2DB0">
        <w:rPr>
          <w:rFonts w:cs="Times New Roman"/>
          <w:sz w:val="28"/>
          <w:szCs w:val="28"/>
        </w:rPr>
        <w:t xml:space="preserve">- отношение основного капитала к сумме активов, и условных и возможных обязательств, производных финансовых инструментов, взвешенных по степени кредитного риска, активов и </w:t>
      </w:r>
      <w:r w:rsidR="00DD3931" w:rsidRPr="00BA2DB0">
        <w:rPr>
          <w:rFonts w:cs="Times New Roman"/>
          <w:sz w:val="28"/>
          <w:szCs w:val="28"/>
        </w:rPr>
        <w:t>условных и возможных требований,</w:t>
      </w:r>
      <w:r w:rsidRPr="00BA2DB0">
        <w:rPr>
          <w:rFonts w:cs="Times New Roman"/>
          <w:sz w:val="28"/>
          <w:szCs w:val="28"/>
        </w:rPr>
        <w:t xml:space="preserve"> и обязательств, рассчитанных с учетом</w:t>
      </w:r>
      <w:r>
        <w:rPr>
          <w:rFonts w:cs="Times New Roman"/>
          <w:sz w:val="28"/>
          <w:szCs w:val="28"/>
        </w:rPr>
        <w:t xml:space="preserve"> </w:t>
      </w:r>
      <w:r w:rsidRPr="00BA2DB0">
        <w:rPr>
          <w:rFonts w:cs="Times New Roman"/>
          <w:sz w:val="28"/>
          <w:szCs w:val="28"/>
        </w:rPr>
        <w:t xml:space="preserve">рыночного риска и количественной меры операционного риска (k1); </w:t>
      </w:r>
    </w:p>
    <w:p w14:paraId="4FCA0E15" w14:textId="2C417C5A" w:rsidR="00BA2DB0" w:rsidRPr="00BA2DB0" w:rsidRDefault="00BA2DB0" w:rsidP="00BA2DB0">
      <w:pPr>
        <w:contextualSpacing/>
        <w:jc w:val="both"/>
        <w:rPr>
          <w:rFonts w:cs="Times New Roman"/>
          <w:sz w:val="28"/>
          <w:szCs w:val="28"/>
        </w:rPr>
      </w:pPr>
      <w:r w:rsidRPr="00BA2DB0">
        <w:rPr>
          <w:rFonts w:cs="Times New Roman"/>
          <w:sz w:val="28"/>
          <w:szCs w:val="28"/>
        </w:rPr>
        <w:t xml:space="preserve">- отношение капитала 1 уровня к сумме активов, и условных и возможных обязательств, производных финансовых инструментов, взвешенных по степени </w:t>
      </w:r>
      <w:r w:rsidRPr="00BA2DB0">
        <w:rPr>
          <w:rFonts w:cs="Times New Roman"/>
          <w:sz w:val="28"/>
          <w:szCs w:val="28"/>
        </w:rPr>
        <w:lastRenderedPageBreak/>
        <w:t>кредитного риска,</w:t>
      </w:r>
      <w:r>
        <w:rPr>
          <w:rFonts w:cs="Times New Roman"/>
          <w:sz w:val="28"/>
          <w:szCs w:val="28"/>
        </w:rPr>
        <w:t xml:space="preserve"> </w:t>
      </w:r>
      <w:r w:rsidRPr="00BA2DB0">
        <w:rPr>
          <w:rFonts w:cs="Times New Roman"/>
          <w:sz w:val="28"/>
          <w:szCs w:val="28"/>
        </w:rPr>
        <w:t xml:space="preserve">активов и </w:t>
      </w:r>
      <w:r w:rsidR="00DD3931" w:rsidRPr="00BA2DB0">
        <w:rPr>
          <w:rFonts w:cs="Times New Roman"/>
          <w:sz w:val="28"/>
          <w:szCs w:val="28"/>
        </w:rPr>
        <w:t>условных и возможных требований,</w:t>
      </w:r>
      <w:r w:rsidRPr="00BA2DB0">
        <w:rPr>
          <w:rFonts w:cs="Times New Roman"/>
          <w:sz w:val="28"/>
          <w:szCs w:val="28"/>
        </w:rPr>
        <w:t xml:space="preserve"> и обязательств, рассчитанных с учетом</w:t>
      </w:r>
    </w:p>
    <w:p w14:paraId="158B26C7" w14:textId="77777777" w:rsidR="00BA2DB0" w:rsidRPr="00BA2DB0" w:rsidRDefault="00BA2DB0" w:rsidP="00BA2DB0">
      <w:pPr>
        <w:contextualSpacing/>
        <w:jc w:val="both"/>
        <w:rPr>
          <w:rFonts w:cs="Times New Roman"/>
          <w:sz w:val="28"/>
          <w:szCs w:val="28"/>
        </w:rPr>
      </w:pPr>
      <w:r w:rsidRPr="00BA2DB0">
        <w:rPr>
          <w:rFonts w:cs="Times New Roman"/>
          <w:sz w:val="28"/>
          <w:szCs w:val="28"/>
        </w:rPr>
        <w:t xml:space="preserve">рыночного риска и количественной меры операционного риска (k1-2); </w:t>
      </w:r>
    </w:p>
    <w:p w14:paraId="419E5833" w14:textId="674C5AD1" w:rsidR="00BA2DB0" w:rsidRDefault="00BA2DB0" w:rsidP="00BA2DB0">
      <w:pPr>
        <w:contextualSpacing/>
        <w:jc w:val="both"/>
        <w:rPr>
          <w:rFonts w:cs="Times New Roman"/>
          <w:sz w:val="28"/>
          <w:szCs w:val="28"/>
        </w:rPr>
      </w:pPr>
      <w:r w:rsidRPr="00BA2DB0">
        <w:rPr>
          <w:rFonts w:cs="Times New Roman"/>
          <w:sz w:val="28"/>
          <w:szCs w:val="28"/>
        </w:rPr>
        <w:t>- отношение общего капитала к сумме активов, и условных и возможных обязательств, производных финансовых инструментов, взвешенных по степени кредитного риска, активов, условных и возможных требований и обязательств, рассчитанных с учетом</w:t>
      </w:r>
      <w:r>
        <w:rPr>
          <w:rFonts w:cs="Times New Roman"/>
          <w:sz w:val="28"/>
          <w:szCs w:val="28"/>
        </w:rPr>
        <w:t xml:space="preserve"> </w:t>
      </w:r>
      <w:r w:rsidRPr="00BA2DB0">
        <w:rPr>
          <w:rFonts w:cs="Times New Roman"/>
          <w:sz w:val="28"/>
          <w:szCs w:val="28"/>
        </w:rPr>
        <w:t>рыночного риска и количественной меры операционного риска (k2).</w:t>
      </w:r>
    </w:p>
    <w:p w14:paraId="49850B08" w14:textId="47D865E2" w:rsidR="00DD3931" w:rsidRPr="00DD3931" w:rsidRDefault="00DD3931" w:rsidP="00DD3931">
      <w:pPr>
        <w:contextualSpacing/>
        <w:jc w:val="both"/>
        <w:rPr>
          <w:rFonts w:cs="Times New Roman"/>
          <w:sz w:val="28"/>
          <w:szCs w:val="28"/>
        </w:rPr>
      </w:pPr>
      <w:r>
        <w:rPr>
          <w:rFonts w:cs="Times New Roman"/>
          <w:sz w:val="28"/>
          <w:szCs w:val="28"/>
        </w:rPr>
        <w:tab/>
      </w:r>
      <w:r w:rsidRPr="00DD3931">
        <w:rPr>
          <w:rFonts w:cs="Times New Roman"/>
          <w:sz w:val="28"/>
          <w:szCs w:val="28"/>
        </w:rPr>
        <w:t>По состоянию на 31 декабря 2019 года, минимальные уровни коэффициентов, применимых</w:t>
      </w:r>
      <w:r>
        <w:rPr>
          <w:rFonts w:cs="Times New Roman"/>
          <w:sz w:val="28"/>
          <w:szCs w:val="28"/>
        </w:rPr>
        <w:t xml:space="preserve"> </w:t>
      </w:r>
      <w:r w:rsidRPr="00DD3931">
        <w:rPr>
          <w:rFonts w:cs="Times New Roman"/>
          <w:sz w:val="28"/>
          <w:szCs w:val="28"/>
        </w:rPr>
        <w:t xml:space="preserve">к Банку, являются следующими: </w:t>
      </w:r>
    </w:p>
    <w:p w14:paraId="10051830" w14:textId="77777777" w:rsidR="00DD3931" w:rsidRPr="00DD3931" w:rsidRDefault="00DD3931" w:rsidP="00DD3931">
      <w:pPr>
        <w:contextualSpacing/>
        <w:jc w:val="both"/>
        <w:rPr>
          <w:rFonts w:cs="Times New Roman"/>
          <w:sz w:val="28"/>
          <w:szCs w:val="28"/>
        </w:rPr>
      </w:pPr>
      <w:r w:rsidRPr="00DD3931">
        <w:rPr>
          <w:rFonts w:cs="Times New Roman"/>
          <w:sz w:val="28"/>
          <w:szCs w:val="28"/>
        </w:rPr>
        <w:t xml:space="preserve">- k1 – 7.5%; </w:t>
      </w:r>
    </w:p>
    <w:p w14:paraId="2E7D9A98" w14:textId="77777777" w:rsidR="00DD3931" w:rsidRPr="00DD3931" w:rsidRDefault="00DD3931" w:rsidP="00DD3931">
      <w:pPr>
        <w:contextualSpacing/>
        <w:jc w:val="both"/>
        <w:rPr>
          <w:rFonts w:cs="Times New Roman"/>
          <w:sz w:val="28"/>
          <w:szCs w:val="28"/>
        </w:rPr>
      </w:pPr>
      <w:r w:rsidRPr="00DD3931">
        <w:rPr>
          <w:rFonts w:cs="Times New Roman"/>
          <w:sz w:val="28"/>
          <w:szCs w:val="28"/>
        </w:rPr>
        <w:t>- k1-</w:t>
      </w:r>
      <w:proofErr w:type="gramStart"/>
      <w:r w:rsidRPr="00DD3931">
        <w:rPr>
          <w:rFonts w:cs="Times New Roman"/>
          <w:sz w:val="28"/>
          <w:szCs w:val="28"/>
        </w:rPr>
        <w:t>2 – 8.5</w:t>
      </w:r>
      <w:proofErr w:type="gramEnd"/>
      <w:r w:rsidRPr="00DD3931">
        <w:rPr>
          <w:rFonts w:cs="Times New Roman"/>
          <w:sz w:val="28"/>
          <w:szCs w:val="28"/>
        </w:rPr>
        <w:t xml:space="preserve">%; </w:t>
      </w:r>
    </w:p>
    <w:p w14:paraId="7744E0C2" w14:textId="53C97B4C" w:rsidR="00DD3931" w:rsidRDefault="00DD3931" w:rsidP="00DD3931">
      <w:pPr>
        <w:contextualSpacing/>
        <w:jc w:val="both"/>
        <w:rPr>
          <w:rFonts w:cs="Times New Roman"/>
          <w:sz w:val="28"/>
          <w:szCs w:val="28"/>
        </w:rPr>
      </w:pPr>
      <w:r w:rsidRPr="00DD3931">
        <w:rPr>
          <w:rFonts w:cs="Times New Roman"/>
          <w:sz w:val="28"/>
          <w:szCs w:val="28"/>
        </w:rPr>
        <w:t>- k2 – 10.00%.</w:t>
      </w:r>
    </w:p>
    <w:p w14:paraId="738BF789" w14:textId="4832D688" w:rsidR="00DD3931" w:rsidRPr="007B3520" w:rsidRDefault="00DD3931" w:rsidP="00DD3931">
      <w:pPr>
        <w:contextualSpacing/>
        <w:jc w:val="both"/>
        <w:rPr>
          <w:rFonts w:cs="Times New Roman"/>
          <w:sz w:val="28"/>
          <w:szCs w:val="28"/>
        </w:rPr>
      </w:pPr>
      <w:r>
        <w:rPr>
          <w:rFonts w:cs="Times New Roman"/>
          <w:sz w:val="28"/>
          <w:szCs w:val="28"/>
        </w:rPr>
        <w:tab/>
        <w:t>Банк придерживается политики поддержания устойчивой базы капитала (Приложение</w:t>
      </w:r>
      <w:r w:rsidR="00961614">
        <w:rPr>
          <w:rFonts w:cs="Times New Roman"/>
          <w:sz w:val="28"/>
          <w:szCs w:val="28"/>
        </w:rPr>
        <w:t xml:space="preserve"> </w:t>
      </w:r>
      <w:r>
        <w:rPr>
          <w:rFonts w:cs="Times New Roman"/>
          <w:sz w:val="28"/>
          <w:szCs w:val="28"/>
        </w:rPr>
        <w:t>1), с тем чтобы сохранить доверие инвесторов, кредиторов и рынка, а также обеспечить будущее развитие бизнеса.</w:t>
      </w:r>
    </w:p>
    <w:p w14:paraId="43CFB8C6" w14:textId="43F22F9D" w:rsidR="00AC05BE" w:rsidRDefault="00AC05BE" w:rsidP="001C313B">
      <w:pPr>
        <w:contextualSpacing/>
        <w:jc w:val="both"/>
        <w:rPr>
          <w:rFonts w:cs="Times New Roman"/>
          <w:sz w:val="28"/>
          <w:szCs w:val="28"/>
        </w:rPr>
      </w:pPr>
      <w:r>
        <w:rPr>
          <w:rFonts w:cs="Times New Roman"/>
          <w:sz w:val="28"/>
          <w:szCs w:val="28"/>
        </w:rPr>
        <w:tab/>
      </w:r>
      <w:r w:rsidR="00564897">
        <w:rPr>
          <w:rFonts w:cs="Times New Roman"/>
          <w:sz w:val="28"/>
          <w:szCs w:val="28"/>
        </w:rPr>
        <w:t xml:space="preserve"> </w:t>
      </w:r>
    </w:p>
    <w:p w14:paraId="09CD1463" w14:textId="1B93DF47" w:rsidR="00AC05BE" w:rsidRDefault="00AC05BE" w:rsidP="001C313B">
      <w:pPr>
        <w:contextualSpacing/>
        <w:jc w:val="both"/>
        <w:rPr>
          <w:rFonts w:cs="Times New Roman"/>
          <w:sz w:val="28"/>
          <w:szCs w:val="28"/>
        </w:rPr>
      </w:pPr>
      <w:r>
        <w:rPr>
          <w:rFonts w:cs="Times New Roman"/>
          <w:sz w:val="28"/>
          <w:szCs w:val="28"/>
        </w:rPr>
        <w:tab/>
      </w:r>
    </w:p>
    <w:p w14:paraId="6D54344D" w14:textId="4FF6E64D" w:rsidR="00316516" w:rsidRDefault="00316516" w:rsidP="001C313B">
      <w:pPr>
        <w:contextualSpacing/>
        <w:jc w:val="both"/>
        <w:rPr>
          <w:rFonts w:cs="Times New Roman"/>
          <w:sz w:val="28"/>
          <w:szCs w:val="28"/>
        </w:rPr>
      </w:pPr>
      <w:r>
        <w:rPr>
          <w:rFonts w:cs="Times New Roman"/>
          <w:sz w:val="28"/>
          <w:szCs w:val="28"/>
        </w:rPr>
        <w:tab/>
      </w:r>
    </w:p>
    <w:p w14:paraId="4DEE084A" w14:textId="3FC0E370" w:rsidR="00EB68A4" w:rsidRDefault="00EB68A4" w:rsidP="001C313B">
      <w:pPr>
        <w:contextualSpacing/>
        <w:jc w:val="both"/>
        <w:rPr>
          <w:rFonts w:cs="Times New Roman"/>
          <w:sz w:val="28"/>
          <w:szCs w:val="28"/>
        </w:rPr>
      </w:pPr>
    </w:p>
    <w:p w14:paraId="65E21062" w14:textId="2C9B717E" w:rsidR="00EB68A4" w:rsidRDefault="00EB68A4" w:rsidP="001C313B">
      <w:pPr>
        <w:contextualSpacing/>
        <w:jc w:val="both"/>
        <w:rPr>
          <w:rFonts w:cs="Times New Roman"/>
          <w:sz w:val="28"/>
          <w:szCs w:val="28"/>
        </w:rPr>
      </w:pPr>
    </w:p>
    <w:p w14:paraId="625DCC35" w14:textId="436FFA80" w:rsidR="00EB68A4" w:rsidRDefault="00EB68A4" w:rsidP="001C313B">
      <w:pPr>
        <w:contextualSpacing/>
        <w:jc w:val="both"/>
        <w:rPr>
          <w:rFonts w:cs="Times New Roman"/>
          <w:sz w:val="28"/>
          <w:szCs w:val="28"/>
        </w:rPr>
      </w:pPr>
    </w:p>
    <w:p w14:paraId="39E9D3E5" w14:textId="5A72D866" w:rsidR="00EB68A4" w:rsidRDefault="00EB68A4" w:rsidP="001C313B">
      <w:pPr>
        <w:contextualSpacing/>
        <w:jc w:val="both"/>
        <w:rPr>
          <w:rFonts w:cs="Times New Roman"/>
          <w:sz w:val="28"/>
          <w:szCs w:val="28"/>
        </w:rPr>
      </w:pPr>
    </w:p>
    <w:p w14:paraId="02E4A397" w14:textId="186485DD" w:rsidR="00EB68A4" w:rsidRDefault="00EB68A4" w:rsidP="001C313B">
      <w:pPr>
        <w:contextualSpacing/>
        <w:jc w:val="both"/>
        <w:rPr>
          <w:rFonts w:cs="Times New Roman"/>
          <w:sz w:val="28"/>
          <w:szCs w:val="28"/>
        </w:rPr>
      </w:pPr>
    </w:p>
    <w:p w14:paraId="637036FE" w14:textId="62FA9898" w:rsidR="00EB68A4" w:rsidRDefault="00EB68A4" w:rsidP="001C313B">
      <w:pPr>
        <w:contextualSpacing/>
        <w:jc w:val="both"/>
        <w:rPr>
          <w:rFonts w:cs="Times New Roman"/>
          <w:sz w:val="28"/>
          <w:szCs w:val="28"/>
        </w:rPr>
      </w:pPr>
    </w:p>
    <w:p w14:paraId="42BCF5C1" w14:textId="185CC4A4" w:rsidR="00EB68A4" w:rsidRDefault="00EB68A4" w:rsidP="001C313B">
      <w:pPr>
        <w:contextualSpacing/>
        <w:jc w:val="both"/>
        <w:rPr>
          <w:rFonts w:cs="Times New Roman"/>
          <w:sz w:val="28"/>
          <w:szCs w:val="28"/>
        </w:rPr>
      </w:pPr>
    </w:p>
    <w:p w14:paraId="39F08758" w14:textId="5B85048C" w:rsidR="007C19F3" w:rsidRDefault="007C19F3" w:rsidP="001C313B">
      <w:pPr>
        <w:contextualSpacing/>
        <w:jc w:val="both"/>
        <w:rPr>
          <w:rFonts w:cs="Times New Roman"/>
          <w:sz w:val="28"/>
          <w:szCs w:val="28"/>
        </w:rPr>
      </w:pPr>
    </w:p>
    <w:p w14:paraId="190C56F0" w14:textId="77777777" w:rsidR="007C19F3" w:rsidRDefault="007C19F3" w:rsidP="001C313B">
      <w:pPr>
        <w:contextualSpacing/>
        <w:jc w:val="both"/>
        <w:rPr>
          <w:rFonts w:cs="Times New Roman"/>
          <w:sz w:val="28"/>
          <w:szCs w:val="28"/>
        </w:rPr>
      </w:pPr>
    </w:p>
    <w:p w14:paraId="60E478C6" w14:textId="37FA2E8E" w:rsidR="00EB68A4" w:rsidRDefault="00EB68A4" w:rsidP="001C313B">
      <w:pPr>
        <w:contextualSpacing/>
        <w:jc w:val="both"/>
        <w:rPr>
          <w:rFonts w:cs="Times New Roman"/>
          <w:sz w:val="28"/>
          <w:szCs w:val="28"/>
        </w:rPr>
      </w:pPr>
    </w:p>
    <w:p w14:paraId="13D8C346" w14:textId="77777777" w:rsidR="00EB68A4" w:rsidRDefault="00EB68A4" w:rsidP="001C313B">
      <w:pPr>
        <w:contextualSpacing/>
        <w:jc w:val="both"/>
        <w:rPr>
          <w:rFonts w:cs="Times New Roman"/>
          <w:sz w:val="28"/>
          <w:szCs w:val="28"/>
        </w:rPr>
      </w:pPr>
    </w:p>
    <w:p w14:paraId="001F5B9C" w14:textId="64AF93C1" w:rsidR="00B25F31" w:rsidRPr="00E361E9" w:rsidRDefault="00E361E9" w:rsidP="00E361E9">
      <w:pPr>
        <w:contextualSpacing/>
        <w:jc w:val="center"/>
        <w:rPr>
          <w:rFonts w:cs="Times New Roman"/>
          <w:b/>
          <w:bCs/>
          <w:sz w:val="28"/>
          <w:szCs w:val="28"/>
        </w:rPr>
      </w:pPr>
      <w:r w:rsidRPr="00E361E9">
        <w:rPr>
          <w:rFonts w:cs="Times New Roman"/>
          <w:b/>
          <w:bCs/>
          <w:sz w:val="28"/>
          <w:szCs w:val="28"/>
        </w:rPr>
        <w:lastRenderedPageBreak/>
        <w:t>ЗАКЛЮЧЕНИЕ</w:t>
      </w:r>
    </w:p>
    <w:p w14:paraId="27B23ED8" w14:textId="7C21AB59" w:rsidR="00E361E9" w:rsidRDefault="00E361E9" w:rsidP="001C313B">
      <w:pPr>
        <w:contextualSpacing/>
        <w:jc w:val="both"/>
        <w:rPr>
          <w:rFonts w:cs="Times New Roman"/>
          <w:sz w:val="28"/>
          <w:szCs w:val="28"/>
        </w:rPr>
      </w:pPr>
    </w:p>
    <w:p w14:paraId="0DC82670" w14:textId="77777777" w:rsidR="00DD3931" w:rsidRDefault="00E361E9" w:rsidP="00DD3931">
      <w:pPr>
        <w:contextualSpacing/>
        <w:jc w:val="both"/>
        <w:rPr>
          <w:rFonts w:cs="Times New Roman"/>
          <w:sz w:val="28"/>
          <w:szCs w:val="28"/>
        </w:rPr>
      </w:pPr>
      <w:r>
        <w:rPr>
          <w:rFonts w:cs="Times New Roman"/>
          <w:sz w:val="28"/>
          <w:szCs w:val="28"/>
        </w:rPr>
        <w:tab/>
      </w:r>
      <w:r w:rsidR="00DD3931">
        <w:rPr>
          <w:rFonts w:cs="Times New Roman"/>
          <w:sz w:val="28"/>
          <w:szCs w:val="28"/>
        </w:rPr>
        <w:t>Значение</w:t>
      </w:r>
      <w:r>
        <w:rPr>
          <w:rFonts w:cs="Times New Roman"/>
          <w:sz w:val="28"/>
          <w:szCs w:val="28"/>
        </w:rPr>
        <w:t xml:space="preserve"> финансов</w:t>
      </w:r>
      <w:r w:rsidR="00DD3931">
        <w:rPr>
          <w:rFonts w:cs="Times New Roman"/>
          <w:sz w:val="28"/>
          <w:szCs w:val="28"/>
        </w:rPr>
        <w:t>ого</w:t>
      </w:r>
      <w:r>
        <w:rPr>
          <w:rFonts w:cs="Times New Roman"/>
          <w:sz w:val="28"/>
          <w:szCs w:val="28"/>
        </w:rPr>
        <w:t xml:space="preserve"> рычаг</w:t>
      </w:r>
      <w:r w:rsidR="00DD3931">
        <w:rPr>
          <w:rFonts w:cs="Times New Roman"/>
          <w:sz w:val="28"/>
          <w:szCs w:val="28"/>
        </w:rPr>
        <w:t>а указывает на использование большей степени обязательств</w:t>
      </w:r>
      <w:r>
        <w:rPr>
          <w:rFonts w:cs="Times New Roman"/>
          <w:sz w:val="28"/>
          <w:szCs w:val="28"/>
        </w:rPr>
        <w:t xml:space="preserve">, при этом, большое количество свободных средств обеспечивают запас прочности для случая </w:t>
      </w:r>
      <w:r w:rsidR="00086F48">
        <w:rPr>
          <w:rFonts w:cs="Times New Roman"/>
          <w:sz w:val="28"/>
          <w:szCs w:val="28"/>
        </w:rPr>
        <w:t>если</w:t>
      </w:r>
      <w:r>
        <w:rPr>
          <w:rFonts w:cs="Times New Roman"/>
          <w:sz w:val="28"/>
          <w:szCs w:val="28"/>
        </w:rPr>
        <w:t xml:space="preserve"> </w:t>
      </w:r>
      <w:r w:rsidR="00086F48">
        <w:rPr>
          <w:rFonts w:cs="Times New Roman"/>
          <w:sz w:val="28"/>
          <w:szCs w:val="28"/>
        </w:rPr>
        <w:t xml:space="preserve">большинство </w:t>
      </w:r>
      <w:r>
        <w:rPr>
          <w:rFonts w:cs="Times New Roman"/>
          <w:sz w:val="28"/>
          <w:szCs w:val="28"/>
        </w:rPr>
        <w:t>клиент</w:t>
      </w:r>
      <w:r w:rsidR="00086F48">
        <w:rPr>
          <w:rFonts w:cs="Times New Roman"/>
          <w:sz w:val="28"/>
          <w:szCs w:val="28"/>
        </w:rPr>
        <w:t>ов</w:t>
      </w:r>
      <w:r>
        <w:rPr>
          <w:rFonts w:cs="Times New Roman"/>
          <w:sz w:val="28"/>
          <w:szCs w:val="28"/>
        </w:rPr>
        <w:t xml:space="preserve"> банка</w:t>
      </w:r>
      <w:r w:rsidR="00086F48">
        <w:rPr>
          <w:rFonts w:cs="Times New Roman"/>
          <w:sz w:val="28"/>
          <w:szCs w:val="28"/>
        </w:rPr>
        <w:t xml:space="preserve"> одновременно</w:t>
      </w:r>
      <w:r>
        <w:rPr>
          <w:rFonts w:cs="Times New Roman"/>
          <w:sz w:val="28"/>
          <w:szCs w:val="28"/>
        </w:rPr>
        <w:t xml:space="preserve"> </w:t>
      </w:r>
      <w:r w:rsidR="00086F48">
        <w:rPr>
          <w:rFonts w:cs="Times New Roman"/>
          <w:sz w:val="28"/>
          <w:szCs w:val="28"/>
        </w:rPr>
        <w:t>потребуют свои депозиты назад. К тому же большинство выданных клиентам кредитов (73,27%) входят в категорию «стандартных», что говорит об их наименьшей среди всех других категорий степени риска, низком коэффициенте потерь и в достаточной степени защищенности текущей кредитоспособностью должника. 63,02% кредитов, выданных крупным корпоративным клиентам, имеют гарантии или связанных сторон</w:t>
      </w:r>
      <w:r w:rsidR="00BA2DB0">
        <w:rPr>
          <w:rFonts w:cs="Times New Roman"/>
          <w:sz w:val="28"/>
          <w:szCs w:val="28"/>
        </w:rPr>
        <w:t>, или гарантии третьих. Чистая прибыль положительна, и показывает положительную динамику, как показатель рентабельности собственного капитала. Инвестиционные ценные бумаги состоят из мало рисковых облигаций Министерства финансов Республики Казахстан и ноты Национального банка Республики Казахстан.</w:t>
      </w:r>
      <w:r w:rsidR="00DD3931" w:rsidRPr="00DD3931">
        <w:rPr>
          <w:rFonts w:cs="Times New Roman"/>
          <w:sz w:val="28"/>
          <w:szCs w:val="28"/>
        </w:rPr>
        <w:t xml:space="preserve"> </w:t>
      </w:r>
      <w:r w:rsidR="00DD3931">
        <w:rPr>
          <w:rFonts w:cs="Times New Roman"/>
          <w:sz w:val="28"/>
          <w:szCs w:val="28"/>
        </w:rPr>
        <w:t xml:space="preserve">Банк придерживается политики поддержания устойчивой базы капитала. В целом Банк выглядит надежным и устойчивым. </w:t>
      </w:r>
    </w:p>
    <w:p w14:paraId="494790ED" w14:textId="5A198079" w:rsidR="00DD3931" w:rsidRDefault="00DD3931" w:rsidP="00DD3931">
      <w:pPr>
        <w:contextualSpacing/>
        <w:jc w:val="both"/>
        <w:rPr>
          <w:rFonts w:cs="Times New Roman"/>
          <w:sz w:val="28"/>
          <w:szCs w:val="28"/>
        </w:rPr>
      </w:pPr>
      <w:r>
        <w:rPr>
          <w:rFonts w:cs="Times New Roman"/>
          <w:sz w:val="28"/>
          <w:szCs w:val="28"/>
        </w:rPr>
        <w:tab/>
        <w:t>Однако выделяется маленький кредитный портфель</w:t>
      </w:r>
      <w:r w:rsidR="00EB68A4">
        <w:rPr>
          <w:rFonts w:cs="Times New Roman"/>
          <w:sz w:val="28"/>
          <w:szCs w:val="28"/>
        </w:rPr>
        <w:t xml:space="preserve"> у Банка</w:t>
      </w:r>
      <w:r>
        <w:rPr>
          <w:rFonts w:cs="Times New Roman"/>
          <w:sz w:val="28"/>
          <w:szCs w:val="28"/>
        </w:rPr>
        <w:t xml:space="preserve">. Кредиты выдаются в основном юридическим лицам и розничным клиентам. Финансовые инструменты и инвестиционные ценные бумаги в структуре активов занимают не так много места. Большое количество свободных денежных средств, которые можно было бы реализовать, для развития банка, повышение ее прибыльности и показателей рентабельности. С другой стороны, нестабильная ситуация в экономике побуждает образовывать запас прочности для поддержания стабильности банка. Рекомендуется начать мягкие меры по расширению инвестиционного портфеля, по расширению кредитного портфеля. Возможно, стоит начать обеспечивать банковскими услугами большее число клиентов, расширить их спектр, выдавать кредит и физическим лицам. </w:t>
      </w:r>
    </w:p>
    <w:p w14:paraId="1F6283F7" w14:textId="216D64B0" w:rsidR="00EB68A4" w:rsidRDefault="00EB68A4" w:rsidP="00DD3931">
      <w:pPr>
        <w:contextualSpacing/>
        <w:jc w:val="both"/>
        <w:rPr>
          <w:rFonts w:cs="Times New Roman"/>
          <w:sz w:val="28"/>
          <w:szCs w:val="28"/>
        </w:rPr>
      </w:pPr>
    </w:p>
    <w:p w14:paraId="7CBC7220" w14:textId="64732CAF" w:rsidR="00EB68A4" w:rsidRDefault="00EB68A4" w:rsidP="00DD3931">
      <w:pPr>
        <w:contextualSpacing/>
        <w:jc w:val="both"/>
        <w:rPr>
          <w:rFonts w:cs="Times New Roman"/>
          <w:sz w:val="28"/>
          <w:szCs w:val="28"/>
        </w:rPr>
      </w:pPr>
    </w:p>
    <w:p w14:paraId="51D09095" w14:textId="5AEC4830" w:rsidR="00DD3931" w:rsidRDefault="008B565D" w:rsidP="00EB68A4">
      <w:pPr>
        <w:contextualSpacing/>
        <w:jc w:val="center"/>
        <w:rPr>
          <w:rFonts w:cs="Times New Roman"/>
          <w:b/>
          <w:bCs/>
          <w:sz w:val="28"/>
          <w:szCs w:val="28"/>
        </w:rPr>
      </w:pPr>
      <w:r>
        <w:rPr>
          <w:rFonts w:cs="Times New Roman"/>
          <w:b/>
          <w:bCs/>
          <w:sz w:val="28"/>
          <w:szCs w:val="28"/>
        </w:rPr>
        <w:lastRenderedPageBreak/>
        <w:t>СПИСОК ЛИТЕРАТУРЫ</w:t>
      </w:r>
    </w:p>
    <w:p w14:paraId="34B600BB" w14:textId="4546D715" w:rsidR="00EB68A4" w:rsidRPr="00EB68A4" w:rsidRDefault="00EB68A4" w:rsidP="00EB68A4">
      <w:pPr>
        <w:contextualSpacing/>
        <w:jc w:val="center"/>
        <w:rPr>
          <w:rFonts w:cs="Times New Roman"/>
          <w:b/>
          <w:bCs/>
          <w:sz w:val="28"/>
          <w:szCs w:val="28"/>
        </w:rPr>
      </w:pPr>
    </w:p>
    <w:p w14:paraId="49B60F9A" w14:textId="4C6AA232" w:rsidR="00EB68A4" w:rsidRPr="00EB68A4" w:rsidRDefault="00EB68A4" w:rsidP="00EB68A4">
      <w:pPr>
        <w:pStyle w:val="a7"/>
        <w:numPr>
          <w:ilvl w:val="0"/>
          <w:numId w:val="3"/>
        </w:numPr>
        <w:jc w:val="both"/>
        <w:rPr>
          <w:rFonts w:cs="Times New Roman"/>
          <w:sz w:val="28"/>
          <w:szCs w:val="28"/>
          <w:lang w:val="en-US"/>
        </w:rPr>
      </w:pPr>
      <w:r w:rsidRPr="00EB68A4">
        <w:rPr>
          <w:rFonts w:cs="Times New Roman"/>
          <w:sz w:val="28"/>
          <w:szCs w:val="28"/>
        </w:rPr>
        <w:t>О внесении изменений и дополнения в постановление Правления Национального Банка Республики Казахстан от 13 сентября 2017 года</w:t>
      </w:r>
      <w:r>
        <w:rPr>
          <w:rFonts w:cs="Times New Roman"/>
          <w:sz w:val="28"/>
          <w:szCs w:val="28"/>
        </w:rPr>
        <w:t xml:space="preserve"> </w:t>
      </w:r>
      <w:r w:rsidRPr="00EB68A4">
        <w:rPr>
          <w:rFonts w:cs="Times New Roman"/>
          <w:sz w:val="28"/>
          <w:szCs w:val="28"/>
        </w:rPr>
        <w:t xml:space="preserve">№ 170 «Об установлении нормативных значений и методик расчетов </w:t>
      </w:r>
      <w:proofErr w:type="spellStart"/>
      <w:r w:rsidRPr="00EB68A4">
        <w:rPr>
          <w:rFonts w:cs="Times New Roman"/>
          <w:sz w:val="28"/>
          <w:szCs w:val="28"/>
        </w:rPr>
        <w:t>пруденциальных</w:t>
      </w:r>
      <w:proofErr w:type="spellEnd"/>
      <w:r w:rsidRPr="00EB68A4">
        <w:rPr>
          <w:rFonts w:cs="Times New Roman"/>
          <w:sz w:val="28"/>
          <w:szCs w:val="28"/>
        </w:rPr>
        <w:t xml:space="preserve"> нормативов и иных обязательных к соблюдению норм, и лимитов размера капитала банка на определенную дату и Правил расчета и лимитов открытой валютной позиции». </w:t>
      </w:r>
      <w:r w:rsidRPr="00EB68A4">
        <w:rPr>
          <w:rFonts w:cs="Times New Roman"/>
          <w:sz w:val="28"/>
          <w:szCs w:val="28"/>
          <w:lang w:val="en-US"/>
        </w:rPr>
        <w:t xml:space="preserve">URL: </w:t>
      </w:r>
      <w:r w:rsidRPr="00DB468E">
        <w:rPr>
          <w:rFonts w:cs="Times New Roman"/>
          <w:sz w:val="28"/>
          <w:szCs w:val="28"/>
          <w:lang w:val="en-US"/>
        </w:rPr>
        <w:t>https://finreg.kz/cont/%D0%9D%D0%9F%D0%90%20170%20%D1%80%D1%83%D1%811.docx</w:t>
      </w:r>
    </w:p>
    <w:p w14:paraId="7E35F515" w14:textId="77777777" w:rsidR="007C19F3" w:rsidRPr="00EB68A4" w:rsidRDefault="007C19F3" w:rsidP="00EB68A4">
      <w:pPr>
        <w:pStyle w:val="a7"/>
        <w:numPr>
          <w:ilvl w:val="0"/>
          <w:numId w:val="3"/>
        </w:numPr>
        <w:jc w:val="both"/>
        <w:rPr>
          <w:rFonts w:cs="Times New Roman"/>
          <w:sz w:val="28"/>
          <w:szCs w:val="28"/>
          <w:lang w:val="en-US"/>
        </w:rPr>
      </w:pPr>
      <w:proofErr w:type="spellStart"/>
      <w:r w:rsidRPr="00EB68A4">
        <w:rPr>
          <w:rFonts w:cs="Times New Roman"/>
          <w:sz w:val="28"/>
          <w:szCs w:val="28"/>
        </w:rPr>
        <w:t>Аудированная</w:t>
      </w:r>
      <w:proofErr w:type="spellEnd"/>
      <w:r w:rsidRPr="00EB68A4">
        <w:rPr>
          <w:rFonts w:cs="Times New Roman"/>
          <w:sz w:val="28"/>
          <w:szCs w:val="28"/>
        </w:rPr>
        <w:t xml:space="preserve"> финансовая отчетность АО "Ситибанк Казахстан" за год, закончившийся 31 декабря 2018 года</w:t>
      </w:r>
      <w:r>
        <w:rPr>
          <w:rFonts w:cs="Times New Roman"/>
          <w:sz w:val="28"/>
          <w:szCs w:val="28"/>
        </w:rPr>
        <w:t xml:space="preserve">. </w:t>
      </w:r>
      <w:r>
        <w:rPr>
          <w:rFonts w:cs="Times New Roman"/>
          <w:sz w:val="28"/>
          <w:szCs w:val="28"/>
          <w:lang w:val="en-US"/>
        </w:rPr>
        <w:t>URL</w:t>
      </w:r>
      <w:r w:rsidRPr="00EB68A4">
        <w:rPr>
          <w:rFonts w:cs="Times New Roman"/>
          <w:sz w:val="28"/>
          <w:szCs w:val="28"/>
          <w:lang w:val="en-US"/>
        </w:rPr>
        <w:t>:</w:t>
      </w:r>
      <w:r w:rsidRPr="00EB68A4">
        <w:rPr>
          <w:lang w:val="en-US"/>
        </w:rPr>
        <w:t xml:space="preserve"> </w:t>
      </w:r>
      <w:r w:rsidRPr="00EB68A4">
        <w:rPr>
          <w:rFonts w:cs="Times New Roman"/>
          <w:sz w:val="28"/>
          <w:szCs w:val="28"/>
          <w:lang w:val="en-US"/>
        </w:rPr>
        <w:t>https://www.citibank.com/icg/sa/emea/kazakhstan/russian/assets/docs/Citibank_RUS_2018.pdf</w:t>
      </w:r>
    </w:p>
    <w:p w14:paraId="77082362" w14:textId="77777777" w:rsidR="007C19F3" w:rsidRPr="00EB68A4" w:rsidRDefault="007C19F3" w:rsidP="00EB68A4">
      <w:pPr>
        <w:pStyle w:val="a7"/>
        <w:numPr>
          <w:ilvl w:val="0"/>
          <w:numId w:val="3"/>
        </w:numPr>
        <w:jc w:val="both"/>
        <w:rPr>
          <w:rFonts w:cs="Times New Roman"/>
          <w:sz w:val="28"/>
          <w:szCs w:val="28"/>
          <w:lang w:val="en-US"/>
        </w:rPr>
      </w:pPr>
      <w:proofErr w:type="spellStart"/>
      <w:r w:rsidRPr="00EB68A4">
        <w:rPr>
          <w:rFonts w:cs="Times New Roman"/>
          <w:sz w:val="28"/>
          <w:szCs w:val="28"/>
        </w:rPr>
        <w:t>Аудированная</w:t>
      </w:r>
      <w:proofErr w:type="spellEnd"/>
      <w:r w:rsidRPr="00EB68A4">
        <w:rPr>
          <w:rFonts w:cs="Times New Roman"/>
          <w:sz w:val="28"/>
          <w:szCs w:val="28"/>
        </w:rPr>
        <w:t xml:space="preserve"> финансовая отчетность АО "Ситибанк Казахстан" за год, закончившийся 31 декабря 2017 года</w:t>
      </w:r>
      <w:r>
        <w:rPr>
          <w:rFonts w:cs="Times New Roman"/>
          <w:sz w:val="28"/>
          <w:szCs w:val="28"/>
        </w:rPr>
        <w:t xml:space="preserve">. </w:t>
      </w:r>
      <w:r>
        <w:rPr>
          <w:rFonts w:cs="Times New Roman"/>
          <w:sz w:val="28"/>
          <w:szCs w:val="28"/>
          <w:lang w:val="en-US"/>
        </w:rPr>
        <w:t>URL</w:t>
      </w:r>
      <w:r w:rsidRPr="00EB68A4">
        <w:rPr>
          <w:rFonts w:cs="Times New Roman"/>
          <w:sz w:val="28"/>
          <w:szCs w:val="28"/>
          <w:lang w:val="en-US"/>
        </w:rPr>
        <w:t>:</w:t>
      </w:r>
      <w:r w:rsidRPr="00EB68A4">
        <w:rPr>
          <w:lang w:val="en-US"/>
        </w:rPr>
        <w:t xml:space="preserve"> </w:t>
      </w:r>
      <w:r w:rsidRPr="00EB68A4">
        <w:rPr>
          <w:rFonts w:cs="Times New Roman"/>
          <w:sz w:val="28"/>
          <w:szCs w:val="28"/>
          <w:lang w:val="en-US"/>
        </w:rPr>
        <w:t>https://www.citibank.com/icg/sa/emea/kazakhstan/russian/assets/docs/pub2017fsru.pdf</w:t>
      </w:r>
    </w:p>
    <w:p w14:paraId="0E425114" w14:textId="77777777" w:rsidR="007C19F3" w:rsidRDefault="007C19F3" w:rsidP="00EB68A4">
      <w:pPr>
        <w:pStyle w:val="a7"/>
        <w:numPr>
          <w:ilvl w:val="0"/>
          <w:numId w:val="3"/>
        </w:numPr>
        <w:jc w:val="both"/>
        <w:rPr>
          <w:rFonts w:cs="Times New Roman"/>
          <w:sz w:val="28"/>
          <w:szCs w:val="28"/>
          <w:lang w:val="en-US"/>
        </w:rPr>
      </w:pPr>
      <w:bookmarkStart w:id="2" w:name="_Hlk68232222"/>
      <w:proofErr w:type="spellStart"/>
      <w:r w:rsidRPr="00EB68A4">
        <w:rPr>
          <w:rFonts w:cs="Times New Roman"/>
          <w:sz w:val="28"/>
          <w:szCs w:val="28"/>
        </w:rPr>
        <w:t>Аудированная</w:t>
      </w:r>
      <w:proofErr w:type="spellEnd"/>
      <w:r w:rsidRPr="00EB68A4">
        <w:rPr>
          <w:rFonts w:cs="Times New Roman"/>
          <w:sz w:val="28"/>
          <w:szCs w:val="28"/>
        </w:rPr>
        <w:t xml:space="preserve"> финансовая отчетность АО "Ситибанк Казахстан" за год, закончившийся 31 декабря 2019 года</w:t>
      </w:r>
      <w:bookmarkEnd w:id="2"/>
      <w:r>
        <w:rPr>
          <w:rFonts w:cs="Times New Roman"/>
          <w:sz w:val="28"/>
          <w:szCs w:val="28"/>
        </w:rPr>
        <w:t xml:space="preserve">. </w:t>
      </w:r>
      <w:r>
        <w:rPr>
          <w:rFonts w:cs="Times New Roman"/>
          <w:sz w:val="28"/>
          <w:szCs w:val="28"/>
          <w:lang w:val="en-US"/>
        </w:rPr>
        <w:t>URL</w:t>
      </w:r>
      <w:r w:rsidRPr="00EB68A4">
        <w:rPr>
          <w:rFonts w:cs="Times New Roman"/>
          <w:sz w:val="28"/>
          <w:szCs w:val="28"/>
          <w:lang w:val="en-US"/>
        </w:rPr>
        <w:t>:</w:t>
      </w:r>
      <w:r w:rsidRPr="00EB68A4">
        <w:rPr>
          <w:lang w:val="en-US"/>
        </w:rPr>
        <w:t xml:space="preserve"> </w:t>
      </w:r>
      <w:r w:rsidRPr="00DB468E">
        <w:rPr>
          <w:rFonts w:cs="Times New Roman"/>
          <w:sz w:val="28"/>
          <w:szCs w:val="28"/>
          <w:lang w:val="en-US"/>
        </w:rPr>
        <w:t>https://www.citibank.com/icg/sa/emea/kazakhstan/russian/assets/docs/Citibank_RUS_2019.pdf</w:t>
      </w:r>
    </w:p>
    <w:p w14:paraId="212D2417" w14:textId="77777777" w:rsidR="007C19F3" w:rsidRPr="00EB68A4" w:rsidRDefault="007C19F3" w:rsidP="00EB68A4">
      <w:pPr>
        <w:pStyle w:val="a7"/>
        <w:numPr>
          <w:ilvl w:val="0"/>
          <w:numId w:val="3"/>
        </w:numPr>
        <w:jc w:val="both"/>
        <w:rPr>
          <w:rFonts w:cs="Times New Roman"/>
          <w:sz w:val="28"/>
          <w:szCs w:val="28"/>
          <w:lang w:val="en-US"/>
        </w:rPr>
      </w:pPr>
      <w:r w:rsidRPr="00EB68A4">
        <w:rPr>
          <w:rFonts w:cs="Times New Roman"/>
          <w:sz w:val="28"/>
          <w:szCs w:val="28"/>
        </w:rPr>
        <w:t xml:space="preserve">Отчет о финансовом положении АО "Ситибанк Казахстан" по состоянию на 31 Декабря 2019 года, подготовленный в соответствии с Международными Стандартами Финансовой Отчетности. </w:t>
      </w:r>
      <w:r w:rsidRPr="00EB68A4">
        <w:rPr>
          <w:rFonts w:cs="Times New Roman"/>
          <w:sz w:val="28"/>
          <w:szCs w:val="28"/>
          <w:lang w:val="en-US"/>
        </w:rPr>
        <w:t>URL: https://www.citibank.com/icg/sa/emea/kazakhstan/russian/assets/docs/Citibank_RUS_2019.pdf</w:t>
      </w:r>
    </w:p>
    <w:p w14:paraId="5F484EC2" w14:textId="77777777" w:rsidR="007C19F3" w:rsidRPr="00DB468E" w:rsidRDefault="007C19F3" w:rsidP="007C19F3">
      <w:pPr>
        <w:pStyle w:val="a7"/>
        <w:numPr>
          <w:ilvl w:val="0"/>
          <w:numId w:val="3"/>
        </w:numPr>
        <w:jc w:val="both"/>
        <w:rPr>
          <w:rFonts w:cs="Times New Roman"/>
          <w:sz w:val="28"/>
          <w:szCs w:val="28"/>
        </w:rPr>
      </w:pPr>
      <w:proofErr w:type="spellStart"/>
      <w:r w:rsidRPr="00DB468E">
        <w:rPr>
          <w:rFonts w:cs="Times New Roman"/>
          <w:sz w:val="28"/>
          <w:szCs w:val="28"/>
        </w:rPr>
        <w:t>Барташевич</w:t>
      </w:r>
      <w:proofErr w:type="spellEnd"/>
      <w:r w:rsidRPr="00DB468E">
        <w:rPr>
          <w:rFonts w:cs="Times New Roman"/>
          <w:sz w:val="28"/>
          <w:szCs w:val="28"/>
        </w:rPr>
        <w:t>, Н. И.</w:t>
      </w:r>
      <w:r>
        <w:rPr>
          <w:rFonts w:cs="Times New Roman"/>
          <w:sz w:val="28"/>
          <w:szCs w:val="28"/>
        </w:rPr>
        <w:t xml:space="preserve"> </w:t>
      </w:r>
      <w:r w:rsidRPr="00DB468E">
        <w:rPr>
          <w:rFonts w:cs="Times New Roman"/>
          <w:sz w:val="28"/>
          <w:szCs w:val="28"/>
        </w:rPr>
        <w:t>Анализ деятельности банка и управление рисками:</w:t>
      </w:r>
      <w:r>
        <w:rPr>
          <w:rFonts w:cs="Times New Roman"/>
          <w:sz w:val="28"/>
          <w:szCs w:val="28"/>
        </w:rPr>
        <w:t xml:space="preserve"> </w:t>
      </w:r>
      <w:r w:rsidRPr="00DB468E">
        <w:rPr>
          <w:rFonts w:cs="Times New Roman"/>
          <w:sz w:val="28"/>
          <w:szCs w:val="28"/>
        </w:rPr>
        <w:t xml:space="preserve">основы </w:t>
      </w:r>
      <w:proofErr w:type="gramStart"/>
      <w:r w:rsidRPr="00DB468E">
        <w:rPr>
          <w:rFonts w:cs="Times New Roman"/>
          <w:sz w:val="28"/>
          <w:szCs w:val="28"/>
        </w:rPr>
        <w:t>анализа :</w:t>
      </w:r>
      <w:proofErr w:type="gramEnd"/>
      <w:r w:rsidRPr="00DB468E">
        <w:rPr>
          <w:rFonts w:cs="Times New Roman"/>
          <w:sz w:val="28"/>
          <w:szCs w:val="28"/>
        </w:rPr>
        <w:t xml:space="preserve"> практическое руководство /</w:t>
      </w:r>
      <w:r>
        <w:rPr>
          <w:rFonts w:cs="Times New Roman"/>
          <w:sz w:val="28"/>
          <w:szCs w:val="28"/>
        </w:rPr>
        <w:t xml:space="preserve"> </w:t>
      </w:r>
      <w:r w:rsidRPr="00DB468E">
        <w:rPr>
          <w:rFonts w:cs="Times New Roman"/>
          <w:sz w:val="28"/>
          <w:szCs w:val="28"/>
        </w:rPr>
        <w:t xml:space="preserve">Н. И. </w:t>
      </w:r>
      <w:proofErr w:type="spellStart"/>
      <w:r w:rsidRPr="00DB468E">
        <w:rPr>
          <w:rFonts w:cs="Times New Roman"/>
          <w:sz w:val="28"/>
          <w:szCs w:val="28"/>
        </w:rPr>
        <w:t>Барташевич</w:t>
      </w:r>
      <w:proofErr w:type="spellEnd"/>
      <w:r w:rsidRPr="00DB468E">
        <w:rPr>
          <w:rFonts w:cs="Times New Roman"/>
          <w:sz w:val="28"/>
          <w:szCs w:val="28"/>
        </w:rPr>
        <w:t xml:space="preserve">, О. Н. Будникова, Т. С. Родионова ; М-во образования Республики Беларусь, </w:t>
      </w:r>
      <w:r w:rsidRPr="00DB468E">
        <w:rPr>
          <w:rFonts w:cs="Times New Roman"/>
          <w:sz w:val="28"/>
          <w:szCs w:val="28"/>
        </w:rPr>
        <w:lastRenderedPageBreak/>
        <w:t xml:space="preserve">Гомельский гос. ун-т им. Ф. Скорины. – Гомель: ГГУ им. </w:t>
      </w:r>
      <w:r w:rsidRPr="007C19F3">
        <w:rPr>
          <w:rFonts w:cs="Times New Roman"/>
          <w:sz w:val="28"/>
          <w:szCs w:val="28"/>
        </w:rPr>
        <w:t xml:space="preserve">Ф. Скорины, 2016. – 46 </w:t>
      </w:r>
      <w:r w:rsidRPr="00DB468E">
        <w:rPr>
          <w:rFonts w:cs="Times New Roman"/>
          <w:sz w:val="28"/>
          <w:szCs w:val="28"/>
          <w:lang w:val="en-US"/>
        </w:rPr>
        <w:t>c</w:t>
      </w:r>
      <w:r w:rsidRPr="007C19F3">
        <w:rPr>
          <w:rFonts w:cs="Times New Roman"/>
          <w:sz w:val="28"/>
          <w:szCs w:val="28"/>
        </w:rPr>
        <w:t>.</w:t>
      </w:r>
    </w:p>
    <w:p w14:paraId="16C459A7" w14:textId="77777777" w:rsidR="007C19F3" w:rsidRPr="00DB468E" w:rsidRDefault="007C19F3" w:rsidP="00DB468E">
      <w:pPr>
        <w:pStyle w:val="a8"/>
        <w:numPr>
          <w:ilvl w:val="0"/>
          <w:numId w:val="3"/>
        </w:numPr>
        <w:spacing w:line="360" w:lineRule="auto"/>
        <w:ind w:left="714" w:hanging="357"/>
        <w:rPr>
          <w:sz w:val="28"/>
          <w:szCs w:val="28"/>
          <w:lang w:val="en-US"/>
        </w:rPr>
      </w:pPr>
      <w:r w:rsidRPr="00DB468E">
        <w:rPr>
          <w:sz w:val="28"/>
          <w:szCs w:val="28"/>
        </w:rPr>
        <w:t xml:space="preserve">Официальный сайт АО «Ситибанк Казахстан». </w:t>
      </w:r>
      <w:r w:rsidRPr="00DB468E">
        <w:rPr>
          <w:sz w:val="28"/>
          <w:szCs w:val="28"/>
          <w:lang w:val="en-US"/>
        </w:rPr>
        <w:t>URL: https://www.citibank.com/icg/sa/emea/kazakhstan/russian/citi/</w:t>
      </w:r>
    </w:p>
    <w:p w14:paraId="05B02BB2" w14:textId="77777777" w:rsidR="007C19F3" w:rsidRDefault="007C19F3" w:rsidP="00EB68A4">
      <w:pPr>
        <w:pStyle w:val="a7"/>
        <w:numPr>
          <w:ilvl w:val="0"/>
          <w:numId w:val="3"/>
        </w:numPr>
        <w:jc w:val="both"/>
        <w:rPr>
          <w:rFonts w:cs="Times New Roman"/>
          <w:sz w:val="28"/>
          <w:szCs w:val="28"/>
          <w:lang w:val="en-US"/>
        </w:rPr>
      </w:pPr>
      <w:r>
        <w:rPr>
          <w:rFonts w:cs="Times New Roman"/>
          <w:sz w:val="28"/>
          <w:szCs w:val="28"/>
        </w:rPr>
        <w:t>Официальный сайт Казахстанской фондовой биржи (</w:t>
      </w:r>
      <w:r>
        <w:rPr>
          <w:rFonts w:cs="Times New Roman"/>
          <w:sz w:val="28"/>
          <w:szCs w:val="28"/>
          <w:lang w:val="en-US"/>
        </w:rPr>
        <w:t>KASE</w:t>
      </w:r>
      <w:r>
        <w:rPr>
          <w:rFonts w:cs="Times New Roman"/>
          <w:sz w:val="28"/>
          <w:szCs w:val="28"/>
        </w:rPr>
        <w:t xml:space="preserve">). </w:t>
      </w:r>
      <w:r>
        <w:rPr>
          <w:rFonts w:cs="Times New Roman"/>
          <w:sz w:val="28"/>
          <w:szCs w:val="28"/>
          <w:lang w:val="en-US"/>
        </w:rPr>
        <w:t>URL</w:t>
      </w:r>
      <w:r w:rsidRPr="00EB68A4">
        <w:rPr>
          <w:rFonts w:cs="Times New Roman"/>
          <w:sz w:val="28"/>
          <w:szCs w:val="28"/>
          <w:lang w:val="en-US"/>
        </w:rPr>
        <w:t xml:space="preserve">: </w:t>
      </w:r>
      <w:r w:rsidRPr="00DB468E">
        <w:rPr>
          <w:rFonts w:cs="Times New Roman"/>
          <w:sz w:val="28"/>
          <w:szCs w:val="28"/>
          <w:lang w:val="en-US"/>
        </w:rPr>
        <w:t>https://kase.kz/ru/membership/CITI_/</w:t>
      </w:r>
    </w:p>
    <w:p w14:paraId="5288FED7" w14:textId="77777777" w:rsidR="007C19F3" w:rsidRDefault="007C19F3" w:rsidP="00DB468E">
      <w:pPr>
        <w:pStyle w:val="a7"/>
        <w:numPr>
          <w:ilvl w:val="0"/>
          <w:numId w:val="3"/>
        </w:numPr>
        <w:ind w:left="714" w:hanging="357"/>
        <w:jc w:val="both"/>
        <w:rPr>
          <w:rFonts w:cs="Times New Roman"/>
          <w:sz w:val="28"/>
          <w:szCs w:val="28"/>
          <w:lang w:val="en-US"/>
        </w:rPr>
      </w:pPr>
      <w:r w:rsidRPr="00DB468E">
        <w:rPr>
          <w:rFonts w:cs="Times New Roman"/>
          <w:sz w:val="28"/>
          <w:szCs w:val="28"/>
        </w:rPr>
        <w:t xml:space="preserve">Почему </w:t>
      </w:r>
      <w:proofErr w:type="spellStart"/>
      <w:r w:rsidRPr="00DB468E">
        <w:rPr>
          <w:rFonts w:cs="Times New Roman"/>
          <w:sz w:val="28"/>
          <w:szCs w:val="28"/>
        </w:rPr>
        <w:t>CitiBank</w:t>
      </w:r>
      <w:proofErr w:type="spellEnd"/>
      <w:r w:rsidRPr="00DB468E">
        <w:rPr>
          <w:rFonts w:cs="Times New Roman"/>
          <w:sz w:val="28"/>
          <w:szCs w:val="28"/>
        </w:rPr>
        <w:t xml:space="preserve"> намерен и дальше вести бизнес в Казахстане</w:t>
      </w:r>
      <w:r>
        <w:rPr>
          <w:rFonts w:cs="Times New Roman"/>
          <w:sz w:val="28"/>
          <w:szCs w:val="28"/>
        </w:rPr>
        <w:t xml:space="preserve"> </w:t>
      </w:r>
      <w:r w:rsidRPr="00DB468E">
        <w:rPr>
          <w:sz w:val="28"/>
          <w:szCs w:val="24"/>
        </w:rPr>
        <w:t xml:space="preserve">— </w:t>
      </w:r>
      <w:proofErr w:type="spellStart"/>
      <w:r w:rsidRPr="00DB468E">
        <w:rPr>
          <w:sz w:val="28"/>
          <w:szCs w:val="24"/>
        </w:rPr>
        <w:t>Forbes</w:t>
      </w:r>
      <w:proofErr w:type="spellEnd"/>
      <w:r w:rsidRPr="00DB468E">
        <w:rPr>
          <w:sz w:val="28"/>
          <w:szCs w:val="24"/>
        </w:rPr>
        <w:t xml:space="preserve"> </w:t>
      </w:r>
      <w:proofErr w:type="spellStart"/>
      <w:r w:rsidRPr="00DB468E">
        <w:rPr>
          <w:sz w:val="28"/>
          <w:szCs w:val="24"/>
        </w:rPr>
        <w:t>Kazakhstan</w:t>
      </w:r>
      <w:proofErr w:type="spellEnd"/>
      <w:r>
        <w:rPr>
          <w:rFonts w:cs="Times New Roman"/>
          <w:sz w:val="28"/>
          <w:szCs w:val="28"/>
        </w:rPr>
        <w:t xml:space="preserve">. </w:t>
      </w:r>
      <w:r>
        <w:rPr>
          <w:rFonts w:cs="Times New Roman"/>
          <w:sz w:val="28"/>
          <w:szCs w:val="28"/>
          <w:lang w:val="en-US"/>
        </w:rPr>
        <w:t>URL</w:t>
      </w:r>
      <w:r w:rsidRPr="00DB468E">
        <w:rPr>
          <w:rFonts w:cs="Times New Roman"/>
          <w:sz w:val="28"/>
          <w:szCs w:val="28"/>
          <w:lang w:val="en-US"/>
        </w:rPr>
        <w:t>:</w:t>
      </w:r>
      <w:r w:rsidRPr="00DB468E">
        <w:rPr>
          <w:lang w:val="en-US"/>
        </w:rPr>
        <w:t xml:space="preserve"> </w:t>
      </w:r>
      <w:r w:rsidRPr="00DB468E">
        <w:rPr>
          <w:rFonts w:cs="Times New Roman"/>
          <w:sz w:val="28"/>
          <w:szCs w:val="28"/>
          <w:lang w:val="en-US"/>
        </w:rPr>
        <w:t>https://www.banker.kz/news/pochemu-citibank-nameren-i-dalshe-vesti-biznes-v-kazakhstane/</w:t>
      </w:r>
    </w:p>
    <w:p w14:paraId="6CA55A44" w14:textId="7DAC514D" w:rsidR="007C19F3" w:rsidRDefault="007C19F3" w:rsidP="00DB468E">
      <w:pPr>
        <w:pStyle w:val="a7"/>
        <w:numPr>
          <w:ilvl w:val="0"/>
          <w:numId w:val="3"/>
        </w:numPr>
        <w:ind w:left="714" w:hanging="357"/>
        <w:jc w:val="both"/>
        <w:rPr>
          <w:rFonts w:cs="Times New Roman"/>
          <w:sz w:val="28"/>
          <w:szCs w:val="28"/>
          <w:lang w:val="en-US"/>
        </w:rPr>
      </w:pPr>
      <w:r w:rsidRPr="00DB468E">
        <w:rPr>
          <w:sz w:val="28"/>
          <w:szCs w:val="24"/>
        </w:rPr>
        <w:t xml:space="preserve">Рейтинг банков Казахстана - 2020 — </w:t>
      </w:r>
      <w:proofErr w:type="spellStart"/>
      <w:r w:rsidRPr="00DB468E">
        <w:rPr>
          <w:sz w:val="28"/>
          <w:szCs w:val="24"/>
        </w:rPr>
        <w:t>Forbes</w:t>
      </w:r>
      <w:proofErr w:type="spellEnd"/>
      <w:r w:rsidRPr="00DB468E">
        <w:rPr>
          <w:sz w:val="28"/>
          <w:szCs w:val="24"/>
        </w:rPr>
        <w:t xml:space="preserve"> </w:t>
      </w:r>
      <w:proofErr w:type="spellStart"/>
      <w:r w:rsidRPr="00DB468E">
        <w:rPr>
          <w:sz w:val="28"/>
          <w:szCs w:val="24"/>
        </w:rPr>
        <w:t>Kazakhstan</w:t>
      </w:r>
      <w:proofErr w:type="spellEnd"/>
      <w:r>
        <w:rPr>
          <w:rFonts w:cs="Times New Roman"/>
          <w:sz w:val="28"/>
          <w:szCs w:val="28"/>
        </w:rPr>
        <w:t xml:space="preserve">. </w:t>
      </w:r>
      <w:r>
        <w:rPr>
          <w:rFonts w:cs="Times New Roman"/>
          <w:sz w:val="28"/>
          <w:szCs w:val="28"/>
          <w:lang w:val="en-US"/>
        </w:rPr>
        <w:t>URL</w:t>
      </w:r>
      <w:r w:rsidRPr="00DB468E">
        <w:rPr>
          <w:rFonts w:cs="Times New Roman"/>
          <w:sz w:val="28"/>
          <w:szCs w:val="28"/>
          <w:lang w:val="en-US"/>
        </w:rPr>
        <w:t xml:space="preserve">: </w:t>
      </w:r>
      <w:r w:rsidR="005769C7" w:rsidRPr="00214DA1">
        <w:rPr>
          <w:rFonts w:cs="Times New Roman"/>
          <w:sz w:val="28"/>
          <w:szCs w:val="28"/>
          <w:lang w:val="en-US"/>
        </w:rPr>
        <w:t>https://forbes.kz//leader/reyting_bankov_kazahstana_-_2020_1589725980/</w:t>
      </w:r>
      <w:r w:rsidRPr="00DB468E">
        <w:rPr>
          <w:rFonts w:cs="Times New Roman"/>
          <w:sz w:val="28"/>
          <w:szCs w:val="28"/>
          <w:lang w:val="en-US"/>
        </w:rPr>
        <w:t>?</w:t>
      </w:r>
    </w:p>
    <w:p w14:paraId="6D5F3E73" w14:textId="5283D372" w:rsidR="005769C7" w:rsidRDefault="005769C7" w:rsidP="005769C7">
      <w:pPr>
        <w:jc w:val="both"/>
        <w:rPr>
          <w:rFonts w:cs="Times New Roman"/>
          <w:sz w:val="28"/>
          <w:szCs w:val="28"/>
          <w:lang w:val="en-US"/>
        </w:rPr>
      </w:pPr>
    </w:p>
    <w:p w14:paraId="26538C5D" w14:textId="6E3C9E5B" w:rsidR="005769C7" w:rsidRDefault="005769C7" w:rsidP="005769C7">
      <w:pPr>
        <w:jc w:val="both"/>
        <w:rPr>
          <w:rFonts w:cs="Times New Roman"/>
          <w:sz w:val="28"/>
          <w:szCs w:val="28"/>
          <w:lang w:val="en-US"/>
        </w:rPr>
      </w:pPr>
    </w:p>
    <w:p w14:paraId="2693E958" w14:textId="136B982F" w:rsidR="005769C7" w:rsidRDefault="005769C7" w:rsidP="005769C7">
      <w:pPr>
        <w:jc w:val="both"/>
        <w:rPr>
          <w:rFonts w:cs="Times New Roman"/>
          <w:sz w:val="28"/>
          <w:szCs w:val="28"/>
          <w:lang w:val="en-US"/>
        </w:rPr>
      </w:pPr>
    </w:p>
    <w:p w14:paraId="21B9F3EE" w14:textId="75CFB56B" w:rsidR="005769C7" w:rsidRDefault="005769C7" w:rsidP="005769C7">
      <w:pPr>
        <w:jc w:val="both"/>
        <w:rPr>
          <w:rFonts w:cs="Times New Roman"/>
          <w:sz w:val="28"/>
          <w:szCs w:val="28"/>
          <w:lang w:val="en-US"/>
        </w:rPr>
      </w:pPr>
    </w:p>
    <w:p w14:paraId="3C6FC069" w14:textId="26353D69" w:rsidR="005769C7" w:rsidRDefault="005769C7" w:rsidP="005769C7">
      <w:pPr>
        <w:jc w:val="both"/>
        <w:rPr>
          <w:rFonts w:cs="Times New Roman"/>
          <w:sz w:val="28"/>
          <w:szCs w:val="28"/>
          <w:lang w:val="en-US"/>
        </w:rPr>
      </w:pPr>
    </w:p>
    <w:p w14:paraId="6381A0A3" w14:textId="7EFC6F98" w:rsidR="005769C7" w:rsidRDefault="005769C7" w:rsidP="005769C7">
      <w:pPr>
        <w:jc w:val="both"/>
        <w:rPr>
          <w:rFonts w:cs="Times New Roman"/>
          <w:sz w:val="28"/>
          <w:szCs w:val="28"/>
          <w:lang w:val="en-US"/>
        </w:rPr>
      </w:pPr>
    </w:p>
    <w:p w14:paraId="35520704" w14:textId="26E3F467" w:rsidR="005769C7" w:rsidRDefault="005769C7" w:rsidP="005769C7">
      <w:pPr>
        <w:jc w:val="both"/>
        <w:rPr>
          <w:rFonts w:cs="Times New Roman"/>
          <w:sz w:val="28"/>
          <w:szCs w:val="28"/>
          <w:lang w:val="en-US"/>
        </w:rPr>
      </w:pPr>
    </w:p>
    <w:p w14:paraId="1223E5FE" w14:textId="063AFB32" w:rsidR="005769C7" w:rsidRDefault="005769C7" w:rsidP="005769C7">
      <w:pPr>
        <w:jc w:val="both"/>
        <w:rPr>
          <w:rFonts w:cs="Times New Roman"/>
          <w:sz w:val="28"/>
          <w:szCs w:val="28"/>
          <w:lang w:val="en-US"/>
        </w:rPr>
      </w:pPr>
    </w:p>
    <w:p w14:paraId="1FC3704D" w14:textId="27B80A39" w:rsidR="005769C7" w:rsidRDefault="005769C7" w:rsidP="005769C7">
      <w:pPr>
        <w:jc w:val="both"/>
        <w:rPr>
          <w:rFonts w:cs="Times New Roman"/>
          <w:sz w:val="28"/>
          <w:szCs w:val="28"/>
          <w:lang w:val="en-US"/>
        </w:rPr>
      </w:pPr>
    </w:p>
    <w:p w14:paraId="5A6CF4C9" w14:textId="20F7B92F" w:rsidR="005769C7" w:rsidRDefault="005769C7" w:rsidP="005769C7">
      <w:pPr>
        <w:jc w:val="both"/>
        <w:rPr>
          <w:rFonts w:cs="Times New Roman"/>
          <w:sz w:val="28"/>
          <w:szCs w:val="28"/>
          <w:lang w:val="en-US"/>
        </w:rPr>
      </w:pPr>
    </w:p>
    <w:p w14:paraId="5A8804B5" w14:textId="2F297C48" w:rsidR="005769C7" w:rsidRDefault="005769C7" w:rsidP="005769C7">
      <w:pPr>
        <w:jc w:val="both"/>
        <w:rPr>
          <w:rFonts w:cs="Times New Roman"/>
          <w:sz w:val="28"/>
          <w:szCs w:val="28"/>
          <w:lang w:val="en-US"/>
        </w:rPr>
      </w:pPr>
    </w:p>
    <w:p w14:paraId="6591988A" w14:textId="1D95E3CA" w:rsidR="005769C7" w:rsidRDefault="005769C7" w:rsidP="005769C7">
      <w:pPr>
        <w:jc w:val="both"/>
        <w:rPr>
          <w:rFonts w:cs="Times New Roman"/>
          <w:sz w:val="28"/>
          <w:szCs w:val="28"/>
          <w:lang w:val="en-US"/>
        </w:rPr>
      </w:pPr>
    </w:p>
    <w:p w14:paraId="1A508750" w14:textId="1E63D41E" w:rsidR="005769C7" w:rsidRDefault="005769C7" w:rsidP="005769C7">
      <w:pPr>
        <w:jc w:val="both"/>
        <w:rPr>
          <w:rFonts w:cs="Times New Roman"/>
          <w:sz w:val="28"/>
          <w:szCs w:val="28"/>
          <w:lang w:val="en-US"/>
        </w:rPr>
      </w:pPr>
    </w:p>
    <w:p w14:paraId="76CD4462" w14:textId="3BC55A5D" w:rsidR="005769C7" w:rsidRDefault="005769C7" w:rsidP="005769C7">
      <w:pPr>
        <w:jc w:val="both"/>
        <w:rPr>
          <w:rFonts w:cs="Times New Roman"/>
          <w:sz w:val="28"/>
          <w:szCs w:val="28"/>
          <w:lang w:val="en-US"/>
        </w:rPr>
      </w:pPr>
    </w:p>
    <w:p w14:paraId="1D2877E1" w14:textId="348BC144" w:rsidR="005769C7" w:rsidRDefault="005769C7" w:rsidP="005769C7">
      <w:pPr>
        <w:jc w:val="both"/>
        <w:rPr>
          <w:rFonts w:cs="Times New Roman"/>
          <w:sz w:val="28"/>
          <w:szCs w:val="28"/>
          <w:lang w:val="en-US"/>
        </w:rPr>
      </w:pPr>
    </w:p>
    <w:p w14:paraId="70820EF7" w14:textId="4884FB96" w:rsidR="005769C7" w:rsidRDefault="005769C7" w:rsidP="005769C7">
      <w:pPr>
        <w:jc w:val="both"/>
        <w:rPr>
          <w:rFonts w:cs="Times New Roman"/>
          <w:sz w:val="28"/>
          <w:szCs w:val="28"/>
          <w:lang w:val="en-US"/>
        </w:rPr>
      </w:pPr>
    </w:p>
    <w:p w14:paraId="30B48C06" w14:textId="196C968D" w:rsidR="005769C7" w:rsidRDefault="005769C7" w:rsidP="005769C7">
      <w:pPr>
        <w:jc w:val="both"/>
        <w:rPr>
          <w:rFonts w:cs="Times New Roman"/>
          <w:sz w:val="28"/>
          <w:szCs w:val="28"/>
          <w:lang w:val="en-US"/>
        </w:rPr>
      </w:pPr>
    </w:p>
    <w:p w14:paraId="75D866ED" w14:textId="09F18BC9" w:rsidR="005769C7" w:rsidRDefault="005769C7" w:rsidP="005769C7">
      <w:pPr>
        <w:jc w:val="both"/>
        <w:rPr>
          <w:rFonts w:cs="Times New Roman"/>
          <w:sz w:val="28"/>
          <w:szCs w:val="28"/>
          <w:lang w:val="en-US"/>
        </w:rPr>
      </w:pPr>
    </w:p>
    <w:p w14:paraId="128C50E6" w14:textId="2C0847D8" w:rsidR="005769C7" w:rsidRDefault="005769C7" w:rsidP="005769C7">
      <w:pPr>
        <w:jc w:val="both"/>
        <w:rPr>
          <w:rFonts w:cs="Times New Roman"/>
          <w:sz w:val="28"/>
          <w:szCs w:val="28"/>
          <w:lang w:val="en-US"/>
        </w:rPr>
      </w:pPr>
    </w:p>
    <w:p w14:paraId="54B8FD76" w14:textId="7A403ED9" w:rsidR="005769C7" w:rsidRDefault="005769C7" w:rsidP="005769C7">
      <w:pPr>
        <w:jc w:val="center"/>
        <w:rPr>
          <w:rFonts w:cs="Times New Roman"/>
          <w:b/>
          <w:bCs/>
          <w:sz w:val="28"/>
          <w:szCs w:val="28"/>
        </w:rPr>
      </w:pPr>
      <w:r w:rsidRPr="005769C7">
        <w:rPr>
          <w:rFonts w:cs="Times New Roman"/>
          <w:b/>
          <w:bCs/>
          <w:sz w:val="28"/>
          <w:szCs w:val="28"/>
        </w:rPr>
        <w:lastRenderedPageBreak/>
        <w:t>ПРИЛОЖЕНИ</w:t>
      </w:r>
      <w:r w:rsidR="008B565D">
        <w:rPr>
          <w:rFonts w:cs="Times New Roman"/>
          <w:b/>
          <w:bCs/>
          <w:sz w:val="28"/>
          <w:szCs w:val="28"/>
        </w:rPr>
        <w:t>Я</w:t>
      </w:r>
    </w:p>
    <w:p w14:paraId="6A5E8D6C" w14:textId="4864460B" w:rsidR="00214DA1" w:rsidRDefault="00214DA1" w:rsidP="005769C7">
      <w:pPr>
        <w:jc w:val="center"/>
        <w:rPr>
          <w:rFonts w:cs="Times New Roman"/>
          <w:b/>
          <w:bCs/>
          <w:sz w:val="28"/>
          <w:szCs w:val="28"/>
        </w:rPr>
      </w:pPr>
    </w:p>
    <w:p w14:paraId="3D1F8A0D" w14:textId="77777777" w:rsidR="00D102A5" w:rsidRDefault="00214DA1" w:rsidP="00D102A5">
      <w:pPr>
        <w:jc w:val="right"/>
        <w:rPr>
          <w:rFonts w:cs="Times New Roman"/>
          <w:sz w:val="28"/>
          <w:szCs w:val="28"/>
        </w:rPr>
      </w:pPr>
      <w:r w:rsidRPr="00214DA1">
        <w:rPr>
          <w:rFonts w:cs="Times New Roman"/>
          <w:sz w:val="28"/>
          <w:szCs w:val="28"/>
        </w:rPr>
        <w:t>Приложение 1</w:t>
      </w:r>
    </w:p>
    <w:p w14:paraId="49DFFDB8" w14:textId="7DFFDB4D" w:rsidR="00214DA1" w:rsidRDefault="00D102A5" w:rsidP="00D102A5">
      <w:pPr>
        <w:jc w:val="center"/>
        <w:rPr>
          <w:rFonts w:cs="Times New Roman"/>
          <w:sz w:val="28"/>
          <w:szCs w:val="28"/>
        </w:rPr>
      </w:pPr>
      <w:r>
        <w:rPr>
          <w:rFonts w:cs="Times New Roman"/>
          <w:sz w:val="28"/>
          <w:szCs w:val="28"/>
        </w:rPr>
        <w:t>С</w:t>
      </w:r>
      <w:r w:rsidRPr="00D102A5">
        <w:rPr>
          <w:rFonts w:cs="Times New Roman"/>
          <w:sz w:val="28"/>
          <w:szCs w:val="28"/>
        </w:rPr>
        <w:t>остава капитала Банка,</w:t>
      </w:r>
      <w:r>
        <w:rPr>
          <w:rFonts w:cs="Times New Roman"/>
          <w:sz w:val="28"/>
          <w:szCs w:val="28"/>
        </w:rPr>
        <w:t xml:space="preserve"> </w:t>
      </w:r>
      <w:r w:rsidRPr="00D102A5">
        <w:rPr>
          <w:rFonts w:cs="Times New Roman"/>
          <w:sz w:val="28"/>
          <w:szCs w:val="28"/>
        </w:rPr>
        <w:t>рассчитанного в соответствии с</w:t>
      </w:r>
      <w:r>
        <w:rPr>
          <w:rFonts w:cs="Times New Roman"/>
          <w:sz w:val="28"/>
          <w:szCs w:val="28"/>
        </w:rPr>
        <w:t xml:space="preserve"> </w:t>
      </w:r>
      <w:r w:rsidRPr="00D102A5">
        <w:rPr>
          <w:rFonts w:cs="Times New Roman"/>
          <w:sz w:val="28"/>
          <w:szCs w:val="28"/>
        </w:rPr>
        <w:t>постановлением Правления НБРК от 13 сентября 2017 года №170 по состоянию на 31 декабря 2019 года и 31 декабря 2018 года</w:t>
      </w:r>
    </w:p>
    <w:p w14:paraId="12CFE931" w14:textId="29BB53B2" w:rsidR="00D102A5" w:rsidRDefault="00D102A5" w:rsidP="00D102A5">
      <w:pPr>
        <w:jc w:val="center"/>
        <w:rPr>
          <w:rFonts w:cs="Times New Roman"/>
          <w:sz w:val="28"/>
          <w:szCs w:val="28"/>
        </w:rPr>
      </w:pPr>
      <w:r>
        <w:rPr>
          <w:rFonts w:cs="Times New Roman"/>
          <w:noProof/>
          <w:sz w:val="28"/>
          <w:szCs w:val="28"/>
        </w:rPr>
        <w:drawing>
          <wp:inline distT="0" distB="0" distL="0" distR="0" wp14:anchorId="1AD5FA0F" wp14:editId="77CF873A">
            <wp:extent cx="6115050" cy="37623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762375"/>
                    </a:xfrm>
                    <a:prstGeom prst="rect">
                      <a:avLst/>
                    </a:prstGeom>
                    <a:noFill/>
                    <a:ln>
                      <a:noFill/>
                    </a:ln>
                  </pic:spPr>
                </pic:pic>
              </a:graphicData>
            </a:graphic>
          </wp:inline>
        </w:drawing>
      </w:r>
    </w:p>
    <w:p w14:paraId="1286A052" w14:textId="670D3B2B" w:rsidR="00D102A5" w:rsidRPr="00D102A5" w:rsidRDefault="00D102A5" w:rsidP="00D102A5">
      <w:pPr>
        <w:jc w:val="both"/>
        <w:rPr>
          <w:rFonts w:cs="Times New Roman"/>
          <w:sz w:val="28"/>
          <w:szCs w:val="28"/>
          <w:lang w:val="en-US"/>
        </w:rPr>
      </w:pPr>
      <w:r>
        <w:rPr>
          <w:rFonts w:cs="Times New Roman"/>
          <w:sz w:val="28"/>
          <w:szCs w:val="28"/>
        </w:rPr>
        <w:tab/>
        <w:t xml:space="preserve">Источник: </w:t>
      </w:r>
      <w:r w:rsidRPr="00D102A5">
        <w:rPr>
          <w:rFonts w:cs="Times New Roman"/>
          <w:sz w:val="28"/>
          <w:szCs w:val="28"/>
        </w:rPr>
        <w:t>1.</w:t>
      </w:r>
      <w:r w:rsidRPr="00D102A5">
        <w:rPr>
          <w:rFonts w:cs="Times New Roman"/>
          <w:sz w:val="28"/>
          <w:szCs w:val="28"/>
        </w:rPr>
        <w:tab/>
      </w:r>
      <w:proofErr w:type="spellStart"/>
      <w:r w:rsidRPr="00D102A5">
        <w:rPr>
          <w:rFonts w:cs="Times New Roman"/>
          <w:sz w:val="28"/>
          <w:szCs w:val="28"/>
        </w:rPr>
        <w:t>Аудированная</w:t>
      </w:r>
      <w:proofErr w:type="spellEnd"/>
      <w:r w:rsidRPr="00D102A5">
        <w:rPr>
          <w:rFonts w:cs="Times New Roman"/>
          <w:sz w:val="28"/>
          <w:szCs w:val="28"/>
        </w:rPr>
        <w:t xml:space="preserve"> финансовая отчетность АО "Ситибанк Казахстан" за год, закончившийся 31 декабря 2019 года. </w:t>
      </w:r>
      <w:r w:rsidRPr="00D102A5">
        <w:rPr>
          <w:rFonts w:cs="Times New Roman"/>
          <w:sz w:val="28"/>
          <w:szCs w:val="28"/>
          <w:lang w:val="en-US"/>
        </w:rPr>
        <w:t>URL: https://www.citibank.com/icg/sa/emea/kazakhstan/russian/assets/docs/Citibank_RUS_2019.pdf</w:t>
      </w:r>
    </w:p>
    <w:sectPr w:rsidR="00D102A5" w:rsidRPr="00D102A5" w:rsidSect="005F3F0F">
      <w:footerReference w:type="default" r:id="rId11"/>
      <w:footnotePr>
        <w:numRestart w:val="eachPage"/>
      </w:footnotePr>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76485" w14:textId="77777777" w:rsidR="00DD7BD8" w:rsidRDefault="00DD7BD8" w:rsidP="005F3F0F">
      <w:pPr>
        <w:spacing w:line="240" w:lineRule="auto"/>
      </w:pPr>
      <w:r>
        <w:separator/>
      </w:r>
    </w:p>
  </w:endnote>
  <w:endnote w:type="continuationSeparator" w:id="0">
    <w:p w14:paraId="22437ECB" w14:textId="77777777" w:rsidR="00DD7BD8" w:rsidRDefault="00DD7BD8" w:rsidP="005F3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4272005"/>
      <w:docPartObj>
        <w:docPartGallery w:val="Page Numbers (Bottom of Page)"/>
        <w:docPartUnique/>
      </w:docPartObj>
    </w:sdtPr>
    <w:sdtEndPr/>
    <w:sdtContent>
      <w:p w14:paraId="5AAA4D89" w14:textId="49875557" w:rsidR="005F3F0F" w:rsidRDefault="005F3F0F">
        <w:pPr>
          <w:pStyle w:val="a5"/>
          <w:jc w:val="center"/>
        </w:pPr>
        <w:r>
          <w:fldChar w:fldCharType="begin"/>
        </w:r>
        <w:r>
          <w:instrText>PAGE   \* MERGEFORMAT</w:instrText>
        </w:r>
        <w:r>
          <w:fldChar w:fldCharType="separate"/>
        </w:r>
        <w:r>
          <w:t>2</w:t>
        </w:r>
        <w:r>
          <w:fldChar w:fldCharType="end"/>
        </w:r>
      </w:p>
    </w:sdtContent>
  </w:sdt>
  <w:p w14:paraId="71C8F6D3" w14:textId="77777777" w:rsidR="005F3F0F" w:rsidRDefault="005F3F0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72D8A" w14:textId="77777777" w:rsidR="00DD7BD8" w:rsidRDefault="00DD7BD8" w:rsidP="005F3F0F">
      <w:pPr>
        <w:spacing w:line="240" w:lineRule="auto"/>
      </w:pPr>
      <w:r>
        <w:separator/>
      </w:r>
    </w:p>
  </w:footnote>
  <w:footnote w:type="continuationSeparator" w:id="0">
    <w:p w14:paraId="177E876B" w14:textId="77777777" w:rsidR="00DD7BD8" w:rsidRDefault="00DD7BD8" w:rsidP="005F3F0F">
      <w:pPr>
        <w:spacing w:line="240" w:lineRule="auto"/>
      </w:pPr>
      <w:r>
        <w:continuationSeparator/>
      </w:r>
    </w:p>
  </w:footnote>
  <w:footnote w:id="1">
    <w:p w14:paraId="17BC9D5C" w14:textId="3CD29E51" w:rsidR="00703F2D" w:rsidRPr="00EB40D8" w:rsidRDefault="00703F2D">
      <w:pPr>
        <w:pStyle w:val="a8"/>
        <w:rPr>
          <w:lang w:val="en-US"/>
        </w:rPr>
      </w:pPr>
      <w:r>
        <w:rPr>
          <w:rStyle w:val="aa"/>
        </w:rPr>
        <w:footnoteRef/>
      </w:r>
      <w:r>
        <w:t xml:space="preserve"> </w:t>
      </w:r>
      <w:bookmarkStart w:id="0" w:name="_Hlk68232170"/>
      <w:r w:rsidR="00EB40D8">
        <w:t xml:space="preserve">Официальный сайт АО «Ситибанк Казахстан». </w:t>
      </w:r>
      <w:r w:rsidR="00EB40D8">
        <w:rPr>
          <w:lang w:val="en-US"/>
        </w:rPr>
        <w:t>URL</w:t>
      </w:r>
      <w:r w:rsidR="00EB40D8" w:rsidRPr="00EB40D8">
        <w:rPr>
          <w:lang w:val="en-US"/>
        </w:rPr>
        <w:t>: https://www.citibank.com/icg/sa/emea/kazakhstan/russian/citi/</w:t>
      </w:r>
    </w:p>
    <w:bookmarkEnd w:id="0"/>
  </w:footnote>
  <w:footnote w:id="2">
    <w:p w14:paraId="63D61588" w14:textId="165750A8" w:rsidR="008F6AAB" w:rsidRPr="00CD643D" w:rsidRDefault="008F6AAB">
      <w:pPr>
        <w:pStyle w:val="a8"/>
        <w:rPr>
          <w:lang w:val="en-US"/>
        </w:rPr>
      </w:pPr>
      <w:r w:rsidRPr="00CD643D">
        <w:rPr>
          <w:rStyle w:val="aa"/>
        </w:rPr>
        <w:footnoteRef/>
      </w:r>
      <w:r w:rsidRPr="00CD643D">
        <w:t xml:space="preserve"> </w:t>
      </w:r>
      <w:proofErr w:type="spellStart"/>
      <w:r w:rsidR="00DB468E" w:rsidRPr="00DB468E">
        <w:rPr>
          <w:rFonts w:cs="Times New Roman"/>
        </w:rPr>
        <w:t>Аудированная</w:t>
      </w:r>
      <w:proofErr w:type="spellEnd"/>
      <w:r w:rsidR="00DB468E" w:rsidRPr="00DB468E">
        <w:rPr>
          <w:rFonts w:cs="Times New Roman"/>
        </w:rPr>
        <w:t xml:space="preserve"> финансовая отчетность АО "Ситибанк Казахстан" за год, закончившийся 31 декабря 2019 года</w:t>
      </w:r>
      <w:r w:rsidR="00EB40D8" w:rsidRPr="00CD643D">
        <w:rPr>
          <w:rFonts w:cs="Times New Roman"/>
        </w:rPr>
        <w:t xml:space="preserve">. </w:t>
      </w:r>
      <w:r w:rsidR="00EB40D8" w:rsidRPr="00CD643D">
        <w:rPr>
          <w:rFonts w:cs="Times New Roman"/>
          <w:lang w:val="en-US"/>
        </w:rPr>
        <w:t>URL: https://www.citibank.com/icg/sa/emea/kazakhstan/russian/assets/docs/Citibank_RUS_2019.pdf</w:t>
      </w:r>
    </w:p>
  </w:footnote>
  <w:footnote w:id="3">
    <w:p w14:paraId="4ACDC752" w14:textId="284EC7C2" w:rsidR="008F6AAB" w:rsidRDefault="008F6AAB">
      <w:pPr>
        <w:pStyle w:val="a8"/>
      </w:pPr>
      <w:r>
        <w:rPr>
          <w:rStyle w:val="aa"/>
        </w:rPr>
        <w:footnoteRef/>
      </w:r>
      <w:r>
        <w:t xml:space="preserve"> </w:t>
      </w:r>
      <w:r w:rsidR="00CD643D">
        <w:t>Там же.</w:t>
      </w:r>
    </w:p>
  </w:footnote>
  <w:footnote w:id="4">
    <w:p w14:paraId="002EB258" w14:textId="77777777" w:rsidR="00EB68A4" w:rsidRDefault="00DD3931" w:rsidP="00EB68A4">
      <w:pPr>
        <w:pStyle w:val="a8"/>
      </w:pPr>
      <w:r>
        <w:rPr>
          <w:rStyle w:val="aa"/>
        </w:rPr>
        <w:footnoteRef/>
      </w:r>
      <w:r>
        <w:t xml:space="preserve"> </w:t>
      </w:r>
      <w:bookmarkStart w:id="1" w:name="_Hlk68231653"/>
      <w:r w:rsidR="00EB68A4">
        <w:t xml:space="preserve">О внесении изменений и дополнения в постановление Правления Национального Банка Республики Казахстан от 13 сентября 2017 года </w:t>
      </w:r>
    </w:p>
    <w:p w14:paraId="1A7C8B33" w14:textId="13D9E13B" w:rsidR="00EB68A4" w:rsidRDefault="00EB68A4" w:rsidP="00EB68A4">
      <w:pPr>
        <w:pStyle w:val="a8"/>
      </w:pPr>
      <w:r>
        <w:t xml:space="preserve">№ 170 «Об установлении нормативных значений и методик расчетов </w:t>
      </w:r>
      <w:proofErr w:type="spellStart"/>
      <w:r>
        <w:t>пруденциальных</w:t>
      </w:r>
      <w:proofErr w:type="spellEnd"/>
      <w:r>
        <w:t xml:space="preserve"> нормативов и иных обязательных к соблюдению норм, и лимитов размера капитала банка на определенную дату и Правил расчета</w:t>
      </w:r>
    </w:p>
    <w:p w14:paraId="64C542D8" w14:textId="714DC7CD" w:rsidR="00DD3931" w:rsidRPr="00EB68A4" w:rsidRDefault="00EB68A4" w:rsidP="00EB68A4">
      <w:pPr>
        <w:pStyle w:val="a8"/>
        <w:rPr>
          <w:lang w:val="en-US"/>
        </w:rPr>
      </w:pPr>
      <w:r>
        <w:t xml:space="preserve">и лимитов открытой валютной позиции». </w:t>
      </w:r>
      <w:r>
        <w:rPr>
          <w:lang w:val="en-US"/>
        </w:rPr>
        <w:t>URL</w:t>
      </w:r>
      <w:r w:rsidRPr="00EB68A4">
        <w:rPr>
          <w:lang w:val="en-US"/>
        </w:rPr>
        <w:t>: https://finreg.kz/cont/%D0%9D%D0%9F%D0%90%20170%20%D1%80%D1%83%D1%811.docx</w:t>
      </w:r>
      <w:bookmarkEnd w:id="1"/>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9E3FF3"/>
    <w:multiLevelType w:val="hybridMultilevel"/>
    <w:tmpl w:val="EAEACE0C"/>
    <w:lvl w:ilvl="0" w:tplc="199A6ED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609B52FE"/>
    <w:multiLevelType w:val="hybridMultilevel"/>
    <w:tmpl w:val="02BE6AA4"/>
    <w:lvl w:ilvl="0" w:tplc="494AE9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688048FF"/>
    <w:multiLevelType w:val="hybridMultilevel"/>
    <w:tmpl w:val="F9223474"/>
    <w:lvl w:ilvl="0" w:tplc="A566EE0A">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EB"/>
    <w:rsid w:val="00086F48"/>
    <w:rsid w:val="00153A5B"/>
    <w:rsid w:val="00192629"/>
    <w:rsid w:val="001C313B"/>
    <w:rsid w:val="00214DA1"/>
    <w:rsid w:val="0030001B"/>
    <w:rsid w:val="00316516"/>
    <w:rsid w:val="00366CBA"/>
    <w:rsid w:val="004656EA"/>
    <w:rsid w:val="005220A8"/>
    <w:rsid w:val="005277EB"/>
    <w:rsid w:val="00540795"/>
    <w:rsid w:val="00564897"/>
    <w:rsid w:val="005769C7"/>
    <w:rsid w:val="00591EE7"/>
    <w:rsid w:val="005F16D2"/>
    <w:rsid w:val="005F3F0F"/>
    <w:rsid w:val="006F6783"/>
    <w:rsid w:val="00703F2D"/>
    <w:rsid w:val="00711B64"/>
    <w:rsid w:val="007A061F"/>
    <w:rsid w:val="007B3520"/>
    <w:rsid w:val="007C19F3"/>
    <w:rsid w:val="0086105A"/>
    <w:rsid w:val="0088658F"/>
    <w:rsid w:val="008B565D"/>
    <w:rsid w:val="008F6AAB"/>
    <w:rsid w:val="00961614"/>
    <w:rsid w:val="009B6A0B"/>
    <w:rsid w:val="00A350A3"/>
    <w:rsid w:val="00A74481"/>
    <w:rsid w:val="00AC05BE"/>
    <w:rsid w:val="00AC335E"/>
    <w:rsid w:val="00AE0691"/>
    <w:rsid w:val="00B25F31"/>
    <w:rsid w:val="00BA2DB0"/>
    <w:rsid w:val="00C15308"/>
    <w:rsid w:val="00CA6DAD"/>
    <w:rsid w:val="00CD643D"/>
    <w:rsid w:val="00D102A5"/>
    <w:rsid w:val="00D56FEB"/>
    <w:rsid w:val="00DB468E"/>
    <w:rsid w:val="00DD3931"/>
    <w:rsid w:val="00DD7BD8"/>
    <w:rsid w:val="00E00162"/>
    <w:rsid w:val="00E361E9"/>
    <w:rsid w:val="00EB40D8"/>
    <w:rsid w:val="00EB68A4"/>
    <w:rsid w:val="00ED5D5A"/>
    <w:rsid w:val="00FD51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A89E"/>
  <w15:chartTrackingRefBased/>
  <w15:docId w15:val="{A2A06C8F-3447-4B29-9B52-71F1BF8E8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ru-R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3F0F"/>
    <w:pPr>
      <w:tabs>
        <w:tab w:val="center" w:pos="4677"/>
        <w:tab w:val="right" w:pos="9355"/>
      </w:tabs>
      <w:spacing w:line="240" w:lineRule="auto"/>
    </w:pPr>
  </w:style>
  <w:style w:type="character" w:customStyle="1" w:styleId="a4">
    <w:name w:val="Верхний колонтитул Знак"/>
    <w:basedOn w:val="a0"/>
    <w:link w:val="a3"/>
    <w:uiPriority w:val="99"/>
    <w:rsid w:val="005F3F0F"/>
  </w:style>
  <w:style w:type="paragraph" w:styleId="a5">
    <w:name w:val="footer"/>
    <w:basedOn w:val="a"/>
    <w:link w:val="a6"/>
    <w:uiPriority w:val="99"/>
    <w:unhideWhenUsed/>
    <w:rsid w:val="005F3F0F"/>
    <w:pPr>
      <w:tabs>
        <w:tab w:val="center" w:pos="4677"/>
        <w:tab w:val="right" w:pos="9355"/>
      </w:tabs>
      <w:spacing w:line="240" w:lineRule="auto"/>
    </w:pPr>
  </w:style>
  <w:style w:type="character" w:customStyle="1" w:styleId="a6">
    <w:name w:val="Нижний колонтитул Знак"/>
    <w:basedOn w:val="a0"/>
    <w:link w:val="a5"/>
    <w:uiPriority w:val="99"/>
    <w:rsid w:val="005F3F0F"/>
  </w:style>
  <w:style w:type="paragraph" w:styleId="a7">
    <w:name w:val="List Paragraph"/>
    <w:basedOn w:val="a"/>
    <w:uiPriority w:val="34"/>
    <w:qFormat/>
    <w:rsid w:val="00711B64"/>
    <w:pPr>
      <w:ind w:left="720"/>
      <w:contextualSpacing/>
    </w:pPr>
  </w:style>
  <w:style w:type="paragraph" w:styleId="a8">
    <w:name w:val="footnote text"/>
    <w:basedOn w:val="a"/>
    <w:link w:val="a9"/>
    <w:uiPriority w:val="99"/>
    <w:semiHidden/>
    <w:unhideWhenUsed/>
    <w:rsid w:val="007B3520"/>
    <w:pPr>
      <w:spacing w:line="240" w:lineRule="auto"/>
    </w:pPr>
    <w:rPr>
      <w:sz w:val="20"/>
      <w:szCs w:val="20"/>
    </w:rPr>
  </w:style>
  <w:style w:type="character" w:customStyle="1" w:styleId="a9">
    <w:name w:val="Текст сноски Знак"/>
    <w:basedOn w:val="a0"/>
    <w:link w:val="a8"/>
    <w:uiPriority w:val="99"/>
    <w:semiHidden/>
    <w:rsid w:val="007B3520"/>
    <w:rPr>
      <w:sz w:val="20"/>
      <w:szCs w:val="20"/>
    </w:rPr>
  </w:style>
  <w:style w:type="character" w:styleId="aa">
    <w:name w:val="footnote reference"/>
    <w:basedOn w:val="a0"/>
    <w:uiPriority w:val="99"/>
    <w:semiHidden/>
    <w:unhideWhenUsed/>
    <w:rsid w:val="007B3520"/>
    <w:rPr>
      <w:vertAlign w:val="superscript"/>
    </w:rPr>
  </w:style>
  <w:style w:type="character" w:styleId="ab">
    <w:name w:val="Hyperlink"/>
    <w:basedOn w:val="a0"/>
    <w:uiPriority w:val="99"/>
    <w:unhideWhenUsed/>
    <w:rsid w:val="00153A5B"/>
    <w:rPr>
      <w:color w:val="0563C1" w:themeColor="hyperlink"/>
      <w:u w:val="single"/>
    </w:rPr>
  </w:style>
  <w:style w:type="character" w:styleId="ac">
    <w:name w:val="Unresolved Mention"/>
    <w:basedOn w:val="a0"/>
    <w:uiPriority w:val="99"/>
    <w:semiHidden/>
    <w:unhideWhenUsed/>
    <w:rsid w:val="00153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792719">
      <w:bodyDiv w:val="1"/>
      <w:marLeft w:val="0"/>
      <w:marRight w:val="0"/>
      <w:marTop w:val="0"/>
      <w:marBottom w:val="0"/>
      <w:divBdr>
        <w:top w:val="none" w:sz="0" w:space="0" w:color="auto"/>
        <w:left w:val="none" w:sz="0" w:space="0" w:color="auto"/>
        <w:bottom w:val="none" w:sz="0" w:space="0" w:color="auto"/>
        <w:right w:val="none" w:sz="0" w:space="0" w:color="auto"/>
      </w:divBdr>
    </w:div>
    <w:div w:id="720053775">
      <w:bodyDiv w:val="1"/>
      <w:marLeft w:val="0"/>
      <w:marRight w:val="0"/>
      <w:marTop w:val="0"/>
      <w:marBottom w:val="0"/>
      <w:divBdr>
        <w:top w:val="none" w:sz="0" w:space="0" w:color="auto"/>
        <w:left w:val="none" w:sz="0" w:space="0" w:color="auto"/>
        <w:bottom w:val="none" w:sz="0" w:space="0" w:color="auto"/>
        <w:right w:val="none" w:sz="0" w:space="0" w:color="auto"/>
      </w:divBdr>
    </w:div>
    <w:div w:id="1061095140">
      <w:bodyDiv w:val="1"/>
      <w:marLeft w:val="0"/>
      <w:marRight w:val="0"/>
      <w:marTop w:val="0"/>
      <w:marBottom w:val="0"/>
      <w:divBdr>
        <w:top w:val="none" w:sz="0" w:space="0" w:color="auto"/>
        <w:left w:val="none" w:sz="0" w:space="0" w:color="auto"/>
        <w:bottom w:val="none" w:sz="0" w:space="0" w:color="auto"/>
        <w:right w:val="none" w:sz="0" w:space="0" w:color="auto"/>
      </w:divBdr>
    </w:div>
    <w:div w:id="1255287854">
      <w:bodyDiv w:val="1"/>
      <w:marLeft w:val="0"/>
      <w:marRight w:val="0"/>
      <w:marTop w:val="0"/>
      <w:marBottom w:val="0"/>
      <w:divBdr>
        <w:top w:val="none" w:sz="0" w:space="0" w:color="auto"/>
        <w:left w:val="none" w:sz="0" w:space="0" w:color="auto"/>
        <w:bottom w:val="none" w:sz="0" w:space="0" w:color="auto"/>
        <w:right w:val="none" w:sz="0" w:space="0" w:color="auto"/>
      </w:divBdr>
    </w:div>
    <w:div w:id="181194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86;&#1090;&#1086;&#1090;&#1086;&#1090;\Desktop\&#1056;&#1072;&#1089;&#1095;&#1077;&#1090;&#1099;%20&#1087;&#1086;%20&#1101;&#1089;&#1089;&#107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086;&#1090;&#1086;&#1090;&#1086;&#1090;\Desktop\&#1056;&#1072;&#1089;&#1095;&#1077;&#1090;&#1099;%20&#1087;&#1086;%20&#1101;&#1089;&#1089;&#107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ru-RU"/>
              <a:t>Динамика рентабельности актива АО "Ситибанк Казахстан" 2017-2019 гг.</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Лист1!$P$6</c:f>
              <c:strCache>
                <c:ptCount val="1"/>
                <c:pt idx="0">
                  <c:v>ROA</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numRef>
              <c:f>Лист1!$Q$5:$S$5</c:f>
              <c:numCache>
                <c:formatCode>General</c:formatCode>
                <c:ptCount val="3"/>
                <c:pt idx="0">
                  <c:v>2017</c:v>
                </c:pt>
                <c:pt idx="1">
                  <c:v>2018</c:v>
                </c:pt>
                <c:pt idx="2">
                  <c:v>2019</c:v>
                </c:pt>
              </c:numCache>
            </c:numRef>
          </c:cat>
          <c:val>
            <c:numRef>
              <c:f>Лист1!$Q$6:$S$6</c:f>
              <c:numCache>
                <c:formatCode>0%</c:formatCode>
                <c:ptCount val="3"/>
                <c:pt idx="0">
                  <c:v>4.8772603016646036E-2</c:v>
                </c:pt>
                <c:pt idx="1">
                  <c:v>4.21331830950748E-2</c:v>
                </c:pt>
                <c:pt idx="2">
                  <c:v>4.073976621833595E-2</c:v>
                </c:pt>
              </c:numCache>
            </c:numRef>
          </c:val>
          <c:extLst>
            <c:ext xmlns:c16="http://schemas.microsoft.com/office/drawing/2014/chart" uri="{C3380CC4-5D6E-409C-BE32-E72D297353CC}">
              <c16:uniqueId val="{00000000-3269-42FD-9749-A72E0BC8EC34}"/>
            </c:ext>
          </c:extLst>
        </c:ser>
        <c:dLbls>
          <c:showLegendKey val="0"/>
          <c:showVal val="0"/>
          <c:showCatName val="0"/>
          <c:showSerName val="0"/>
          <c:showPercent val="0"/>
          <c:showBubbleSize val="0"/>
        </c:dLbls>
        <c:gapWidth val="219"/>
        <c:overlap val="-27"/>
        <c:axId val="672040504"/>
        <c:axId val="672041784"/>
      </c:barChart>
      <c:lineChart>
        <c:grouping val="standard"/>
        <c:varyColors val="0"/>
        <c:ser>
          <c:idx val="1"/>
          <c:order val="1"/>
          <c:tx>
            <c:strRef>
              <c:f>Лист1!$P$7</c:f>
              <c:strCache>
                <c:ptCount val="1"/>
                <c:pt idx="0">
                  <c:v>Темп прироста</c:v>
                </c:pt>
              </c:strCache>
            </c:strRef>
          </c:tx>
          <c:spPr>
            <a:ln w="15875" cap="rnd">
              <a:solidFill>
                <a:schemeClr val="accent2"/>
              </a:solidFill>
              <a:round/>
            </a:ln>
            <a:effectLst/>
          </c:spPr>
          <c:marker>
            <c:symbol val="none"/>
          </c:marker>
          <c:cat>
            <c:numRef>
              <c:f>Лист1!$Q$5:$S$5</c:f>
              <c:numCache>
                <c:formatCode>General</c:formatCode>
                <c:ptCount val="3"/>
                <c:pt idx="0">
                  <c:v>2017</c:v>
                </c:pt>
                <c:pt idx="1">
                  <c:v>2018</c:v>
                </c:pt>
                <c:pt idx="2">
                  <c:v>2019</c:v>
                </c:pt>
              </c:numCache>
            </c:numRef>
          </c:cat>
          <c:val>
            <c:numRef>
              <c:f>Лист1!$Q$7:$S$7</c:f>
              <c:numCache>
                <c:formatCode>0.00%</c:formatCode>
                <c:ptCount val="3"/>
                <c:pt idx="0">
                  <c:v>-1.1135291876476883E-2</c:v>
                </c:pt>
                <c:pt idx="1">
                  <c:v>-0.13613011221289972</c:v>
                </c:pt>
                <c:pt idx="2">
                  <c:v>-3.3071721013685607E-2</c:v>
                </c:pt>
              </c:numCache>
            </c:numRef>
          </c:val>
          <c:smooth val="0"/>
          <c:extLst>
            <c:ext xmlns:c16="http://schemas.microsoft.com/office/drawing/2014/chart" uri="{C3380CC4-5D6E-409C-BE32-E72D297353CC}">
              <c16:uniqueId val="{00000001-3269-42FD-9749-A72E0BC8EC34}"/>
            </c:ext>
          </c:extLst>
        </c:ser>
        <c:dLbls>
          <c:showLegendKey val="0"/>
          <c:showVal val="0"/>
          <c:showCatName val="0"/>
          <c:showSerName val="0"/>
          <c:showPercent val="0"/>
          <c:showBubbleSize val="0"/>
        </c:dLbls>
        <c:marker val="1"/>
        <c:smooth val="0"/>
        <c:axId val="672045624"/>
        <c:axId val="672043704"/>
      </c:lineChart>
      <c:catAx>
        <c:axId val="672040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crossAx val="672041784"/>
        <c:crosses val="autoZero"/>
        <c:auto val="1"/>
        <c:lblAlgn val="ctr"/>
        <c:lblOffset val="100"/>
        <c:noMultiLvlLbl val="0"/>
      </c:catAx>
      <c:valAx>
        <c:axId val="672041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crossAx val="672040504"/>
        <c:crosses val="autoZero"/>
        <c:crossBetween val="between"/>
      </c:valAx>
      <c:valAx>
        <c:axId val="672043704"/>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crossAx val="672045624"/>
        <c:crosses val="max"/>
        <c:crossBetween val="between"/>
      </c:valAx>
      <c:catAx>
        <c:axId val="672045624"/>
        <c:scaling>
          <c:orientation val="minMax"/>
        </c:scaling>
        <c:delete val="1"/>
        <c:axPos val="b"/>
        <c:numFmt formatCode="General" sourceLinked="1"/>
        <c:majorTickMark val="none"/>
        <c:minorTickMark val="none"/>
        <c:tickLblPos val="nextTo"/>
        <c:crossAx val="6720437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ru-RU"/>
              <a:t>Динамика рентабельности капитала АО "Ситибанк Казахстан" 2017-2019 гг.</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Лист1!$P$9</c:f>
              <c:strCache>
                <c:ptCount val="1"/>
                <c:pt idx="0">
                  <c:v>ROE</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numRef>
              <c:f>Лист1!$Q$8:$S$8</c:f>
              <c:numCache>
                <c:formatCode>General</c:formatCode>
                <c:ptCount val="3"/>
                <c:pt idx="0">
                  <c:v>2017</c:v>
                </c:pt>
                <c:pt idx="1">
                  <c:v>2018</c:v>
                </c:pt>
                <c:pt idx="2">
                  <c:v>2019</c:v>
                </c:pt>
              </c:numCache>
            </c:numRef>
          </c:cat>
          <c:val>
            <c:numRef>
              <c:f>Лист1!$Q$9:$S$9</c:f>
              <c:numCache>
                <c:formatCode>0%</c:formatCode>
                <c:ptCount val="3"/>
                <c:pt idx="0">
                  <c:v>0.19019984026787382</c:v>
                </c:pt>
                <c:pt idx="1">
                  <c:v>0.22539429791431567</c:v>
                </c:pt>
                <c:pt idx="2">
                  <c:v>0.27280903203629592</c:v>
                </c:pt>
              </c:numCache>
            </c:numRef>
          </c:val>
          <c:extLst>
            <c:ext xmlns:c16="http://schemas.microsoft.com/office/drawing/2014/chart" uri="{C3380CC4-5D6E-409C-BE32-E72D297353CC}">
              <c16:uniqueId val="{00000000-1258-425F-A5F6-D54622A43778}"/>
            </c:ext>
          </c:extLst>
        </c:ser>
        <c:dLbls>
          <c:showLegendKey val="0"/>
          <c:showVal val="0"/>
          <c:showCatName val="0"/>
          <c:showSerName val="0"/>
          <c:showPercent val="0"/>
          <c:showBubbleSize val="0"/>
        </c:dLbls>
        <c:gapWidth val="219"/>
        <c:overlap val="-27"/>
        <c:axId val="672037624"/>
        <c:axId val="672036984"/>
      </c:barChart>
      <c:lineChart>
        <c:grouping val="standard"/>
        <c:varyColors val="0"/>
        <c:ser>
          <c:idx val="1"/>
          <c:order val="1"/>
          <c:tx>
            <c:strRef>
              <c:f>Лист1!$P$10</c:f>
              <c:strCache>
                <c:ptCount val="1"/>
                <c:pt idx="0">
                  <c:v>Темп прироста</c:v>
                </c:pt>
              </c:strCache>
            </c:strRef>
          </c:tx>
          <c:spPr>
            <a:ln w="15875" cap="rnd">
              <a:solidFill>
                <a:schemeClr val="accent2"/>
              </a:solidFill>
              <a:round/>
            </a:ln>
            <a:effectLst/>
          </c:spPr>
          <c:marker>
            <c:symbol val="none"/>
          </c:marker>
          <c:cat>
            <c:numRef>
              <c:f>Лист1!$Q$8:$S$8</c:f>
              <c:numCache>
                <c:formatCode>General</c:formatCode>
                <c:ptCount val="3"/>
                <c:pt idx="0">
                  <c:v>2017</c:v>
                </c:pt>
                <c:pt idx="1">
                  <c:v>2018</c:v>
                </c:pt>
                <c:pt idx="2">
                  <c:v>2019</c:v>
                </c:pt>
              </c:numCache>
            </c:numRef>
          </c:cat>
          <c:val>
            <c:numRef>
              <c:f>Лист1!$Q$10:$S$10</c:f>
              <c:numCache>
                <c:formatCode>0.00%</c:formatCode>
                <c:ptCount val="3"/>
                <c:pt idx="0">
                  <c:v>-0.1990858957166588</c:v>
                </c:pt>
                <c:pt idx="1">
                  <c:v>0.18503936489575734</c:v>
                </c:pt>
                <c:pt idx="2">
                  <c:v>0.21036350325066833</c:v>
                </c:pt>
              </c:numCache>
            </c:numRef>
          </c:val>
          <c:smooth val="0"/>
          <c:extLst>
            <c:ext xmlns:c16="http://schemas.microsoft.com/office/drawing/2014/chart" uri="{C3380CC4-5D6E-409C-BE32-E72D297353CC}">
              <c16:uniqueId val="{00000001-1258-425F-A5F6-D54622A43778}"/>
            </c:ext>
          </c:extLst>
        </c:ser>
        <c:dLbls>
          <c:showLegendKey val="0"/>
          <c:showVal val="0"/>
          <c:showCatName val="0"/>
          <c:showSerName val="0"/>
          <c:showPercent val="0"/>
          <c:showBubbleSize val="0"/>
        </c:dLbls>
        <c:marker val="1"/>
        <c:smooth val="0"/>
        <c:axId val="672037624"/>
        <c:axId val="672036984"/>
      </c:lineChart>
      <c:catAx>
        <c:axId val="672037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crossAx val="672036984"/>
        <c:crosses val="autoZero"/>
        <c:auto val="1"/>
        <c:lblAlgn val="ctr"/>
        <c:lblOffset val="100"/>
        <c:noMultiLvlLbl val="0"/>
      </c:catAx>
      <c:valAx>
        <c:axId val="6720369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crossAx val="67203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75000"/>
            <a:lumOff val="25000"/>
          </a:schemeClr>
        </a:solidFill>
      </a:ln>
    </cs:spPr>
  </cs:downBar>
  <cs:dropLine>
    <cs:lnRef idx="0"/>
    <cs:fillRef idx="0"/>
    <cs:effectRef idx="0"/>
    <cs:fontRef idx="minor">
      <a:schemeClr val="dk1"/>
    </cs:fontRef>
    <cs:spPr>
      <a:ln w="9525">
        <a:solidFill>
          <a:schemeClr val="tx1">
            <a:lumMod val="75000"/>
            <a:lumOff val="25000"/>
          </a:schemeClr>
        </a:solidFill>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75000"/>
            <a:lumOff val="2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2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75000"/>
            <a:lumOff val="25000"/>
          </a:schemeClr>
        </a:solidFill>
      </a:ln>
    </cs:spPr>
  </cs:downBar>
  <cs:dropLine>
    <cs:lnRef idx="0"/>
    <cs:fillRef idx="0"/>
    <cs:effectRef idx="0"/>
    <cs:fontRef idx="minor">
      <a:schemeClr val="dk1"/>
    </cs:fontRef>
    <cs:spPr>
      <a:ln w="9525">
        <a:solidFill>
          <a:schemeClr val="tx1">
            <a:lumMod val="75000"/>
            <a:lumOff val="25000"/>
          </a:schemeClr>
        </a:solidFill>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75000"/>
            <a:lumOff val="2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D562B-058F-4A62-A9AD-3678CDEF5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15</Pages>
  <Words>2284</Words>
  <Characters>13020</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60170098 Салимов Райымбек Жумабекулы</dc:creator>
  <cp:keywords/>
  <dc:description/>
  <cp:lastModifiedBy>60170098 Салимов Райымбек Жумабекулы</cp:lastModifiedBy>
  <cp:revision>11</cp:revision>
  <dcterms:created xsi:type="dcterms:W3CDTF">2021-04-01T13:44:00Z</dcterms:created>
  <dcterms:modified xsi:type="dcterms:W3CDTF">2021-04-01T23:43:00Z</dcterms:modified>
</cp:coreProperties>
</file>