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Plan de Mejora Continua</w:t>
      </w:r>
    </w:p>
    <w:p>
      <w:pPr>
        <w:spacing w:before="0" w:after="480"/>
      </w:pPr>
      <w:r>
        <w:rPr>
          <w:i/>
          <w:sz w:val="24"/>
          <w:color w:val="5A5A5A"/>
        </w:rPr>
        <w:t xml:space="preserve">Cómo evaluar la primera temporada y convertir los aprendizajes en la Edición 2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DOC-17 — Plan de Mejora Continua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 / Coordinación de Proyecto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</w:t>
      </w:r>
    </w:p>
    <w:p>
      <w:pPr>
        <w:spacing w:after="120"/>
        <w:rPr>
          <w:sz w:val="20"/>
        </w:rPr>
      </w:pPr>
      <w:r>
        <w:rPr>
          <w:sz w:val="20"/>
        </w:rPr>
        <w:t xml:space="preserve">Establece </w:t>
      </w:r>
      <w:r>
        <w:rPr>
          <w:sz w:val="20"/>
          <w:b/>
        </w:rPr>
        <w:t xml:space="preserve">cómo se evalúa la primera edición</w:t>
      </w:r>
      <w:r>
        <w:rPr>
          <w:sz w:val="20"/>
        </w:rPr>
        <w:t xml:space="preserve"> y cómo se traducen los resultados en decisiones concretas para las siguientes temporadas (objetivo: 3–4 al año). Convierte la Ed. 1 en un </w:t>
      </w:r>
      <w:r>
        <w:rPr>
          <w:sz w:val="20"/>
          <w:b/>
        </w:rPr>
        <w:t xml:space="preserve">laboratorio documentado</w:t>
      </w:r>
      <w:r>
        <w:rPr>
          <w:sz w:val="20"/>
        </w:rPr>
        <w:t xml:space="preserve">, no en un evento aislado.</w:t>
      </w:r>
    </w:p>
    <w:p>
      <w:pPr>
        <w:pStyle w:val="Heading1"/>
      </w:pPr>
      <w:r>
        <w:rPr>
          <w:b/>
          <w:sz w:val="32"/>
          <w:color w:val="0B3D2E"/>
        </w:rPr>
        <w:t xml:space="preserve">2. Marco de evaluación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La evaluación se hace contra los objetivos priorizados y los KPIs del Doc 11, en una sesión de cierre por área más una sesión integral con Dirección.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74"/>
        <w:gridCol w:w="4836"/>
        <w:gridCol w:w="2790"/>
      </w:tblGrid>
      <w:tr>
        <w:trPr>
          <w:tblHeader/>
        </w:trPr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Dimensión</w:t>
            </w:r>
          </w:p>
        </w:tc>
        <w:tc>
          <w:tcPr>
            <w:tcW w:w="483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Pregunta clave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Fuente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Objetivos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¿Se cumplieron rentabilidad y captación?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 + Dashboard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¿Cerramos 7 colegios? ¿a qué costo/tiempo?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CRM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¿Qué canal/campaña rindió mejor?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Dashboard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¿Las piezas funcionaron y fueron a tiempo?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Matriz de piezas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Audiovisual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¿Cobertura y banco de activos suficientes?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Matriz de producción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¿Satisfacción y NPS?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Encuestas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¿Funcionó la RACI y el cronograma?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Retrospectiva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¿Cuántos alumnos nuevos y a qué CAC?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 + Finanzas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Revisiones por área</w:t>
      </w:r>
    </w:p>
    <w:p>
      <w:pPr>
        <w:pStyle w:val="Heading2"/>
      </w:pPr>
      <w:r>
        <w:rPr>
          <w:b/>
          <w:sz w:val="26"/>
          <w:color w:val="12664A"/>
        </w:rPr>
        <w:t xml:space="preserve">3.1 Revisión de objetivos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Comparar resultados vs. metas (POR VALIDAR) de cada objetivo priorizado.</w:t>
      </w:r>
    </w:p>
    <w:p>
      <w:pPr>
        <w:pStyle w:val="Heading2"/>
      </w:pPr>
      <w:r>
        <w:rPr>
          <w:b/>
          <w:sz w:val="26"/>
          <w:color w:val="12664A"/>
        </w:rPr>
        <w:t xml:space="preserve">3.2 Evaluación comercial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Tasa de cierre, tiempo de cierre, motivos de pérdida, colegios por nivel A/B/C, valor por colegio.</w:t>
      </w:r>
    </w:p>
    <w:p>
      <w:pPr>
        <w:pStyle w:val="Heading2"/>
      </w:pPr>
      <w:r>
        <w:rPr>
          <w:b/>
          <w:sz w:val="26"/>
          <w:color w:val="12664A"/>
        </w:rPr>
        <w:t xml:space="preserve">3.3 Evaluación de Marketing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Rendimiento por campaña/canal/formato, costo por registro, crecimiento de comunidad.</w:t>
      </w:r>
    </w:p>
    <w:p>
      <w:pPr>
        <w:pStyle w:val="Heading2"/>
      </w:pPr>
      <w:r>
        <w:rPr>
          <w:b/>
          <w:sz w:val="26"/>
          <w:color w:val="12664A"/>
        </w:rPr>
        <w:t xml:space="preserve">3.4 Evaluación de Diseño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Cumplimiento de la matriz de piezas, tiempos de aprobación, consistencia de marca.</w:t>
      </w:r>
    </w:p>
    <w:p>
      <w:pPr>
        <w:pStyle w:val="Heading2"/>
      </w:pPr>
      <w:r>
        <w:rPr>
          <w:b/>
          <w:sz w:val="26"/>
          <w:color w:val="12664A"/>
        </w:rPr>
        <w:t xml:space="preserve">3.5 Evaluación Audiovisual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Cobertura lograda, tiempo de publicación, tamaño y calidad del banco de activos y testimoniales.</w:t>
      </w:r>
    </w:p>
    <w:p>
      <w:pPr>
        <w:pStyle w:val="Heading2"/>
      </w:pPr>
      <w:r>
        <w:rPr>
          <w:b/>
          <w:sz w:val="26"/>
          <w:color w:val="12664A"/>
        </w:rPr>
        <w:t xml:space="preserve">3.6 Evaluación de experiencia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Satisfacción por colegio/familia, NPS, quejas e incidencias, asistencia.</w:t>
      </w:r>
    </w:p>
    <w:p>
      <w:pPr>
        <w:pStyle w:val="Heading2"/>
      </w:pPr>
      <w:r>
        <w:rPr>
          <w:b/>
          <w:sz w:val="26"/>
          <w:color w:val="12664A"/>
        </w:rPr>
        <w:t xml:space="preserve">3.7 Evaluación de coordinación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Retrospectiva: qué funcionó, qué no, dónde hubo vacíos de RACI o retrasos de cronograma.</w:t>
      </w:r>
    </w:p>
    <w:p>
      <w:pPr>
        <w:pStyle w:val="Heading2"/>
      </w:pPr>
      <w:r>
        <w:rPr>
          <w:b/>
          <w:sz w:val="26"/>
          <w:color w:val="12664A"/>
        </w:rPr>
        <w:t xml:space="preserve">3.8 Evaluación de captación de alumnos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Prospectos, clases muestra, conversiones, CAC, conversión por colegio/categoría/canal, retención.</w:t>
      </w:r>
    </w:p>
    <w:p>
      <w:pPr>
        <w:pStyle w:val="Heading1"/>
      </w:pPr>
      <w:r>
        <w:rPr>
          <w:b/>
          <w:sz w:val="32"/>
          <w:color w:val="0B3D2E"/>
        </w:rPr>
        <w:t xml:space="preserve">4. Revisión de pendientes y riesgos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¿Qué pendientes se cerraron tarde y qué costaron? Actualizar Doc 15 para la Ed. 2.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¿Qué riesgos se materializaron? ¿Funcionaron las contingencias? Actualizar Doc 14.</w:t>
      </w:r>
    </w:p>
    <w:p>
      <w:pPr>
        <w:pStyle w:val="Heading1"/>
      </w:pPr>
      <w:r>
        <w:rPr>
          <w:b/>
          <w:sz w:val="32"/>
          <w:color w:val="0B3D2E"/>
        </w:rPr>
        <w:t xml:space="preserve">5. Recomendaciones y decisiones para la Edición 2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74"/>
        <w:gridCol w:w="5022"/>
        <w:gridCol w:w="2604"/>
      </w:tblGrid>
      <w:tr>
        <w:trPr>
          <w:tblHeader/>
        </w:trPr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Ámbito</w:t>
            </w:r>
          </w:p>
        </w:tc>
        <w:tc>
          <w:tcPr>
            <w:tcW w:w="502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Recomendación típica a evaluar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Producto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Ajustar categorías/formato según demanda; evaluar rama femenil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Deportivo/Dirección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Ampliar n.º de colegios; renovar fundadores con incentivo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Consolidar identidad; medir reconocimiento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Marketing/Diseño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Reutilizar banco; planear producción con anticipación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AV/Marketing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Automatización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Automatizar bienvenida, recordatorios y remarketing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Presupuesto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Reasignar a canales/piezas de mejor ROI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Finanzas/Marketing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Nuevas líneas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Evaluar lanzamiento de la Liga Infantil Libre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Dirección/Comercial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6. Activos reutilizables (capitalizar la Ed. 1)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Banco de fotos/video/testimoniales etiquetado.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Plantillas y sistema de marca ya probados.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Base de colegios con historial y relación; base de prospectos de Academia.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Guiones, propuestas y procesos afinados.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Casos de éxito "de la liga a la Academia".</w:t>
      </w:r>
    </w:p>
    <w:p>
      <w:pPr>
        <w:pStyle w:val="Heading1"/>
      </w:pPr>
      <w:r>
        <w:rPr>
          <w:b/>
          <w:sz w:val="32"/>
          <w:color w:val="0B3D2E"/>
        </w:rPr>
        <w:t xml:space="preserve">7. Nuevas oportunidades comerciales detectadas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Liga Infantil Libre</w:t>
      </w:r>
      <w:r>
        <w:rPr>
          <w:sz w:val="20"/>
        </w:rPr>
        <w:t xml:space="preserve"> (equipos particulares) — documentada como línea futura separada.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Clínicas, cursos de verano y escuela de porteros para colegios aliados.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Paquetes de patrocinio anuales (multi-temporada).</w:t>
      </w:r>
    </w:p>
    <w:p>
      <w:pPr>
        <w:pStyle w:val="Heading1"/>
      </w:pPr>
      <w:r>
        <w:rPr>
          <w:b/>
          <w:sz w:val="32"/>
          <w:color w:val="0B3D2E"/>
        </w:rPr>
        <w:t xml:space="preserve">8. Proceso de mejora continua (ciclo)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Medir (KPIs y encuestas).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Analizar (sesiones por área + integral).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Decidir (recomendaciones priorizadas).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Documentar (actualizar todos los documentos a v2).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Aplicar en la Ed. 2 y volver a medir.</w:t>
      </w:r>
    </w:p>
    <w:p>
      <w:pPr>
        <w:pStyle w:val="Heading1"/>
      </w:pPr>
      <w:r>
        <w:rPr>
          <w:b/>
          <w:sz w:val="32"/>
          <w:color w:val="0B3D2E"/>
        </w:rPr>
        <w:t xml:space="preserve">9. Informe final (estructura)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Resumen ejecutivo de resultados vs. objetivos.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Resultados por área con KPIs.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Aprendizajes y recomendaciones priorizadas.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Decisiones para la Ed. 2 y calendario tentativo.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Anexos: dashboard final, banco de activos, actualizaciones de riesgos/pendientes.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Aprobar calendario de evaluación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Definir metas oficiales para comparar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Decidir sobre Ed.2 y Liga Libre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Metas oficiales (Dirección/Finanzas)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Datos financieros de cierre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 (resultados económicos)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Academia (conversión/retención)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Todas (retrospectiva)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Agendar sesiones de evaluación por área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19/12/2026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Elaborar informe final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10/01/2027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plan y calendario de la Ed. 2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Dirección/Marketing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15/01/2027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Proyecto (Marketing)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15/01/2027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Informe final + plan de Edición 2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 aprueba aprendizajes, decisiones y plan de la Ed. 2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 / Coordinación de Proyecto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DOC-17 · Plan de Mejora Continua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Mejora Continua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