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Documento Ejecutivo para Dirección</w:t>
      </w:r>
    </w:p>
    <w:p>
      <w:pPr>
        <w:spacing w:before="0" w:after="480"/>
      </w:pPr>
      <w:r>
        <w:rPr>
          <w:i/>
          <w:sz w:val="24"/>
          <w:color w:val="5A5A5A"/>
        </w:rPr>
        <w:t xml:space="preserve">Presentación ejecutiva del proyecto Liga Infantil Escolar · Decisiones solicitadas a Dirección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EXEC — Documento Ejecutivo para Dirección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Marketing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Resumen del proyecto</w:t>
      </w:r>
    </w:p>
    <w:p>
      <w:pPr>
        <w:spacing w:after="120"/>
        <w:rPr>
          <w:sz w:val="20"/>
        </w:rPr>
      </w:pPr>
      <w:r>
        <w:rPr>
          <w:sz w:val="20"/>
        </w:rPr>
        <w:t xml:space="preserve">La </w:t>
      </w:r>
      <w:r>
        <w:rPr>
          <w:sz w:val="20"/>
          <w:b/>
        </w:rPr>
        <w:t xml:space="preserve">Liga Infantil Escolar Andrés Chitiva</w:t>
      </w:r>
      <w:r>
        <w:rPr>
          <w:sz w:val="20"/>
        </w:rPr>
        <w:t xml:space="preserve"> es una competencia de fútbol de primaria en la que los alumnos representan a su colegio, organizada por la Academia y el Complejo Deportivo Andrés Chitiva. Se diseña como </w:t>
      </w:r>
      <w:r>
        <w:rPr>
          <w:sz w:val="20"/>
          <w:b/>
        </w:rPr>
        <w:t xml:space="preserve">motor de rentabilidad y de captación de nuevos alumnos</w:t>
      </w:r>
      <w:r>
        <w:rPr>
          <w:sz w:val="20"/>
        </w:rPr>
        <w:t xml:space="preserve"> para la Academia, además de plataforma de marca y contenido. Primera edición: </w:t>
      </w:r>
      <w:r>
        <w:rPr>
          <w:sz w:val="20"/>
          <w:b/>
        </w:rPr>
        <w:t xml:space="preserve">octubre–diciembre 2026</w:t>
      </w:r>
      <w:r>
        <w:rPr>
          <w:sz w:val="20"/>
        </w:rPr>
        <w:t xml:space="preserve">.</w:t>
      </w:r>
    </w:p>
    <w:p>
      <w:pPr>
        <w:spacing w:after="120"/>
        <w:rPr>
          <w:sz w:val="20"/>
        </w:rPr>
      </w:pPr>
      <w:r>
        <w:rPr>
          <w:sz w:val="20"/>
        </w:rPr>
        <w:t xml:space="preserve">Marketing presenta a Dirección un </w:t>
      </w:r>
      <w:r>
        <w:rPr>
          <w:sz w:val="20"/>
          <w:b/>
        </w:rPr>
        <w:t xml:space="preserve">sistema completo y ejecutable</w:t>
      </w:r>
      <w:r>
        <w:rPr>
          <w:sz w:val="20"/>
        </w:rPr>
        <w:t xml:space="preserve"> (20+ documentos Word editables, matrices en Excel y control de proyecto) listo para operar en cuanto se tomen las decisiones clave.</w:t>
      </w:r>
    </w:p>
    <w:p>
      <w:pPr>
        <w:pStyle w:val="Heading1"/>
      </w:pPr>
      <w:r>
        <w:rPr>
          <w:b/>
          <w:sz w:val="32"/>
          <w:color w:val="0B3D2E"/>
        </w:rPr>
        <w:t xml:space="preserve">2. La oportunidad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Poner a </w:t>
      </w:r>
      <w:r>
        <w:rPr>
          <w:sz w:val="20"/>
          <w:b/>
        </w:rPr>
        <w:t xml:space="preserve">cientos de niños y familias</w:t>
      </w:r>
      <w:r>
        <w:rPr>
          <w:sz w:val="20"/>
        </w:rPr>
        <w:t xml:space="preserve"> dentro del Complejo durante 8–10 semanas, en un contexto de confianza (su colegio) y con experiencia positiva: el mejor canal de adquisición de alumnos posible.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Base real de </w:t>
      </w:r>
      <w:r>
        <w:rPr>
          <w:sz w:val="20"/>
          <w:b/>
        </w:rPr>
        <w:t xml:space="preserve">16 colegios prospecto</w:t>
      </w:r>
      <w:r>
        <w:rPr>
          <w:sz w:val="20"/>
        </w:rPr>
        <w:t xml:space="preserve"> ya identificada y ventana de visitas (7–25 sep) definida.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Generar ingresos propios (inscripciones y patrocinios) y un </w:t>
      </w:r>
      <w:r>
        <w:rPr>
          <w:sz w:val="20"/>
          <w:b/>
        </w:rPr>
        <w:t xml:space="preserve">activo de marca escalable</w:t>
      </w:r>
      <w:r>
        <w:rPr>
          <w:sz w:val="20"/>
        </w:rPr>
        <w:t xml:space="preserve"> a 3–4 temporadas por año.</w:t>
      </w:r>
    </w:p>
    <w:p>
      <w:pPr>
        <w:pStyle w:val="Heading1"/>
      </w:pPr>
      <w:r>
        <w:rPr>
          <w:b/>
          <w:sz w:val="32"/>
          <w:color w:val="0B3D2E"/>
        </w:rPr>
        <w:t xml:space="preserve">3. Objetivos (priorizados)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744"/>
        <w:gridCol w:w="3906"/>
        <w:gridCol w:w="4650"/>
      </w:tblGrid>
      <w:tr>
        <w:trPr>
          <w:tblHeader/>
        </w:trPr>
        <w:tc>
          <w:tcPr>
            <w:tcW w:w="74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Objetivo</w:t>
            </w:r>
          </w:p>
        </w:tc>
        <w:tc>
          <w:tcPr>
            <w:tcW w:w="465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Meta (POR VALIDAR)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Rentabilidad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Margen positivo (meta de Finanzas)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Captación de alumnos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30 nuevos alumnos atribuibles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 firmados; 12+ relaciones activas</w:t>
            </w:r>
          </w:p>
        </w:tc>
      </w:tr>
      <w:tr>
        <w:tc>
          <w:tcPr>
            <w:tcW w:w="74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Posicionamiento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Alcance y percepción de marca</w:t>
            </w:r>
          </w:p>
        </w:tc>
      </w:tr>
      <w:tr>
        <w:tc>
          <w:tcPr>
            <w:tcW w:w="74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5–7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Plataforma, contenido y marca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Modelo repetible + banco de activos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4. Propuesta de valor</w:t>
      </w:r>
    </w:p>
    <w:p>
      <w:pPr>
        <w:spacing w:after="120"/>
        <w:rPr>
          <w:sz w:val="20"/>
        </w:rPr>
      </w:pPr>
      <w:r>
        <w:rPr>
          <w:sz w:val="20"/>
        </w:rPr>
        <w:t xml:space="preserve">Para el </w:t>
      </w:r>
      <w:r>
        <w:rPr>
          <w:sz w:val="20"/>
          <w:b/>
        </w:rPr>
        <w:t xml:space="preserve">colegio</w:t>
      </w:r>
      <w:r>
        <w:rPr>
          <w:sz w:val="20"/>
        </w:rPr>
        <w:t xml:space="preserve">: actividad deportiva de valor sin carga operativa y contenido para su comunidad. Para las </w:t>
      </w:r>
      <w:r>
        <w:rPr>
          <w:sz w:val="20"/>
          <w:b/>
        </w:rPr>
        <w:t xml:space="preserve">familias</w:t>
      </w:r>
      <w:r>
        <w:rPr>
          <w:sz w:val="20"/>
        </w:rPr>
        <w:t xml:space="preserve">: experiencia segura, profesional y memorable. Para la </w:t>
      </w:r>
      <w:r>
        <w:rPr>
          <w:sz w:val="20"/>
          <w:b/>
        </w:rPr>
        <w:t xml:space="preserve">Academia</w:t>
      </w:r>
      <w:r>
        <w:rPr>
          <w:sz w:val="20"/>
        </w:rPr>
        <w:t xml:space="preserve">: prospectos calificados y una vía medible de conversión. Para </w:t>
      </w:r>
      <w:r>
        <w:rPr>
          <w:sz w:val="20"/>
          <w:b/>
        </w:rPr>
        <w:t xml:space="preserve">patrocinadores</w:t>
      </w:r>
      <w:r>
        <w:rPr>
          <w:sz w:val="20"/>
        </w:rPr>
        <w:t xml:space="preserve">: exposición ante familias en un entorno positivo.</w:t>
      </w:r>
    </w:p>
    <w:p>
      <w:pPr>
        <w:pStyle w:val="Heading1"/>
      </w:pPr>
      <w:r>
        <w:rPr>
          <w:b/>
          <w:sz w:val="32"/>
          <w:color w:val="0B3D2E"/>
        </w:rPr>
        <w:t xml:space="preserve">5. Estrategia comercial (B2B colegios)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Prospección directa priorizada (A/B/C) sobre la base de 16 colegios; foco en variedad de colegios distintos.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Embudo: contacto → reunión → propuesta → cierre; la primera llamada solo busca la reunión.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Meta: 7 colegios firmados antes del 5 de octubre (J1). Manual, guiones y CRM ya listos (Docs 02 y 03).</w:t>
      </w:r>
    </w:p>
    <w:p>
      <w:pPr>
        <w:pStyle w:val="Heading1"/>
      </w:pPr>
      <w:r>
        <w:rPr>
          <w:b/>
          <w:sz w:val="32"/>
          <w:color w:val="0B3D2E"/>
        </w:rPr>
        <w:t xml:space="preserve">6. Estrategia de Marketing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Concepto: «Tu colegio, en cancha de verdad». Campañas por etapa (lanzamiento, convocatoria, registro, temporada, cierre, renovación).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Canales: Instagram/Facebook, WhatsApp, correo B2B, landing; pauta geolocalizada + remarketing.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Control estricto de mensajes: nada de lo POR VALIDAR (precio, tecnología, seguridad) se comunica sin autorización (Doc 06).</w:t>
      </w:r>
    </w:p>
    <w:p>
      <w:pPr>
        <w:pStyle w:val="Heading1"/>
      </w:pPr>
      <w:r>
        <w:rPr>
          <w:b/>
          <w:sz w:val="32"/>
          <w:color w:val="0B3D2E"/>
        </w:rPr>
        <w:t xml:space="preserve">7. Estrategia de captación de alumnos</w:t>
      </w:r>
    </w:p>
    <w:p>
      <w:pPr>
        <w:spacing w:after="120"/>
        <w:rPr>
          <w:sz w:val="20"/>
        </w:rPr>
      </w:pPr>
      <w:r>
        <w:rPr>
          <w:sz w:val="20"/>
        </w:rPr>
        <w:t xml:space="preserve">Embudo Colegio → Familias → Experiencia → Clase muestra → Conversión → Retención. Identificación de prospectos nuevos en el registro, clase muestra, ofertas (POR VALIDAR), seguimiento por WhatsApp y remarketing, con medición de CAC y conversión por colegio/categoría/canal (Doc 05 y 11).</w:t>
      </w:r>
    </w:p>
    <w:p>
      <w:pPr>
        <w:pStyle w:val="Heading1"/>
      </w:pPr>
      <w:r>
        <w:rPr>
          <w:b/>
          <w:sz w:val="32"/>
          <w:color w:val="0B3D2E"/>
        </w:rPr>
        <w:t xml:space="preserve">8. Papel de Diseño y Producción Audiovisual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Diseño:</w:t>
      </w:r>
      <w:r>
        <w:rPr>
          <w:sz w:val="20"/>
        </w:rPr>
        <w:t xml:space="preserve"> identidad de marca + matriz de 20 piezas (presentación, plantillas de resultados, señalización, credenciales, premiación). Bloqueado por aprobación de identidad (Doc 07).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Audiovisual:</w:t>
      </w:r>
      <w:r>
        <w:rPr>
          <w:sz w:val="20"/>
        </w:rPr>
        <w:t xml:space="preserve"> video de lanzamiento, cobertura por jornada, testimoniales y banco de activos reutilizables. Bloqueado por autorización legal de uso de imagen (Doc 08).</w:t>
      </w:r>
    </w:p>
    <w:p>
      <w:pPr>
        <w:pStyle w:val="Heading1"/>
      </w:pPr>
      <w:r>
        <w:rPr>
          <w:b/>
          <w:sz w:val="32"/>
          <w:color w:val="0B3D2E"/>
        </w:rPr>
        <w:t xml:space="preserve">9. Dependencias con otras áreas</w:t>
      </w:r>
    </w:p>
    <w:p>
      <w:pPr>
        <w:spacing w:after="120"/>
        <w:rPr>
          <w:sz w:val="20"/>
        </w:rPr>
      </w:pPr>
      <w:r>
        <w:rPr>
          <w:sz w:val="20"/>
        </w:rPr>
        <w:t xml:space="preserve">El trabajo de Marketing está listo; su ejecución depende de entregables de otras áreas (solicitados formalmente en el Doc de Solicitudes):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488"/>
        <w:gridCol w:w="5394"/>
        <w:gridCol w:w="2418"/>
      </w:tblGrid>
      <w:tr>
        <w:trPr>
          <w:tblHeader/>
        </w:trPr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Área</w:t>
            </w:r>
          </w:p>
        </w:tc>
        <w:tc>
          <w:tcPr>
            <w:tcW w:w="539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Entregable clave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F. límite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Deportivo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Categorías, formato, modalidad, calendario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10–15/09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Finanzas</w:t>
            </w:r>
          </w:p>
        </w:tc>
        <w:tc>
          <w:tcPr>
            <w:tcW w:w="539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Precio, presupuesto, oferta de captación, equilibrio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12–15/09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Capacidad, horarios, seguridad, espacios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12–18/09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Legal</w:t>
            </w:r>
          </w:p>
        </w:tc>
        <w:tc>
          <w:tcPr>
            <w:tcW w:w="539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Protección de menores, datos, uso de imagen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18–20/09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Tecnología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Funcionalidades comunicables de la plataforma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14/09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10. Cronograma (hitos)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418"/>
        <w:gridCol w:w="1860"/>
        <w:gridCol w:w="5022"/>
      </w:tblGrid>
      <w:tr>
        <w:trPr>
          <w:tblHeader/>
        </w:trPr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Fase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Ventana</w:t>
            </w:r>
          </w:p>
        </w:tc>
        <w:tc>
          <w:tcPr>
            <w:tcW w:w="502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Hito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Planeación/validación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04–12 Sep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Propuesta y presupuesto aprobados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 y materiales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08–20 Sep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Nombre, identidad y presentación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Prospección/cierre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07 Sep–05 Oct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 colegios firmados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Lanzamiento/temporada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05 Oct–11 Dic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Jornadas y cobertura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Cierre/evaluación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 Dic–15 Ene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Final, informe y plan Ed.2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11. Recursos requeridos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Presupuesto por área (MKT, Diseño, AV, pauta, producción, premiación) — a definir por Finanzas.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Equipo comercial para prospección/cierre; equipo de cobertura AV por jornada.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Herramientas: CRM/hoja de control y automatización de WhatsApp.</w:t>
      </w:r>
    </w:p>
    <w:p>
      <w:pPr>
        <w:pStyle w:val="Heading1"/>
      </w:pPr>
      <w:r>
        <w:rPr>
          <w:b/>
          <w:sz w:val="32"/>
          <w:color w:val="0B3D2E"/>
        </w:rPr>
        <w:t xml:space="preserve">12. Riesgos principales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534"/>
        <w:gridCol w:w="1302"/>
        <w:gridCol w:w="4464"/>
      </w:tblGrid>
      <w:tr>
        <w:trPr>
          <w:tblHeader/>
        </w:trPr>
        <w:tc>
          <w:tcPr>
            <w:tcW w:w="353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Riesgo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Nivel</w:t>
            </w:r>
          </w:p>
        </w:tc>
        <w:tc>
          <w:tcPr>
            <w:tcW w:w="446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Mitigación</w:t>
            </w:r>
          </w:p>
        </w:tc>
      </w:tr>
      <w:tr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Retraso de decisiones de Dirección/Finanzas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🔴 Crítico</w:t>
            </w:r>
          </w:p>
        </w:tc>
        <w:tc>
          <w:tcPr>
            <w:tcW w:w="446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Este documento + agenda de decisiones con fechas</w:t>
            </w:r>
          </w:p>
        </w:tc>
      </w:tr>
      <w:tr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Participación/cierre de colegios insuficiente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🟠 Alto</w:t>
            </w:r>
          </w:p>
        </w:tc>
        <w:tc>
          <w:tcPr>
            <w:tcW w:w="446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Prospección temprana amplia; incentivo fundador</w:t>
            </w:r>
          </w:p>
        </w:tc>
      </w:tr>
      <w:tr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Falta de permisos de imagen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🟠 Alto</w:t>
            </w:r>
          </w:p>
        </w:tc>
        <w:tc>
          <w:tcPr>
            <w:tcW w:w="446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Consentimiento en registro (Legal)</w:t>
            </w:r>
          </w:p>
        </w:tc>
      </w:tr>
      <w:tr>
        <w:tc>
          <w:tcPr>
            <w:tcW w:w="353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Baja conversión a Academia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🟠 Alto</w:t>
            </w:r>
          </w:p>
        </w:tc>
        <w:tc>
          <w:tcPr>
            <w:tcW w:w="446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Embudo, clase muestra y ofertas (Doc 05)</w:t>
            </w:r>
          </w:p>
        </w:tc>
      </w:tr>
      <w:tr>
        <w:tc>
          <w:tcPr>
            <w:tcW w:w="353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Presupuesto tardío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🟠 Alto</w:t>
            </w:r>
          </w:p>
        </w:tc>
        <w:tc>
          <w:tcPr>
            <w:tcW w:w="446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Solicitud temprana; plan mínimo viable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13. Decisiones solicitadas a Dirección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Estas decisiones </w:t>
      </w:r>
      <w:r>
        <w:rPr>
          <w:sz w:val="20"/>
          <w:b/>
          <w:color w:val="1A1A1A"/>
        </w:rPr>
        <w:t xml:space="preserve">desbloquean todo el proyecto</w:t>
      </w:r>
      <w:r>
        <w:rPr>
          <w:sz w:val="20"/>
          <w:color w:val="1A1A1A"/>
        </w:rPr>
        <w:t xml:space="preserve">. Fecha objetivo: </w:t>
      </w:r>
      <w:r>
        <w:rPr>
          <w:sz w:val="20"/>
          <w:b/>
          <w:color w:val="1A1A1A"/>
        </w:rPr>
        <w:t xml:space="preserve">antes del 12–18 de septiembre de 2026</w:t>
      </w:r>
      <w:r>
        <w:rPr>
          <w:sz w:val="20"/>
          <w:color w:val="1A1A1A"/>
        </w:rPr>
        <w:t xml:space="preserve">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930"/>
        <w:gridCol w:w="4650"/>
        <w:gridCol w:w="1674"/>
        <w:gridCol w:w="2046"/>
      </w:tblGrid>
      <w:tr>
        <w:trPr>
          <w:tblHeader/>
        </w:trPr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w="465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Decisión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F. límite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DR-01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propuesta global y presupuesto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DR-02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nombre de la liga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09/09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DR-03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precio e inversión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DR-04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Elegir modelo de participación (recom. híbrido C)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DR-05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Confirmar modalidad (mixta/femenil)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DR-06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Confirmar formato y n.º de equipos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DR-07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identidad visual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16/09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DR-08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Confirmar funcionalidades tecnológicas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14/09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DR-09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oferta de captación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</w:t>
            </w:r>
          </w:p>
        </w:tc>
      </w:tr>
      <w:tr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DR-10</w:t>
            </w:r>
          </w:p>
        </w:tc>
        <w:tc>
          <w:tcPr>
            <w:tcW w:w="46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uso de imagen y avisos de privacidad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</w:t>
            </w:r>
          </w:p>
        </w:tc>
      </w:tr>
      <w:tr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DR-11</w:t>
            </w:r>
          </w:p>
        </w:tc>
        <w:tc>
          <w:tcPr>
            <w:tcW w:w="46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Aprobar paquetes de patrocinio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14. Próximos pasos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Dirección revisa este documento y toma las decisiones DR-01 a DR-11.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Se cierran los pendientes CRÍTICOS y se reciben los entregables de otras áreas.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Se aprueba identidad y se producen los materiales comerciales.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Se activa la prospección/cierre de colegios y la campaña de convocatoria.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Lanzamiento el 05 de octubre (J1).</w:t>
      </w:r>
    </w:p>
    <w:p>
      <w:pPr>
        <w:pStyle w:val="Heading1"/>
      </w:pPr>
      <w:r>
        <w:rPr>
          <w:b/>
          <w:sz w:val="32"/>
          <w:color w:val="0B3D2E"/>
        </w:rPr>
        <w:t xml:space="preserve">15. Estado actual del proyecto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Documentación de Marketing/Comercial/Diseño/AV: 100% lista</w:t>
      </w:r>
      <w:r>
        <w:rPr>
          <w:sz w:val="20"/>
        </w:rPr>
        <w:t xml:space="preserve"> (20+ documentos editables + matrices + control de proyecto). El proyecto está en fase de </w:t>
      </w:r>
      <w:r>
        <w:rPr>
          <w:sz w:val="20"/>
          <w:b/>
        </w:rPr>
        <w:t xml:space="preserve">validación interna</w:t>
      </w:r>
      <w:r>
        <w:rPr>
          <w:sz w:val="20"/>
        </w:rPr>
        <w:t xml:space="preserve">; la ruta crítica depende de las decisiones de Dirección y de los entregables técnicos de otras áreas.</w:t>
      </w:r>
    </w:p>
    <w:p>
      <w:pPr>
        <w:pStyle w:val="Heading1"/>
      </w:pPr>
      <w:r>
        <w:rPr>
          <w:b/>
          <w:sz w:val="32"/>
          <w:color w:val="0B3D2E"/>
        </w:rPr>
        <w:t xml:space="preserve">16. Supuestos principales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~15 jugadores por equipo y hasta ~315 participantes (estimación de planeación).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Jornadas martes/jueves 15–17 h en el Complejo (referencia del área deportiva).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Modalidad mixta como hipótesis inicial.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La plataforma permite seguimiento de resultados y grabación (a confirmar).</w:t>
      </w:r>
    </w:p>
    <w:p>
      <w:pPr>
        <w:pStyle w:val="Heading1"/>
      </w:pPr>
      <w:r>
        <w:rPr>
          <w:b/>
          <w:sz w:val="32"/>
          <w:color w:val="0B3D2E"/>
        </w:rPr>
        <w:t xml:space="preserve">17. Información pendiente</w:t>
      </w:r>
    </w:p>
    <w:p>
      <w:pPr>
        <w:spacing w:after="120"/>
        <w:rPr>
          <w:sz w:val="20"/>
        </w:rPr>
      </w:pPr>
      <w:r>
        <w:rPr>
          <w:sz w:val="20"/>
        </w:rPr>
        <w:t xml:space="preserve">Ver `PENDIENTES.md` y Doc 15. Crítico: precio/presupuesto, categorías/formato/modalidad, capacidad operativa, funcionalidades tecnológicas y marco legal de imagen/datos.</w:t>
      </w:r>
    </w:p>
    <w:p>
      <w:pPr>
        <w:pStyle w:val="Heading1"/>
      </w:pPr>
      <w:r>
        <w:rPr>
          <w:b/>
          <w:sz w:val="32"/>
          <w:color w:val="0B3D2E"/>
        </w:rPr>
        <w:t xml:space="preserve">18. Criterios de éxito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7 colegios firmados y registro al 80% de cupo antes de J1.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Margen positivo de la edición (meta de Finanzas).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≥ 30 nuevos alumnos atribuibles a la liga y CAC dentro de meta.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Satisfacción alta de familias/colegios y ≥ 70% de renovación de colegios.</w:t>
      </w:r>
    </w:p>
    <w:p>
      <w:pPr>
        <w:pStyle w:val="Heading1"/>
      </w:pPr>
      <w:r>
        <w:rPr>
          <w:b/>
          <w:sz w:val="32"/>
          <w:color w:val="0B3D2E"/>
        </w:rPr>
        <w:t xml:space="preserve">19. Recomendación final de Marketing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b/>
          <w:color w:val="1A1A1A"/>
        </w:rPr>
        <w:t xml:space="preserve">Recomendamos aprobar el proyecto y tomar de inmediato las decisiones CRÍTICAS (DR-01 a DR-10).</w:t>
      </w:r>
      <w:r>
        <w:rPr>
          <w:sz w:val="20"/>
          <w:color w:val="1A1A1A"/>
        </w:rPr>
        <w:t xml:space="preserve"> La oportunidad es sólida: hay base de colegios, instalaciones y un sistema comercial y de captación listo para ejecutar. El mayor riesgo no es el mercado, sino </w:t>
      </w:r>
      <w:r>
        <w:rPr>
          <w:sz w:val="20"/>
          <w:b/>
          <w:color w:val="1A1A1A"/>
        </w:rPr>
        <w:t xml:space="preserve">el retraso interno de decisiones</w:t>
      </w:r>
      <w:r>
        <w:rPr>
          <w:sz w:val="20"/>
          <w:color w:val="1A1A1A"/>
        </w:rPr>
        <w:t xml:space="preserve">. Con las definiciones tomadas antes del 18 de septiembre, el lanzamiento del 5 de octubre es plenamente viable y la liga puede convertirse en un canal permanente y rentable de captación de alumnos para la Academia.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DR-01 a DR-11 (§13)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Entregables técnicos de Deportivo, Finanzas, Operación, Legal y Tecnología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Todas las áreas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Sesión de decisiones con Dirección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Dirección/Marketing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Cerrar pendientes críticos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Proyecto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18/09/2026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Arrancar producción de materiales tras aprobación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Diseño/AV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Marketing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Decisiones antes del 18/09/2026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Aprobación de Dirección y arranque de ejecución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 aprueba proyecto, presupuesto y decisiones críticas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Para presentación a Dirección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Marketing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EXEC · Documento Ejecutivo para Dirección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Documento Ejecutivo para Dirección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