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w:body>
    <w:p>
      <w:pPr>
        <w:pStyle w:val="Title"/>
      </w:pPr>
      <w:r>
        <w:t xml:space="preserve">Evaluación Final de Estrategia — KugelCamp 2026</w:t>
      </w:r>
    </w:p>
    <w:p>
      <w:pPr>
        <w:jc w:val="center"/>
        <w:spacing w:after="40"/>
      </w:pPr>
      <w:r>
        <w:rPr>
          <w:b/>
          <w:sz w:val="24"/>
          <w:szCs w:val="24"/>
          <w:color w:val="2E7D32"/>
        </w:rPr>
        <w:t xml:space="preserve">Kugelman Academy · Curso de verano · Enfoque: Marketing</w:t>
      </w:r>
    </w:p>
    <w:p>
      <w:pPr>
        <w:jc w:val="center"/>
        <w:spacing w:after="200"/>
      </w:pPr>
      <w:r>
        <w:rPr>
          <w:i/>
          <w:sz w:val="20"/>
          <w:szCs w:val="20"/>
        </w:rPr>
        <w:t xml:space="preserve">Documento preparado para el área de Finanzas</w:t>
      </w:r>
    </w:p>
    <w:p>
      <w:pPr>
        <w:spacing w:after="100"/>
      </w:pPr>
      <w:r>
        <w:rPr>
          <w:b/>
        </w:rPr>
        <w:t xml:space="preserve">Nota metodológica. </w:t>
      </w:r>
      <w:r>
        <w:t xml:space="preserve">Análisis con base en los archivos entregados (plan de marketing, reporte del curso, reporte de anuncios de Meta y encuesta de satisfacción) más los datos financieros y de conversaciones confirmados por la dirección. No se inventan datos; los vacíos se declaran. Etiquetas: [DATO] = hecho verificable, [INTERPRETACIÓN] = análisis, [RECOMENDACIÓN] = acción.</w:t>
      </w:r>
    </w:p>
    <w:p>
      <w:pPr>
        <w:spacing w:after="160"/>
      </w:pPr>
      <w:r>
        <w:rPr>
          <w:b/>
        </w:rPr>
        <w:t xml:space="preserve">Alcance: </w:t>
      </w:r>
      <w:r>
        <w:t xml:space="preserve">el foco es marketing y su contribución financiera. Los costos operativos (personal, materiales, alimentos, instalaciones) no fueron proporcionados y deben ser completados por Finanzas para obtener la utilidad neta final.</w:t>
      </w:r>
    </w:p>
    <w:p>
      <w:pPr>
        <w:pStyle w:val="Heading1"/>
      </w:pPr>
      <w:r>
        <w:t xml:space="preserve">1. Resumen ejecutivo</w:t>
      </w:r>
    </w:p>
    <w:p>
      <w:pPr>
        <w:spacing w:after="120"/>
      </w:pPr>
      <w:r>
        <w:t xml:space="preserve">KugelCamp 2026 (niños 6–13 años, 4 semanas, capacidad 30) cerró con 11 inscritos (36.7% de ocupación), ingresos de $33,300 MXN y una inversión de marketing de $4,000 MXN. La pauta de Meta generó 97 conversaciones y la campaña, en conjunto, un ROAS bruto de 8.3x antes de costos operativos.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00"/>
        <w:gridCol w:w="2200"/>
        <w:gridCol w:w="4800"/>
      </w:tblGrid>
      <w:tr>
        <w:trPr>
          <w:tblHeader/>
        </w:trPr>
        <w:tc>
          <w:tcPr>
            <w:tcW w:w="2000" w:type="dxa"/>
            <w:shd w:val="clear" w:color="auto" w:fill="2E7D32"/>
            <w:vAlign w:val="center"/>
          </w:tcPr>
          <w:p>
            <w:pPr>
              <w:spacing w:after="20"/>
            </w:pPr>
            <w:r>
              <w:rPr>
                <w:b/>
                <w:sz w:val="20"/>
                <w:szCs w:val="20"/>
                <w:color w:val="FFFFFF"/>
              </w:rPr>
              <w:t xml:space="preserve">Dimensión</w:t>
            </w:r>
          </w:p>
        </w:tc>
        <w:tc>
          <w:tcPr>
            <w:tcW w:w="2200" w:type="dxa"/>
            <w:shd w:val="clear" w:color="auto" w:fill="2E7D32"/>
            <w:vAlign w:val="center"/>
          </w:tcPr>
          <w:p>
            <w:pPr>
              <w:spacing w:after="20"/>
            </w:pPr>
            <w:r>
              <w:rPr>
                <w:b/>
                <w:sz w:val="20"/>
                <w:szCs w:val="20"/>
                <w:color w:val="FFFFFF"/>
              </w:rPr>
              <w:t xml:space="preserve">Veredicto</w:t>
            </w:r>
          </w:p>
        </w:tc>
        <w:tc>
          <w:tcPr>
            <w:tcW w:w="4800" w:type="dxa"/>
            <w:shd w:val="clear" w:color="auto" w:fill="2E7D32"/>
            <w:vAlign w:val="center"/>
          </w:tcPr>
          <w:p>
            <w:pPr>
              <w:spacing w:after="20"/>
            </w:pPr>
            <w:r>
              <w:rPr>
                <w:b/>
                <w:sz w:val="20"/>
                <w:szCs w:val="20"/>
                <w:color w:val="FFFFFF"/>
              </w:rPr>
              <w:t xml:space="preserve">Fundamento</w:t>
            </w:r>
          </w:p>
        </w:tc>
      </w:tr>
      <w:tr>
        <w:tc>
          <w:tcPr>
            <w:tcW w:w="2000" w:type="dxa"/>
            <w:shd w:val="clear" w:color="auto" w:fill="FFFFFF"/>
          </w:tcPr>
          <w:p>
            <w:pPr>
              <w:spacing w:after="20"/>
            </w:pPr>
            <w:r>
              <w:rPr>
                <w:sz w:val="20"/>
                <w:szCs w:val="20"/>
              </w:rPr>
              <w:t xml:space="preserve">Marketing (atracción)</w:t>
            </w:r>
          </w:p>
        </w:tc>
        <w:tc>
          <w:tcPr>
            <w:tcW w:w="2200" w:type="dxa"/>
            <w:shd w:val="clear" w:color="auto" w:fill="FFFFFF"/>
          </w:tcPr>
          <w:p>
            <w:pPr>
              <w:spacing w:after="20"/>
            </w:pPr>
            <w:r>
              <w:rPr>
                <w:sz w:val="20"/>
                <w:szCs w:val="20"/>
              </w:rPr>
              <w:t xml:space="preserve">Eficiente</w:t>
            </w:r>
          </w:p>
        </w:tc>
        <w:tc>
          <w:tcPr>
            <w:tcW w:w="4800" w:type="dxa"/>
            <w:shd w:val="clear" w:color="auto" w:fill="FFFFFF"/>
          </w:tcPr>
          <w:p>
            <w:pPr>
              <w:spacing w:after="20"/>
            </w:pPr>
            <w:r>
              <w:rPr>
                <w:sz w:val="20"/>
                <w:szCs w:val="20"/>
              </w:rPr>
              <w:t xml:space="preserve">ROAS bruto 8.3x; CPL bajo; el Reel concentró el 50% de las conversaciones.</w:t>
            </w:r>
          </w:p>
        </w:tc>
      </w:tr>
      <w:tr>
        <w:tc>
          <w:tcPr>
            <w:tcW w:w="2000" w:type="dxa"/>
            <w:shd w:val="clear" w:color="auto" w:fill="EAF3EA"/>
          </w:tcPr>
          <w:p>
            <w:pPr>
              <w:spacing w:after="20"/>
            </w:pPr>
            <w:r>
              <w:rPr>
                <w:sz w:val="20"/>
                <w:szCs w:val="20"/>
              </w:rPr>
              <w:t xml:space="preserve">Comercial (conversión)</w:t>
            </w:r>
          </w:p>
        </w:tc>
        <w:tc>
          <w:tcPr>
            <w:tcW w:w="2200" w:type="dxa"/>
            <w:shd w:val="clear" w:color="auto" w:fill="EAF3EA"/>
          </w:tcPr>
          <w:p>
            <w:pPr>
              <w:spacing w:after="20"/>
            </w:pPr>
            <w:r>
              <w:rPr>
                <w:sz w:val="20"/>
                <w:szCs w:val="20"/>
              </w:rPr>
              <w:t xml:space="preserve">Débil</w:t>
            </w:r>
          </w:p>
        </w:tc>
        <w:tc>
          <w:tcPr>
            <w:tcW w:w="4800" w:type="dxa"/>
            <w:shd w:val="clear" w:color="auto" w:fill="EAF3EA"/>
          </w:tcPr>
          <w:p>
            <w:pPr>
              <w:spacing w:after="20"/>
            </w:pPr>
            <w:r>
              <w:rPr>
                <w:sz w:val="20"/>
                <w:szCs w:val="20"/>
              </w:rPr>
              <w:t xml:space="preserve">Solo 11 de 97 conversaciones cerraron (11.3%); ocupación 36.7%.</w:t>
            </w:r>
          </w:p>
        </w:tc>
      </w:tr>
      <w:tr>
        <w:tc>
          <w:tcPr>
            <w:tcW w:w="2000" w:type="dxa"/>
            <w:shd w:val="clear" w:color="auto" w:fill="FFFFFF"/>
          </w:tcPr>
          <w:p>
            <w:pPr>
              <w:spacing w:after="20"/>
            </w:pPr>
            <w:r>
              <w:rPr>
                <w:sz w:val="20"/>
                <w:szCs w:val="20"/>
              </w:rPr>
              <w:t xml:space="preserve">Financiera</w:t>
            </w:r>
          </w:p>
        </w:tc>
        <w:tc>
          <w:tcPr>
            <w:tcW w:w="2200" w:type="dxa"/>
            <w:shd w:val="clear" w:color="auto" w:fill="FFFFFF"/>
          </w:tcPr>
          <w:p>
            <w:pPr>
              <w:spacing w:after="20"/>
            </w:pPr>
            <w:r>
              <w:rPr>
                <w:sz w:val="20"/>
                <w:szCs w:val="20"/>
              </w:rPr>
              <w:t xml:space="preserve">Contribución +, utilidad no confirmada</w:t>
            </w:r>
          </w:p>
        </w:tc>
        <w:tc>
          <w:tcPr>
            <w:tcW w:w="4800" w:type="dxa"/>
            <w:shd w:val="clear" w:color="auto" w:fill="FFFFFF"/>
          </w:tcPr>
          <w:p>
            <w:pPr>
              <w:spacing w:after="20"/>
            </w:pPr>
            <w:r>
              <w:rPr>
                <w:sz w:val="20"/>
                <w:szCs w:val="20"/>
              </w:rPr>
              <w:t xml:space="preserve">+$29,300 tras marketing, faltan costos operativos.</w:t>
            </w:r>
          </w:p>
        </w:tc>
      </w:tr>
      <w:tr>
        <w:tc>
          <w:tcPr>
            <w:tcW w:w="2000" w:type="dxa"/>
            <w:shd w:val="clear" w:color="auto" w:fill="EAF3EA"/>
          </w:tcPr>
          <w:p>
            <w:pPr>
              <w:spacing w:after="20"/>
            </w:pPr>
            <w:r>
              <w:rPr>
                <w:sz w:val="20"/>
                <w:szCs w:val="20"/>
              </w:rPr>
              <w:t xml:space="preserve">Operativa</w:t>
            </w:r>
          </w:p>
        </w:tc>
        <w:tc>
          <w:tcPr>
            <w:tcW w:w="2200" w:type="dxa"/>
            <w:shd w:val="clear" w:color="auto" w:fill="EAF3EA"/>
          </w:tcPr>
          <w:p>
            <w:pPr>
              <w:spacing w:after="20"/>
            </w:pPr>
            <w:r>
              <w:rPr>
                <w:sz w:val="20"/>
                <w:szCs w:val="20"/>
              </w:rPr>
              <w:t xml:space="preserve">Sólida</w:t>
            </w:r>
          </w:p>
        </w:tc>
        <w:tc>
          <w:tcPr>
            <w:tcW w:w="4800" w:type="dxa"/>
            <w:shd w:val="clear" w:color="auto" w:fill="EAF3EA"/>
          </w:tcPr>
          <w:p>
            <w:pPr>
              <w:spacing w:after="20"/>
            </w:pPr>
            <w:r>
              <w:rPr>
                <w:sz w:val="20"/>
                <w:szCs w:val="20"/>
              </w:rPr>
              <w:t xml:space="preserve">91.4% de actividades cumplidas; 73% de permanencia completa.</w:t>
            </w:r>
          </w:p>
        </w:tc>
      </w:tr>
      <w:tr>
        <w:tc>
          <w:tcPr>
            <w:tcW w:w="2000" w:type="dxa"/>
            <w:shd w:val="clear" w:color="auto" w:fill="FFFFFF"/>
          </w:tcPr>
          <w:p>
            <w:pPr>
              <w:spacing w:after="20"/>
            </w:pPr>
            <w:r>
              <w:rPr>
                <w:sz w:val="20"/>
                <w:szCs w:val="20"/>
              </w:rPr>
              <w:t xml:space="preserve">Estratégica</w:t>
            </w:r>
          </w:p>
        </w:tc>
        <w:tc>
          <w:tcPr>
            <w:tcW w:w="2200" w:type="dxa"/>
            <w:shd w:val="clear" w:color="auto" w:fill="FFFFFF"/>
          </w:tcPr>
          <w:p>
            <w:pPr>
              <w:spacing w:after="20"/>
            </w:pPr>
            <w:r>
              <w:rPr>
                <w:sz w:val="20"/>
                <w:szCs w:val="20"/>
              </w:rPr>
              <w:t xml:space="preserve">Mixta</w:t>
            </w:r>
          </w:p>
        </w:tc>
        <w:tc>
          <w:tcPr>
            <w:tcW w:w="4800" w:type="dxa"/>
            <w:shd w:val="clear" w:color="auto" w:fill="FFFFFF"/>
          </w:tcPr>
          <w:p>
            <w:pPr>
              <w:spacing w:after="20"/>
            </w:pPr>
            <w:r>
              <w:rPr>
                <w:sz w:val="20"/>
                <w:szCs w:val="20"/>
              </w:rPr>
              <w:t xml:space="preserve">3 de 11 inscritos ya eran alumnos → captación nueva = 8.</w:t>
            </w:r>
          </w:p>
        </w:tc>
      </w:tr>
    </w:tbl>
    <w:p>
      <w:pPr>
        <w:spacing w:after="60"/>
      </w:pPr>
    </w:p>
    <w:p>
      <w:pPr>
        <w:spacing w:after="120"/>
      </w:pPr>
      <w:r>
        <w:rPr>
          <w:b/>
        </w:rPr>
        <w:t xml:space="preserve">Conclusión [INTERPRETACIÓN]: </w:t>
      </w:r>
      <w:r>
        <w:t xml:space="preserve">el marketing hizo bien su trabajo de atracción y fue rentable a nivel de contribución. El problema no fue traer interesados, sino convertirlos y llenar el cupo. La utilidad final depende de los costos operativos que Finanzas debe integrar.</w:t>
      </w:r>
    </w:p>
    <w:p>
      <w:pPr>
        <w:pStyle w:val="Heading1"/>
      </w:pPr>
      <w:r>
        <w:t xml:space="preserve">2. P&amp;L de marketing (datos confirmados)</w:t>
      </w:r>
    </w:p>
    <w:p>
      <w:pPr>
        <w:pStyle w:val="Heading2"/>
      </w:pPr>
      <w:r>
        <w:t xml:space="preserve">2.1 Ingresos por tipo de pago</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00"/>
        <w:gridCol w:w="1600"/>
        <w:gridCol w:w="1900"/>
        <w:gridCol w:w="1900"/>
      </w:tblGrid>
      <w:tr>
        <w:trPr>
          <w:tblHeader/>
        </w:trPr>
        <w:tc>
          <w:tcPr>
            <w:tcW w:w="3600" w:type="dxa"/>
            <w:shd w:val="clear" w:color="auto" w:fill="2E7D32"/>
            <w:vAlign w:val="center"/>
          </w:tcPr>
          <w:p>
            <w:pPr>
              <w:spacing w:after="20"/>
            </w:pPr>
            <w:r>
              <w:rPr>
                <w:b/>
                <w:sz w:val="20"/>
                <w:szCs w:val="20"/>
                <w:color w:val="FFFFFF"/>
              </w:rPr>
              <w:t xml:space="preserve">Tipo de pago</w:t>
            </w:r>
          </w:p>
        </w:tc>
        <w:tc>
          <w:tcPr>
            <w:tcW w:w="1600" w:type="dxa"/>
            <w:shd w:val="clear" w:color="auto" w:fill="2E7D32"/>
            <w:vAlign w:val="center"/>
          </w:tcPr>
          <w:p>
            <w:pPr>
              <w:spacing w:after="20"/>
            </w:pPr>
            <w:r>
              <w:rPr>
                <w:b/>
                <w:sz w:val="20"/>
                <w:szCs w:val="20"/>
                <w:color w:val="FFFFFF"/>
              </w:rPr>
              <w:t xml:space="preserve">Alumnos</w:t>
            </w:r>
          </w:p>
        </w:tc>
        <w:tc>
          <w:tcPr>
            <w:tcW w:w="1900" w:type="dxa"/>
            <w:shd w:val="clear" w:color="auto" w:fill="2E7D32"/>
            <w:vAlign w:val="center"/>
          </w:tcPr>
          <w:p>
            <w:pPr>
              <w:spacing w:after="20"/>
            </w:pPr>
            <w:r>
              <w:rPr>
                <w:b/>
                <w:sz w:val="20"/>
                <w:szCs w:val="20"/>
                <w:color w:val="FFFFFF"/>
              </w:rPr>
              <w:t xml:space="preserve">Precio unit.</w:t>
            </w:r>
          </w:p>
        </w:tc>
        <w:tc>
          <w:tcPr>
            <w:tcW w:w="1900" w:type="dxa"/>
            <w:shd w:val="clear" w:color="auto" w:fill="2E7D32"/>
            <w:vAlign w:val="center"/>
          </w:tcPr>
          <w:p>
            <w:pPr>
              <w:spacing w:after="20"/>
            </w:pPr>
            <w:r>
              <w:rPr>
                <w:b/>
                <w:sz w:val="20"/>
                <w:szCs w:val="20"/>
                <w:color w:val="FFFFFF"/>
              </w:rPr>
              <w:t xml:space="preserve">Ingreso</w:t>
            </w:r>
          </w:p>
        </w:tc>
      </w:tr>
      <w:tr>
        <w:tc>
          <w:tcPr>
            <w:tcW w:w="3600" w:type="dxa"/>
            <w:shd w:val="clear" w:color="auto" w:fill="FFFFFF"/>
          </w:tcPr>
          <w:p>
            <w:pPr>
              <w:spacing w:after="20"/>
            </w:pPr>
            <w:r>
              <w:rPr>
                <w:sz w:val="20"/>
                <w:szCs w:val="20"/>
              </w:rPr>
              <w:t xml:space="preserve">Curso completo (4 sem)</w:t>
            </w:r>
          </w:p>
        </w:tc>
        <w:tc>
          <w:tcPr>
            <w:tcW w:w="1600" w:type="dxa"/>
            <w:shd w:val="clear" w:color="auto" w:fill="FFFFFF"/>
          </w:tcPr>
          <w:p>
            <w:pPr>
              <w:spacing w:after="20"/>
            </w:pPr>
            <w:r>
              <w:rPr>
                <w:sz w:val="20"/>
                <w:szCs w:val="20"/>
              </w:rPr>
              <w:t xml:space="preserve">8</w:t>
            </w:r>
          </w:p>
        </w:tc>
        <w:tc>
          <w:tcPr>
            <w:tcW w:w="1900" w:type="dxa"/>
            <w:shd w:val="clear" w:color="auto" w:fill="FFFFFF"/>
          </w:tcPr>
          <w:p>
            <w:pPr>
              <w:spacing w:after="20"/>
            </w:pPr>
            <w:r>
              <w:rPr>
                <w:sz w:val="20"/>
                <w:szCs w:val="20"/>
              </w:rPr>
              <w:t xml:space="preserve">$3,500</w:t>
            </w:r>
          </w:p>
        </w:tc>
        <w:tc>
          <w:tcPr>
            <w:tcW w:w="1900" w:type="dxa"/>
            <w:shd w:val="clear" w:color="auto" w:fill="FFFFFF"/>
          </w:tcPr>
          <w:p>
            <w:pPr>
              <w:spacing w:after="20"/>
            </w:pPr>
            <w:r>
              <w:rPr>
                <w:sz w:val="20"/>
                <w:szCs w:val="20"/>
              </w:rPr>
              <w:t xml:space="preserve">$28,000</w:t>
            </w:r>
          </w:p>
        </w:tc>
      </w:tr>
      <w:tr>
        <w:tc>
          <w:tcPr>
            <w:tcW w:w="3600" w:type="dxa"/>
            <w:shd w:val="clear" w:color="auto" w:fill="EAF3EA"/>
          </w:tcPr>
          <w:p>
            <w:pPr>
              <w:spacing w:after="20"/>
            </w:pPr>
            <w:r>
              <w:rPr>
                <w:sz w:val="20"/>
                <w:szCs w:val="20"/>
              </w:rPr>
              <w:t xml:space="preserve">Pago parcial (2 sem)</w:t>
            </w:r>
          </w:p>
        </w:tc>
        <w:tc>
          <w:tcPr>
            <w:tcW w:w="1600" w:type="dxa"/>
            <w:shd w:val="clear" w:color="auto" w:fill="EAF3EA"/>
          </w:tcPr>
          <w:p>
            <w:pPr>
              <w:spacing w:after="20"/>
            </w:pPr>
            <w:r>
              <w:rPr>
                <w:sz w:val="20"/>
                <w:szCs w:val="20"/>
              </w:rPr>
              <w:t xml:space="preserve">2</w:t>
            </w:r>
          </w:p>
        </w:tc>
        <w:tc>
          <w:tcPr>
            <w:tcW w:w="1900" w:type="dxa"/>
            <w:shd w:val="clear" w:color="auto" w:fill="EAF3EA"/>
          </w:tcPr>
          <w:p>
            <w:pPr>
              <w:spacing w:after="20"/>
            </w:pPr>
            <w:r>
              <w:rPr>
                <w:sz w:val="20"/>
                <w:szCs w:val="20"/>
              </w:rPr>
              <w:t xml:space="preserve">$2,500</w:t>
            </w:r>
          </w:p>
        </w:tc>
        <w:tc>
          <w:tcPr>
            <w:tcW w:w="1900" w:type="dxa"/>
            <w:shd w:val="clear" w:color="auto" w:fill="EAF3EA"/>
          </w:tcPr>
          <w:p>
            <w:pPr>
              <w:spacing w:after="20"/>
            </w:pPr>
            <w:r>
              <w:rPr>
                <w:sz w:val="20"/>
                <w:szCs w:val="20"/>
              </w:rPr>
              <w:t xml:space="preserve">$5,000</w:t>
            </w:r>
          </w:p>
        </w:tc>
      </w:tr>
      <w:tr>
        <w:tc>
          <w:tcPr>
            <w:tcW w:w="3600" w:type="dxa"/>
            <w:shd w:val="clear" w:color="auto" w:fill="FFFFFF"/>
          </w:tcPr>
          <w:p>
            <w:pPr>
              <w:spacing w:after="20"/>
            </w:pPr>
            <w:r>
              <w:rPr>
                <w:sz w:val="20"/>
                <w:szCs w:val="20"/>
              </w:rPr>
              <w:t xml:space="preserve">Un día</w:t>
            </w:r>
          </w:p>
        </w:tc>
        <w:tc>
          <w:tcPr>
            <w:tcW w:w="1600" w:type="dxa"/>
            <w:shd w:val="clear" w:color="auto" w:fill="FFFFFF"/>
          </w:tcPr>
          <w:p>
            <w:pPr>
              <w:spacing w:after="20"/>
            </w:pPr>
            <w:r>
              <w:rPr>
                <w:sz w:val="20"/>
                <w:szCs w:val="20"/>
              </w:rPr>
              <w:t xml:space="preserve">1</w:t>
            </w:r>
          </w:p>
        </w:tc>
        <w:tc>
          <w:tcPr>
            <w:tcW w:w="1900" w:type="dxa"/>
            <w:shd w:val="clear" w:color="auto" w:fill="FFFFFF"/>
          </w:tcPr>
          <w:p>
            <w:pPr>
              <w:spacing w:after="20"/>
            </w:pPr>
            <w:r>
              <w:rPr>
                <w:sz w:val="20"/>
                <w:szCs w:val="20"/>
              </w:rPr>
              <w:t xml:space="preserve">$300</w:t>
            </w:r>
          </w:p>
        </w:tc>
        <w:tc>
          <w:tcPr>
            <w:tcW w:w="1900" w:type="dxa"/>
            <w:shd w:val="clear" w:color="auto" w:fill="FFFFFF"/>
          </w:tcPr>
          <w:p>
            <w:pPr>
              <w:spacing w:after="20"/>
            </w:pPr>
            <w:r>
              <w:rPr>
                <w:sz w:val="20"/>
                <w:szCs w:val="20"/>
              </w:rPr>
              <w:t xml:space="preserve">$300</w:t>
            </w:r>
          </w:p>
        </w:tc>
      </w:tr>
      <w:tr>
        <w:tc>
          <w:tcPr>
            <w:tcW w:w="3600" w:type="dxa"/>
            <w:shd w:val="clear" w:color="auto" w:fill="EAF3EA"/>
          </w:tcPr>
          <w:p>
            <w:pPr>
              <w:spacing w:after="20"/>
            </w:pPr>
            <w:r>
              <w:rPr>
                <w:sz w:val="20"/>
                <w:szCs w:val="20"/>
              </w:rPr>
              <w:t xml:space="preserve">Total</w:t>
            </w:r>
          </w:p>
        </w:tc>
        <w:tc>
          <w:tcPr>
            <w:tcW w:w="1600" w:type="dxa"/>
            <w:shd w:val="clear" w:color="auto" w:fill="EAF3EA"/>
          </w:tcPr>
          <w:p>
            <w:pPr>
              <w:spacing w:after="20"/>
            </w:pPr>
            <w:r>
              <w:rPr>
                <w:sz w:val="20"/>
                <w:szCs w:val="20"/>
              </w:rPr>
              <w:t xml:space="preserve">11</w:t>
            </w:r>
          </w:p>
        </w:tc>
        <w:tc>
          <w:tcPr>
            <w:tcW w:w="1900" w:type="dxa"/>
            <w:shd w:val="clear" w:color="auto" w:fill="EAF3EA"/>
          </w:tcPr>
          <w:p>
            <w:pPr>
              <w:spacing w:after="20"/>
            </w:pPr>
            <w:r>
              <w:rPr>
                <w:sz w:val="20"/>
                <w:szCs w:val="20"/>
              </w:rPr>
              <w:t xml:space="preserve">—</w:t>
            </w:r>
          </w:p>
        </w:tc>
        <w:tc>
          <w:tcPr>
            <w:tcW w:w="1900" w:type="dxa"/>
            <w:shd w:val="clear" w:color="auto" w:fill="EAF3EA"/>
          </w:tcPr>
          <w:p>
            <w:pPr>
              <w:spacing w:after="20"/>
            </w:pPr>
            <w:r>
              <w:rPr>
                <w:sz w:val="20"/>
                <w:szCs w:val="20"/>
              </w:rPr>
              <w:t xml:space="preserve">$33,300</w:t>
            </w:r>
          </w:p>
        </w:tc>
      </w:tr>
    </w:tbl>
    <w:p>
      <w:pPr>
        <w:spacing w:after="60"/>
      </w:pPr>
    </w:p>
    <w:p>
      <w:pPr>
        <w:jc w:val="center"/>
        <w:spacing w:after="160"/>
      </w:pPr>
      <w:r>
        <w:drawing>
          <wp:inline distT="0" distB="0" distL="0" distR="0">
            <wp:extent cx="5486400" cy="3016800"/>
            <wp:effectExtent l="0" t="0" r="0" b="0"/>
            <wp:docPr id="1" name="Ingresos por tipo de pago (MXN)"/>
            <wp:cNvGraphicFramePr/>
            <a:graphic xmlns:a="http://schemas.openxmlformats.org/drawingml/2006/main">
              <a:graphicData uri="http://schemas.openxmlformats.org/drawingml/2006/chart">
                <c:chart xmlns:c="http://schemas.openxmlformats.org/drawingml/2006/chart" xmlns:r="http://schemas.openxmlformats.org/officeDocument/2006/relationships" r:id="rId101"/>
              </a:graphicData>
            </a:graphic>
          </wp:inline>
        </w:drawing>
      </w:r>
    </w:p>
    <w:p>
      <w:pPr>
        <w:spacing w:after="120"/>
      </w:pPr>
      <w:r>
        <w:rPr>
          <w:b/>
        </w:rPr>
        <w:t xml:space="preserve">[DATO] </w:t>
      </w:r>
      <w:r>
        <w:t xml:space="preserve">Ticket promedio = $3,027.27. [INTERPRETACIÓN] El 84% del ingreso ($28,000) proviene de los 8 alumnos de curso completo; el modelo depende de vender el paquete de 4 semanas, no los parciales.</w:t>
      </w:r>
    </w:p>
    <w:p>
      <w:pPr>
        <w:pStyle w:val="Heading2"/>
      </w:pPr>
      <w:r>
        <w:t xml:space="preserve">2.2 Estado de resultados — nivel marketing</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200"/>
        <w:gridCol w:w="1800"/>
        <w:gridCol w:w="3000"/>
      </w:tblGrid>
      <w:tr>
        <w:trPr>
          <w:tblHeader/>
        </w:trPr>
        <w:tc>
          <w:tcPr>
            <w:tcW w:w="4200" w:type="dxa"/>
            <w:shd w:val="clear" w:color="auto" w:fill="2E7D32"/>
            <w:vAlign w:val="center"/>
          </w:tcPr>
          <w:p>
            <w:pPr>
              <w:spacing w:after="20"/>
            </w:pPr>
            <w:r>
              <w:rPr>
                <w:b/>
                <w:sz w:val="20"/>
                <w:szCs w:val="20"/>
                <w:color w:val="FFFFFF"/>
              </w:rPr>
              <w:t xml:space="preserve">Concepto</w:t>
            </w:r>
          </w:p>
        </w:tc>
        <w:tc>
          <w:tcPr>
            <w:tcW w:w="1800" w:type="dxa"/>
            <w:shd w:val="clear" w:color="auto" w:fill="2E7D32"/>
            <w:vAlign w:val="center"/>
          </w:tcPr>
          <w:p>
            <w:pPr>
              <w:spacing w:after="20"/>
            </w:pPr>
            <w:r>
              <w:rPr>
                <w:b/>
                <w:sz w:val="20"/>
                <w:szCs w:val="20"/>
                <w:color w:val="FFFFFF"/>
              </w:rPr>
              <w:t xml:space="preserve">Monto</w:t>
            </w:r>
          </w:p>
        </w:tc>
        <w:tc>
          <w:tcPr>
            <w:tcW w:w="3000" w:type="dxa"/>
            <w:shd w:val="clear" w:color="auto" w:fill="2E7D32"/>
            <w:vAlign w:val="center"/>
          </w:tcPr>
          <w:p>
            <w:pPr>
              <w:spacing w:after="20"/>
            </w:pPr>
            <w:r>
              <w:rPr>
                <w:b/>
                <w:sz w:val="20"/>
                <w:szCs w:val="20"/>
                <w:color w:val="FFFFFF"/>
              </w:rPr>
              <w:t xml:space="preserve">Nota</w:t>
            </w:r>
          </w:p>
        </w:tc>
      </w:tr>
      <w:tr>
        <w:tc>
          <w:tcPr>
            <w:tcW w:w="4200" w:type="dxa"/>
            <w:shd w:val="clear" w:color="auto" w:fill="FFFFFF"/>
          </w:tcPr>
          <w:p>
            <w:pPr>
              <w:spacing w:after="20"/>
            </w:pPr>
            <w:r>
              <w:rPr>
                <w:sz w:val="20"/>
                <w:szCs w:val="20"/>
              </w:rPr>
              <w:t xml:space="preserve">Ingresos totales</w:t>
            </w:r>
          </w:p>
        </w:tc>
        <w:tc>
          <w:tcPr>
            <w:tcW w:w="1800" w:type="dxa"/>
            <w:shd w:val="clear" w:color="auto" w:fill="FFFFFF"/>
          </w:tcPr>
          <w:p>
            <w:pPr>
              <w:spacing w:after="20"/>
            </w:pPr>
            <w:r>
              <w:rPr>
                <w:sz w:val="20"/>
                <w:szCs w:val="20"/>
              </w:rPr>
              <w:t xml:space="preserve">$33,300</w:t>
            </w:r>
          </w:p>
        </w:tc>
        <w:tc>
          <w:tcPr>
            <w:tcW w:w="3000" w:type="dxa"/>
            <w:shd w:val="clear" w:color="auto" w:fill="FFFFFF"/>
          </w:tcPr>
          <w:p>
            <w:pPr>
              <w:spacing w:after="20"/>
            </w:pPr>
            <w:r>
              <w:rPr>
                <w:sz w:val="20"/>
                <w:szCs w:val="20"/>
              </w:rPr>
              <w:t xml:space="preserve">Confirmado</w:t>
            </w:r>
          </w:p>
        </w:tc>
      </w:tr>
      <w:tr>
        <w:tc>
          <w:tcPr>
            <w:tcW w:w="4200" w:type="dxa"/>
            <w:shd w:val="clear" w:color="auto" w:fill="EAF3EA"/>
          </w:tcPr>
          <w:p>
            <w:pPr>
              <w:spacing w:after="20"/>
            </w:pPr>
            <w:r>
              <w:rPr>
                <w:sz w:val="20"/>
                <w:szCs w:val="20"/>
              </w:rPr>
              <w:t xml:space="preserve">(–) Pauta Meta Ads</w:t>
            </w:r>
          </w:p>
        </w:tc>
        <w:tc>
          <w:tcPr>
            <w:tcW w:w="1800" w:type="dxa"/>
            <w:shd w:val="clear" w:color="auto" w:fill="EAF3EA"/>
          </w:tcPr>
          <w:p>
            <w:pPr>
              <w:spacing w:after="20"/>
            </w:pPr>
            <w:r>
              <w:rPr>
                <w:sz w:val="20"/>
                <w:szCs w:val="20"/>
              </w:rPr>
              <w:t xml:space="preserve">($3,500)</w:t>
            </w:r>
          </w:p>
        </w:tc>
        <w:tc>
          <w:tcPr>
            <w:tcW w:w="3000" w:type="dxa"/>
            <w:shd w:val="clear" w:color="auto" w:fill="EAF3EA"/>
          </w:tcPr>
          <w:p>
            <w:pPr>
              <w:spacing w:after="20"/>
            </w:pPr>
            <w:r>
              <w:rPr>
                <w:sz w:val="20"/>
                <w:szCs w:val="20"/>
              </w:rPr>
              <w:t xml:space="preserve">Confirmado</w:t>
            </w:r>
          </w:p>
        </w:tc>
      </w:tr>
      <w:tr>
        <w:tc>
          <w:tcPr>
            <w:tcW w:w="4200" w:type="dxa"/>
            <w:shd w:val="clear" w:color="auto" w:fill="FFFFFF"/>
          </w:tcPr>
          <w:p>
            <w:pPr>
              <w:spacing w:after="20"/>
            </w:pPr>
            <w:r>
              <w:rPr>
                <w:sz w:val="20"/>
                <w:szCs w:val="20"/>
              </w:rPr>
              <w:t xml:space="preserve">(–) Flyers (1 millar)</w:t>
            </w:r>
          </w:p>
        </w:tc>
        <w:tc>
          <w:tcPr>
            <w:tcW w:w="1800" w:type="dxa"/>
            <w:shd w:val="clear" w:color="auto" w:fill="FFFFFF"/>
          </w:tcPr>
          <w:p>
            <w:pPr>
              <w:spacing w:after="20"/>
            </w:pPr>
            <w:r>
              <w:rPr>
                <w:sz w:val="20"/>
                <w:szCs w:val="20"/>
              </w:rPr>
              <w:t xml:space="preserve">($500)</w:t>
            </w:r>
          </w:p>
        </w:tc>
        <w:tc>
          <w:tcPr>
            <w:tcW w:w="3000" w:type="dxa"/>
            <w:shd w:val="clear" w:color="auto" w:fill="FFFFFF"/>
          </w:tcPr>
          <w:p>
            <w:pPr>
              <w:spacing w:after="20"/>
            </w:pPr>
            <w:r>
              <w:rPr>
                <w:sz w:val="20"/>
                <w:szCs w:val="20"/>
              </w:rPr>
              <w:t xml:space="preserve">Confirmado</w:t>
            </w:r>
          </w:p>
        </w:tc>
      </w:tr>
      <w:tr>
        <w:tc>
          <w:tcPr>
            <w:tcW w:w="4200" w:type="dxa"/>
            <w:shd w:val="clear" w:color="auto" w:fill="EAF3EA"/>
          </w:tcPr>
          <w:p>
            <w:pPr>
              <w:spacing w:after="20"/>
            </w:pPr>
            <w:r>
              <w:rPr>
                <w:sz w:val="20"/>
                <w:szCs w:val="20"/>
              </w:rPr>
              <w:t xml:space="preserve">= Contribución después de marketing</w:t>
            </w:r>
          </w:p>
        </w:tc>
        <w:tc>
          <w:tcPr>
            <w:tcW w:w="1800" w:type="dxa"/>
            <w:shd w:val="clear" w:color="auto" w:fill="EAF3EA"/>
          </w:tcPr>
          <w:p>
            <w:pPr>
              <w:spacing w:after="20"/>
            </w:pPr>
            <w:r>
              <w:rPr>
                <w:sz w:val="20"/>
                <w:szCs w:val="20"/>
              </w:rPr>
              <w:t xml:space="preserve">$29,300</w:t>
            </w:r>
          </w:p>
        </w:tc>
        <w:tc>
          <w:tcPr>
            <w:tcW w:w="3000" w:type="dxa"/>
            <w:shd w:val="clear" w:color="auto" w:fill="EAF3EA"/>
          </w:tcPr>
          <w:p>
            <w:pPr>
              <w:spacing w:after="20"/>
            </w:pPr>
            <w:r>
              <w:rPr>
                <w:sz w:val="20"/>
                <w:szCs w:val="20"/>
              </w:rPr>
              <w:t xml:space="preserve">Antes de costos operativos</w:t>
            </w:r>
          </w:p>
        </w:tc>
      </w:tr>
      <w:tr>
        <w:tc>
          <w:tcPr>
            <w:tcW w:w="4200" w:type="dxa"/>
            <w:shd w:val="clear" w:color="auto" w:fill="FFFFFF"/>
          </w:tcPr>
          <w:p>
            <w:pPr>
              <w:spacing w:after="20"/>
            </w:pPr>
            <w:r>
              <w:rPr>
                <w:sz w:val="20"/>
                <w:szCs w:val="20"/>
              </w:rPr>
              <w:t xml:space="preserve">(–) Personal (profesores/staff)</w:t>
            </w:r>
          </w:p>
        </w:tc>
        <w:tc>
          <w:tcPr>
            <w:tcW w:w="1800" w:type="dxa"/>
            <w:shd w:val="clear" w:color="auto" w:fill="FFFFFF"/>
          </w:tcPr>
          <w:p>
            <w:pPr>
              <w:spacing w:after="20"/>
            </w:pPr>
            <w:r>
              <w:rPr>
                <w:sz w:val="20"/>
                <w:szCs w:val="20"/>
              </w:rPr>
              <w:t xml:space="preserve">pendiente</w:t>
            </w:r>
          </w:p>
        </w:tc>
        <w:tc>
          <w:tcPr>
            <w:tcW w:w="3000" w:type="dxa"/>
            <w:shd w:val="clear" w:color="auto" w:fill="FFFFFF"/>
          </w:tcPr>
          <w:p>
            <w:pPr>
              <w:spacing w:after="20"/>
            </w:pPr>
            <w:r>
              <w:rPr>
                <w:sz w:val="20"/>
                <w:szCs w:val="20"/>
              </w:rPr>
              <w:t xml:space="preserve">A cargo de Finanzas</w:t>
            </w:r>
          </w:p>
        </w:tc>
      </w:tr>
      <w:tr>
        <w:tc>
          <w:tcPr>
            <w:tcW w:w="4200" w:type="dxa"/>
            <w:shd w:val="clear" w:color="auto" w:fill="EAF3EA"/>
          </w:tcPr>
          <w:p>
            <w:pPr>
              <w:spacing w:after="20"/>
            </w:pPr>
            <w:r>
              <w:rPr>
                <w:sz w:val="20"/>
                <w:szCs w:val="20"/>
              </w:rPr>
              <w:t xml:space="preserve">(–) Materiales / actividades</w:t>
            </w:r>
          </w:p>
        </w:tc>
        <w:tc>
          <w:tcPr>
            <w:tcW w:w="1800" w:type="dxa"/>
            <w:shd w:val="clear" w:color="auto" w:fill="EAF3EA"/>
          </w:tcPr>
          <w:p>
            <w:pPr>
              <w:spacing w:after="20"/>
            </w:pPr>
            <w:r>
              <w:rPr>
                <w:sz w:val="20"/>
                <w:szCs w:val="20"/>
              </w:rPr>
              <w:t xml:space="preserve">pendiente</w:t>
            </w:r>
          </w:p>
        </w:tc>
        <w:tc>
          <w:tcPr>
            <w:tcW w:w="3000" w:type="dxa"/>
            <w:shd w:val="clear" w:color="auto" w:fill="EAF3EA"/>
          </w:tcPr>
          <w:p>
            <w:pPr>
              <w:spacing w:after="20"/>
            </w:pPr>
            <w:r>
              <w:rPr>
                <w:sz w:val="20"/>
                <w:szCs w:val="20"/>
              </w:rPr>
              <w:t xml:space="preserve">A cargo de Finanzas</w:t>
            </w:r>
          </w:p>
        </w:tc>
      </w:tr>
      <w:tr>
        <w:tc>
          <w:tcPr>
            <w:tcW w:w="4200" w:type="dxa"/>
            <w:shd w:val="clear" w:color="auto" w:fill="FFFFFF"/>
          </w:tcPr>
          <w:p>
            <w:pPr>
              <w:spacing w:after="20"/>
            </w:pPr>
            <w:r>
              <w:rPr>
                <w:sz w:val="20"/>
                <w:szCs w:val="20"/>
              </w:rPr>
              <w:t xml:space="preserve">(–) Alimentos</w:t>
            </w:r>
          </w:p>
        </w:tc>
        <w:tc>
          <w:tcPr>
            <w:tcW w:w="1800" w:type="dxa"/>
            <w:shd w:val="clear" w:color="auto" w:fill="FFFFFF"/>
          </w:tcPr>
          <w:p>
            <w:pPr>
              <w:spacing w:after="20"/>
            </w:pPr>
            <w:r>
              <w:rPr>
                <w:sz w:val="20"/>
                <w:szCs w:val="20"/>
              </w:rPr>
              <w:t xml:space="preserve">pendiente</w:t>
            </w:r>
          </w:p>
        </w:tc>
        <w:tc>
          <w:tcPr>
            <w:tcW w:w="3000" w:type="dxa"/>
            <w:shd w:val="clear" w:color="auto" w:fill="FFFFFF"/>
          </w:tcPr>
          <w:p>
            <w:pPr>
              <w:spacing w:after="20"/>
            </w:pPr>
            <w:r>
              <w:rPr>
                <w:sz w:val="20"/>
                <w:szCs w:val="20"/>
              </w:rPr>
              <w:t xml:space="preserve">A cargo de Finanzas</w:t>
            </w:r>
          </w:p>
        </w:tc>
      </w:tr>
      <w:tr>
        <w:tc>
          <w:tcPr>
            <w:tcW w:w="4200" w:type="dxa"/>
            <w:shd w:val="clear" w:color="auto" w:fill="EAF3EA"/>
          </w:tcPr>
          <w:p>
            <w:pPr>
              <w:spacing w:after="20"/>
            </w:pPr>
            <w:r>
              <w:rPr>
                <w:sz w:val="20"/>
                <w:szCs w:val="20"/>
              </w:rPr>
              <w:t xml:space="preserve">(–) Instalaciones / servicios</w:t>
            </w:r>
          </w:p>
        </w:tc>
        <w:tc>
          <w:tcPr>
            <w:tcW w:w="1800" w:type="dxa"/>
            <w:shd w:val="clear" w:color="auto" w:fill="EAF3EA"/>
          </w:tcPr>
          <w:p>
            <w:pPr>
              <w:spacing w:after="20"/>
            </w:pPr>
            <w:r>
              <w:rPr>
                <w:sz w:val="20"/>
                <w:szCs w:val="20"/>
              </w:rPr>
              <w:t xml:space="preserve">pendiente</w:t>
            </w:r>
          </w:p>
        </w:tc>
        <w:tc>
          <w:tcPr>
            <w:tcW w:w="3000" w:type="dxa"/>
            <w:shd w:val="clear" w:color="auto" w:fill="EAF3EA"/>
          </w:tcPr>
          <w:p>
            <w:pPr>
              <w:spacing w:after="20"/>
            </w:pPr>
            <w:r>
              <w:rPr>
                <w:sz w:val="20"/>
                <w:szCs w:val="20"/>
              </w:rPr>
              <w:t xml:space="preserve">A cargo de Finanzas</w:t>
            </w:r>
          </w:p>
        </w:tc>
      </w:tr>
      <w:tr>
        <w:tc>
          <w:tcPr>
            <w:tcW w:w="4200" w:type="dxa"/>
            <w:shd w:val="clear" w:color="auto" w:fill="FFFFFF"/>
          </w:tcPr>
          <w:p>
            <w:pPr>
              <w:spacing w:after="20"/>
            </w:pPr>
            <w:r>
              <w:rPr>
                <w:sz w:val="20"/>
                <w:szCs w:val="20"/>
              </w:rPr>
              <w:t xml:space="preserve">= Utilidad neta</w:t>
            </w:r>
          </w:p>
        </w:tc>
        <w:tc>
          <w:tcPr>
            <w:tcW w:w="1800" w:type="dxa"/>
            <w:shd w:val="clear" w:color="auto" w:fill="FFFFFF"/>
          </w:tcPr>
          <w:p>
            <w:pPr>
              <w:spacing w:after="20"/>
            </w:pPr>
            <w:r>
              <w:rPr>
                <w:sz w:val="20"/>
                <w:szCs w:val="20"/>
              </w:rPr>
              <w:t xml:space="preserve">pendiente</w:t>
            </w:r>
          </w:p>
        </w:tc>
        <w:tc>
          <w:tcPr>
            <w:tcW w:w="3000" w:type="dxa"/>
            <w:shd w:val="clear" w:color="auto" w:fill="FFFFFF"/>
          </w:tcPr>
          <w:p>
            <w:pPr>
              <w:spacing w:after="20"/>
            </w:pPr>
            <w:r>
              <w:rPr>
                <w:sz w:val="20"/>
                <w:szCs w:val="20"/>
              </w:rPr>
              <w:t xml:space="preserve">No determinable aún</w:t>
            </w:r>
          </w:p>
        </w:tc>
      </w:tr>
    </w:tbl>
    <w:p>
      <w:pPr>
        <w:spacing w:after="60"/>
      </w:pPr>
    </w:p>
    <w:p>
      <w:pPr>
        <w:spacing w:after="120"/>
      </w:pPr>
      <w:r>
        <w:rPr>
          <w:b/>
        </w:rPr>
        <w:t xml:space="preserve">[INTERPRETACIÓN] </w:t>
      </w:r>
      <w:r>
        <w:t xml:space="preserve">A nivel marketing el proyecto es claramente positivo (+$29,300 de contribución). La rentabilidad final NO puede declararse hasta cargar los costos operativos. Con 11 alumnos y 2 grupos operando, el costo de personal por alumno es el factor de riesgo más probable.</w:t>
      </w:r>
    </w:p>
    <w:p>
      <w:pPr>
        <w:pStyle w:val="Heading2"/>
      </w:pPr>
      <w:r>
        <w:t xml:space="preserve">2.3 Eficiencia de la inversión de marketing</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000"/>
        <w:gridCol w:w="1800"/>
        <w:gridCol w:w="3200"/>
      </w:tblGrid>
      <w:tr>
        <w:trPr>
          <w:tblHeader/>
        </w:trPr>
        <w:tc>
          <w:tcPr>
            <w:tcW w:w="4000" w:type="dxa"/>
            <w:shd w:val="clear" w:color="auto" w:fill="2E7D32"/>
            <w:vAlign w:val="center"/>
          </w:tcPr>
          <w:p>
            <w:pPr>
              <w:spacing w:after="20"/>
            </w:pPr>
            <w:r>
              <w:rPr>
                <w:b/>
                <w:sz w:val="20"/>
                <w:szCs w:val="20"/>
                <w:color w:val="FFFFFF"/>
              </w:rPr>
              <w:t xml:space="preserve">Indicador</w:t>
            </w:r>
          </w:p>
        </w:tc>
        <w:tc>
          <w:tcPr>
            <w:tcW w:w="1800" w:type="dxa"/>
            <w:shd w:val="clear" w:color="auto" w:fill="2E7D32"/>
            <w:vAlign w:val="center"/>
          </w:tcPr>
          <w:p>
            <w:pPr>
              <w:spacing w:after="20"/>
            </w:pPr>
            <w:r>
              <w:rPr>
                <w:b/>
                <w:sz w:val="20"/>
                <w:szCs w:val="20"/>
                <w:color w:val="FFFFFF"/>
              </w:rPr>
              <w:t xml:space="preserve">Valor</w:t>
            </w:r>
          </w:p>
        </w:tc>
        <w:tc>
          <w:tcPr>
            <w:tcW w:w="3200" w:type="dxa"/>
            <w:shd w:val="clear" w:color="auto" w:fill="2E7D32"/>
            <w:vAlign w:val="center"/>
          </w:tcPr>
          <w:p>
            <w:pPr>
              <w:spacing w:after="20"/>
            </w:pPr>
            <w:r>
              <w:rPr>
                <w:b/>
                <w:sz w:val="20"/>
                <w:szCs w:val="20"/>
                <w:color w:val="FFFFFF"/>
              </w:rPr>
              <w:t xml:space="preserve">Cálculo</w:t>
            </w:r>
          </w:p>
        </w:tc>
      </w:tr>
      <w:tr>
        <w:tc>
          <w:tcPr>
            <w:tcW w:w="4000" w:type="dxa"/>
            <w:shd w:val="clear" w:color="auto" w:fill="FFFFFF"/>
          </w:tcPr>
          <w:p>
            <w:pPr>
              <w:spacing w:after="20"/>
            </w:pPr>
            <w:r>
              <w:rPr>
                <w:sz w:val="20"/>
                <w:szCs w:val="20"/>
              </w:rPr>
              <w:t xml:space="preserve">Inversión total marketing</w:t>
            </w:r>
          </w:p>
        </w:tc>
        <w:tc>
          <w:tcPr>
            <w:tcW w:w="1800" w:type="dxa"/>
            <w:shd w:val="clear" w:color="auto" w:fill="FFFFFF"/>
          </w:tcPr>
          <w:p>
            <w:pPr>
              <w:spacing w:after="20"/>
            </w:pPr>
            <w:r>
              <w:rPr>
                <w:sz w:val="20"/>
                <w:szCs w:val="20"/>
              </w:rPr>
              <w:t xml:space="preserve">$4,000</w:t>
            </w:r>
          </w:p>
        </w:tc>
        <w:tc>
          <w:tcPr>
            <w:tcW w:w="3200" w:type="dxa"/>
            <w:shd w:val="clear" w:color="auto" w:fill="FFFFFF"/>
          </w:tcPr>
          <w:p>
            <w:pPr>
              <w:spacing w:after="20"/>
            </w:pPr>
            <w:r>
              <w:rPr>
                <w:sz w:val="20"/>
                <w:szCs w:val="20"/>
              </w:rPr>
              <w:t xml:space="preserve">$3,500 Meta + $500 flyers</w:t>
            </w:r>
          </w:p>
        </w:tc>
      </w:tr>
      <w:tr>
        <w:tc>
          <w:tcPr>
            <w:tcW w:w="4000" w:type="dxa"/>
            <w:shd w:val="clear" w:color="auto" w:fill="EAF3EA"/>
          </w:tcPr>
          <w:p>
            <w:pPr>
              <w:spacing w:after="20"/>
            </w:pPr>
            <w:r>
              <w:rPr>
                <w:sz w:val="20"/>
                <w:szCs w:val="20"/>
              </w:rPr>
              <w:t xml:space="preserve">ROAS bruto</w:t>
            </w:r>
          </w:p>
        </w:tc>
        <w:tc>
          <w:tcPr>
            <w:tcW w:w="1800" w:type="dxa"/>
            <w:shd w:val="clear" w:color="auto" w:fill="EAF3EA"/>
          </w:tcPr>
          <w:p>
            <w:pPr>
              <w:spacing w:after="20"/>
            </w:pPr>
            <w:r>
              <w:rPr>
                <w:sz w:val="20"/>
                <w:szCs w:val="20"/>
              </w:rPr>
              <w:t xml:space="preserve">8.3x</w:t>
            </w:r>
          </w:p>
        </w:tc>
        <w:tc>
          <w:tcPr>
            <w:tcW w:w="3200" w:type="dxa"/>
            <w:shd w:val="clear" w:color="auto" w:fill="EAF3EA"/>
          </w:tcPr>
          <w:p>
            <w:pPr>
              <w:spacing w:after="20"/>
            </w:pPr>
            <w:r>
              <w:rPr>
                <w:sz w:val="20"/>
                <w:szCs w:val="20"/>
              </w:rPr>
              <w:t xml:space="preserve">$33,300 / $4,000</w:t>
            </w:r>
          </w:p>
        </w:tc>
      </w:tr>
      <w:tr>
        <w:tc>
          <w:tcPr>
            <w:tcW w:w="4000" w:type="dxa"/>
            <w:shd w:val="clear" w:color="auto" w:fill="FFFFFF"/>
          </w:tcPr>
          <w:p>
            <w:pPr>
              <w:spacing w:after="20"/>
            </w:pPr>
            <w:r>
              <w:rPr>
                <w:sz w:val="20"/>
                <w:szCs w:val="20"/>
              </w:rPr>
              <w:t xml:space="preserve">Costo de marketing por inscrito</w:t>
            </w:r>
          </w:p>
        </w:tc>
        <w:tc>
          <w:tcPr>
            <w:tcW w:w="1800" w:type="dxa"/>
            <w:shd w:val="clear" w:color="auto" w:fill="FFFFFF"/>
          </w:tcPr>
          <w:p>
            <w:pPr>
              <w:spacing w:after="20"/>
            </w:pPr>
            <w:r>
              <w:rPr>
                <w:sz w:val="20"/>
                <w:szCs w:val="20"/>
              </w:rPr>
              <w:t xml:space="preserve">$363.64</w:t>
            </w:r>
          </w:p>
        </w:tc>
        <w:tc>
          <w:tcPr>
            <w:tcW w:w="3200" w:type="dxa"/>
            <w:shd w:val="clear" w:color="auto" w:fill="FFFFFF"/>
          </w:tcPr>
          <w:p>
            <w:pPr>
              <w:spacing w:after="20"/>
            </w:pPr>
            <w:r>
              <w:rPr>
                <w:sz w:val="20"/>
                <w:szCs w:val="20"/>
              </w:rPr>
              <w:t xml:space="preserve">$4,000 / 11</w:t>
            </w:r>
          </w:p>
        </w:tc>
      </w:tr>
      <w:tr>
        <w:tc>
          <w:tcPr>
            <w:tcW w:w="4000" w:type="dxa"/>
            <w:shd w:val="clear" w:color="auto" w:fill="EAF3EA"/>
          </w:tcPr>
          <w:p>
            <w:pPr>
              <w:spacing w:after="20"/>
            </w:pPr>
            <w:r>
              <w:rPr>
                <w:sz w:val="20"/>
                <w:szCs w:val="20"/>
              </w:rPr>
              <w:t xml:space="preserve">Costo por conversación (pauta)</w:t>
            </w:r>
          </w:p>
        </w:tc>
        <w:tc>
          <w:tcPr>
            <w:tcW w:w="1800" w:type="dxa"/>
            <w:shd w:val="clear" w:color="auto" w:fill="EAF3EA"/>
          </w:tcPr>
          <w:p>
            <w:pPr>
              <w:spacing w:after="20"/>
            </w:pPr>
            <w:r>
              <w:rPr>
                <w:sz w:val="20"/>
                <w:szCs w:val="20"/>
              </w:rPr>
              <w:t xml:space="preserve">$36.08</w:t>
            </w:r>
          </w:p>
        </w:tc>
        <w:tc>
          <w:tcPr>
            <w:tcW w:w="3200" w:type="dxa"/>
            <w:shd w:val="clear" w:color="auto" w:fill="EAF3EA"/>
          </w:tcPr>
          <w:p>
            <w:pPr>
              <w:spacing w:after="20"/>
            </w:pPr>
            <w:r>
              <w:rPr>
                <w:sz w:val="20"/>
                <w:szCs w:val="20"/>
              </w:rPr>
              <w:t xml:space="preserve">$3,500 / 97</w:t>
            </w:r>
          </w:p>
        </w:tc>
      </w:tr>
      <w:tr>
        <w:tc>
          <w:tcPr>
            <w:tcW w:w="4000" w:type="dxa"/>
            <w:shd w:val="clear" w:color="auto" w:fill="FFFFFF"/>
          </w:tcPr>
          <w:p>
            <w:pPr>
              <w:spacing w:after="20"/>
            </w:pPr>
            <w:r>
              <w:rPr>
                <w:sz w:val="20"/>
                <w:szCs w:val="20"/>
              </w:rPr>
              <w:t xml:space="preserve">CAC digital (por inscrito FB+IG)</w:t>
            </w:r>
          </w:p>
        </w:tc>
        <w:tc>
          <w:tcPr>
            <w:tcW w:w="1800" w:type="dxa"/>
            <w:shd w:val="clear" w:color="auto" w:fill="FFFFFF"/>
          </w:tcPr>
          <w:p>
            <w:pPr>
              <w:spacing w:after="20"/>
            </w:pPr>
            <w:r>
              <w:rPr>
                <w:sz w:val="20"/>
                <w:szCs w:val="20"/>
              </w:rPr>
              <w:t xml:space="preserve">$700</w:t>
            </w:r>
          </w:p>
        </w:tc>
        <w:tc>
          <w:tcPr>
            <w:tcW w:w="3200" w:type="dxa"/>
            <w:shd w:val="clear" w:color="auto" w:fill="FFFFFF"/>
          </w:tcPr>
          <w:p>
            <w:pPr>
              <w:spacing w:after="20"/>
            </w:pPr>
            <w:r>
              <w:rPr>
                <w:sz w:val="20"/>
                <w:szCs w:val="20"/>
              </w:rPr>
              <w:t xml:space="preserve">$3,500 / 5</w:t>
            </w:r>
          </w:p>
        </w:tc>
      </w:tr>
      <w:tr>
        <w:tc>
          <w:tcPr>
            <w:tcW w:w="4000" w:type="dxa"/>
            <w:shd w:val="clear" w:color="auto" w:fill="EAF3EA"/>
          </w:tcPr>
          <w:p>
            <w:pPr>
              <w:spacing w:after="20"/>
            </w:pPr>
            <w:r>
              <w:rPr>
                <w:sz w:val="20"/>
                <w:szCs w:val="20"/>
              </w:rPr>
              <w:t xml:space="preserve">% de ingreso invertido en marketing</w:t>
            </w:r>
          </w:p>
        </w:tc>
        <w:tc>
          <w:tcPr>
            <w:tcW w:w="1800" w:type="dxa"/>
            <w:shd w:val="clear" w:color="auto" w:fill="EAF3EA"/>
          </w:tcPr>
          <w:p>
            <w:pPr>
              <w:spacing w:after="20"/>
            </w:pPr>
            <w:r>
              <w:rPr>
                <w:sz w:val="20"/>
                <w:szCs w:val="20"/>
              </w:rPr>
              <w:t xml:space="preserve">12.0%</w:t>
            </w:r>
          </w:p>
        </w:tc>
        <w:tc>
          <w:tcPr>
            <w:tcW w:w="3200" w:type="dxa"/>
            <w:shd w:val="clear" w:color="auto" w:fill="EAF3EA"/>
          </w:tcPr>
          <w:p>
            <w:pPr>
              <w:spacing w:after="20"/>
            </w:pPr>
            <w:r>
              <w:rPr>
                <w:sz w:val="20"/>
                <w:szCs w:val="20"/>
              </w:rPr>
              <w:t xml:space="preserve">$4,000 / $33,300</w:t>
            </w:r>
          </w:p>
        </w:tc>
      </w:tr>
    </w:tbl>
    <w:p>
      <w:pPr>
        <w:spacing w:after="60"/>
      </w:pPr>
    </w:p>
    <w:p>
      <w:pPr>
        <w:spacing w:after="120"/>
      </w:pPr>
      <w:r>
        <w:rPr>
          <w:b/>
        </w:rPr>
        <w:t xml:space="preserve">[INTERPRETACIÓN] </w:t>
      </w:r>
      <w:r>
        <w:t xml:space="preserve">Un ROAS de 8.3x es saludable, pero es bruto: 3 de 11 inscritos ya eran alumnos (recompra) y 1 llegó por recomendación. Aislando los 7 inscritos traídos por canales de marketing al ticket promedio, el ROAS de captación nueva se aproxima a ~5.3x (ilustrativo, sujeto a la mezcla real de pago) — sigue siendo positivo. El CAC digital de $700 frente a un ticket de $3,027 es rentable, si los costos operativos por alumno lo permiten.</w:t>
      </w:r>
    </w:p>
    <w:p>
      <w:pPr>
        <w:pStyle w:val="Heading1"/>
      </w:pPr>
      <w:r>
        <w:t xml:space="preserve">3. Análisis de Marketing (foco principal)</w:t>
      </w:r>
    </w:p>
    <w:p>
      <w:pPr>
        <w:pStyle w:val="Heading2"/>
      </w:pPr>
      <w:r>
        <w:t xml:space="preserve">3.1 Presupuesto planeado vs. gastado</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900"/>
        <w:gridCol w:w="1900"/>
        <w:gridCol w:w="1700"/>
        <w:gridCol w:w="2500"/>
      </w:tblGrid>
      <w:tr>
        <w:trPr>
          <w:tblHeader/>
        </w:trPr>
        <w:tc>
          <w:tcPr>
            <w:tcW w:w="2900" w:type="dxa"/>
            <w:shd w:val="clear" w:color="auto" w:fill="2E7D32"/>
            <w:vAlign w:val="center"/>
          </w:tcPr>
          <w:p>
            <w:pPr>
              <w:spacing w:after="20"/>
            </w:pPr>
            <w:r>
              <w:rPr>
                <w:b/>
                <w:sz w:val="20"/>
                <w:szCs w:val="20"/>
                <w:color w:val="FFFFFF"/>
              </w:rPr>
              <w:t xml:space="preserve">Concepto</w:t>
            </w:r>
          </w:p>
        </w:tc>
        <w:tc>
          <w:tcPr>
            <w:tcW w:w="1900" w:type="dxa"/>
            <w:shd w:val="clear" w:color="auto" w:fill="2E7D32"/>
            <w:vAlign w:val="center"/>
          </w:tcPr>
          <w:p>
            <w:pPr>
              <w:spacing w:after="20"/>
            </w:pPr>
            <w:r>
              <w:rPr>
                <w:b/>
                <w:sz w:val="20"/>
                <w:szCs w:val="20"/>
                <w:color w:val="FFFFFF"/>
              </w:rPr>
              <w:t xml:space="preserve">Planeado</w:t>
            </w:r>
          </w:p>
        </w:tc>
        <w:tc>
          <w:tcPr>
            <w:tcW w:w="1700" w:type="dxa"/>
            <w:shd w:val="clear" w:color="auto" w:fill="2E7D32"/>
            <w:vAlign w:val="center"/>
          </w:tcPr>
          <w:p>
            <w:pPr>
              <w:spacing w:after="20"/>
            </w:pPr>
            <w:r>
              <w:rPr>
                <w:b/>
                <w:sz w:val="20"/>
                <w:szCs w:val="20"/>
                <w:color w:val="FFFFFF"/>
              </w:rPr>
              <w:t xml:space="preserve">Gastado</w:t>
            </w:r>
          </w:p>
        </w:tc>
        <w:tc>
          <w:tcPr>
            <w:tcW w:w="2500" w:type="dxa"/>
            <w:shd w:val="clear" w:color="auto" w:fill="2E7D32"/>
            <w:vAlign w:val="center"/>
          </w:tcPr>
          <w:p>
            <w:pPr>
              <w:spacing w:after="20"/>
            </w:pPr>
            <w:r>
              <w:rPr>
                <w:b/>
                <w:sz w:val="20"/>
                <w:szCs w:val="20"/>
                <w:color w:val="FFFFFF"/>
              </w:rPr>
              <w:t xml:space="preserve">Nota</w:t>
            </w:r>
          </w:p>
        </w:tc>
      </w:tr>
      <w:tr>
        <w:tc>
          <w:tcPr>
            <w:tcW w:w="2900" w:type="dxa"/>
            <w:shd w:val="clear" w:color="auto" w:fill="FFFFFF"/>
          </w:tcPr>
          <w:p>
            <w:pPr>
              <w:spacing w:after="20"/>
            </w:pPr>
            <w:r>
              <w:rPr>
                <w:sz w:val="20"/>
                <w:szCs w:val="20"/>
              </w:rPr>
              <w:t xml:space="preserve">Pauta Meta</w:t>
            </w:r>
          </w:p>
        </w:tc>
        <w:tc>
          <w:tcPr>
            <w:tcW w:w="1900" w:type="dxa"/>
            <w:shd w:val="clear" w:color="auto" w:fill="FFFFFF"/>
          </w:tcPr>
          <w:p>
            <w:pPr>
              <w:spacing w:after="20"/>
            </w:pPr>
            <w:r>
              <w:rPr>
                <w:sz w:val="20"/>
                <w:szCs w:val="20"/>
              </w:rPr>
              <w:t xml:space="preserve">$3,500</w:t>
            </w:r>
          </w:p>
        </w:tc>
        <w:tc>
          <w:tcPr>
            <w:tcW w:w="1700" w:type="dxa"/>
            <w:shd w:val="clear" w:color="auto" w:fill="FFFFFF"/>
          </w:tcPr>
          <w:p>
            <w:pPr>
              <w:spacing w:after="20"/>
            </w:pPr>
            <w:r>
              <w:rPr>
                <w:sz w:val="20"/>
                <w:szCs w:val="20"/>
              </w:rPr>
              <w:t xml:space="preserve">$3,499.07</w:t>
            </w:r>
          </w:p>
        </w:tc>
        <w:tc>
          <w:tcPr>
            <w:tcW w:w="2500" w:type="dxa"/>
            <w:shd w:val="clear" w:color="auto" w:fill="FFFFFF"/>
          </w:tcPr>
          <w:p>
            <w:pPr>
              <w:spacing w:after="20"/>
            </w:pPr>
            <w:r>
              <w:rPr>
                <w:sz w:val="20"/>
                <w:szCs w:val="20"/>
              </w:rPr>
              <w:t xml:space="preserve">99.97% del plan</w:t>
            </w:r>
          </w:p>
        </w:tc>
      </w:tr>
      <w:tr>
        <w:tc>
          <w:tcPr>
            <w:tcW w:w="2900" w:type="dxa"/>
            <w:shd w:val="clear" w:color="auto" w:fill="EAF3EA"/>
          </w:tcPr>
          <w:p>
            <w:pPr>
              <w:spacing w:after="20"/>
            </w:pPr>
            <w:r>
              <w:rPr>
                <w:sz w:val="20"/>
                <w:szCs w:val="20"/>
              </w:rPr>
              <w:t xml:space="preserve">Flyers / impresos</w:t>
            </w:r>
          </w:p>
        </w:tc>
        <w:tc>
          <w:tcPr>
            <w:tcW w:w="1900" w:type="dxa"/>
            <w:shd w:val="clear" w:color="auto" w:fill="EAF3EA"/>
          </w:tcPr>
          <w:p>
            <w:pPr>
              <w:spacing w:after="20"/>
            </w:pPr>
            <w:r>
              <w:rPr>
                <w:sz w:val="20"/>
                <w:szCs w:val="20"/>
              </w:rPr>
              <w:t xml:space="preserve">$500</w:t>
            </w:r>
          </w:p>
        </w:tc>
        <w:tc>
          <w:tcPr>
            <w:tcW w:w="1700" w:type="dxa"/>
            <w:shd w:val="clear" w:color="auto" w:fill="EAF3EA"/>
          </w:tcPr>
          <w:p>
            <w:pPr>
              <w:spacing w:after="20"/>
            </w:pPr>
            <w:r>
              <w:rPr>
                <w:sz w:val="20"/>
                <w:szCs w:val="20"/>
              </w:rPr>
              <w:t xml:space="preserve">$500</w:t>
            </w:r>
          </w:p>
        </w:tc>
        <w:tc>
          <w:tcPr>
            <w:tcW w:w="2500" w:type="dxa"/>
            <w:shd w:val="clear" w:color="auto" w:fill="EAF3EA"/>
          </w:tcPr>
          <w:p>
            <w:pPr>
              <w:spacing w:after="20"/>
            </w:pPr>
            <w:r>
              <w:rPr>
                <w:sz w:val="20"/>
                <w:szCs w:val="20"/>
              </w:rPr>
              <w:t xml:space="preserve">Ejecutado</w:t>
            </w:r>
          </w:p>
        </w:tc>
      </w:tr>
      <w:tr>
        <w:tc>
          <w:tcPr>
            <w:tcW w:w="2900" w:type="dxa"/>
            <w:shd w:val="clear" w:color="auto" w:fill="FFFFFF"/>
          </w:tcPr>
          <w:p>
            <w:pPr>
              <w:spacing w:after="20"/>
            </w:pPr>
            <w:r>
              <w:rPr>
                <w:sz w:val="20"/>
                <w:szCs w:val="20"/>
              </w:rPr>
              <w:t xml:space="preserve">Lona fachada</w:t>
            </w:r>
          </w:p>
        </w:tc>
        <w:tc>
          <w:tcPr>
            <w:tcW w:w="1900" w:type="dxa"/>
            <w:shd w:val="clear" w:color="auto" w:fill="FFFFFF"/>
          </w:tcPr>
          <w:p>
            <w:pPr>
              <w:spacing w:after="20"/>
            </w:pPr>
            <w:r>
              <w:rPr>
                <w:sz w:val="20"/>
                <w:szCs w:val="20"/>
              </w:rPr>
              <w:t xml:space="preserve">$800</w:t>
            </w:r>
          </w:p>
        </w:tc>
        <w:tc>
          <w:tcPr>
            <w:tcW w:w="1700" w:type="dxa"/>
            <w:shd w:val="clear" w:color="auto" w:fill="FFFFFF"/>
          </w:tcPr>
          <w:p>
            <w:pPr>
              <w:spacing w:after="20"/>
            </w:pPr>
            <w:r>
              <w:rPr>
                <w:sz w:val="20"/>
                <w:szCs w:val="20"/>
              </w:rPr>
              <w:t xml:space="preserve">$0</w:t>
            </w:r>
          </w:p>
        </w:tc>
        <w:tc>
          <w:tcPr>
            <w:tcW w:w="2500" w:type="dxa"/>
            <w:shd w:val="clear" w:color="auto" w:fill="FFFFFF"/>
          </w:tcPr>
          <w:p>
            <w:pPr>
              <w:spacing w:after="20"/>
            </w:pPr>
            <w:r>
              <w:rPr>
                <w:sz w:val="20"/>
                <w:szCs w:val="20"/>
              </w:rPr>
              <w:t xml:space="preserve">No se pagó</w:t>
            </w:r>
          </w:p>
        </w:tc>
      </w:tr>
      <w:tr>
        <w:tc>
          <w:tcPr>
            <w:tcW w:w="2900" w:type="dxa"/>
            <w:shd w:val="clear" w:color="auto" w:fill="EAF3EA"/>
          </w:tcPr>
          <w:p>
            <w:pPr>
              <w:spacing w:after="20"/>
            </w:pPr>
            <w:r>
              <w:rPr>
                <w:sz w:val="20"/>
                <w:szCs w:val="20"/>
              </w:rPr>
              <w:t xml:space="preserve">Insumos activaciones</w:t>
            </w:r>
          </w:p>
        </w:tc>
        <w:tc>
          <w:tcPr>
            <w:tcW w:w="1900" w:type="dxa"/>
            <w:shd w:val="clear" w:color="auto" w:fill="EAF3EA"/>
          </w:tcPr>
          <w:p>
            <w:pPr>
              <w:spacing w:after="20"/>
            </w:pPr>
            <w:r>
              <w:rPr>
                <w:sz w:val="20"/>
                <w:szCs w:val="20"/>
              </w:rPr>
              <w:t xml:space="preserve">$500</w:t>
            </w:r>
          </w:p>
        </w:tc>
        <w:tc>
          <w:tcPr>
            <w:tcW w:w="1700" w:type="dxa"/>
            <w:shd w:val="clear" w:color="auto" w:fill="EAF3EA"/>
          </w:tcPr>
          <w:p>
            <w:pPr>
              <w:spacing w:after="20"/>
            </w:pPr>
            <w:r>
              <w:rPr>
                <w:sz w:val="20"/>
                <w:szCs w:val="20"/>
              </w:rPr>
              <w:t xml:space="preserve">$0</w:t>
            </w:r>
          </w:p>
        </w:tc>
        <w:tc>
          <w:tcPr>
            <w:tcW w:w="2500" w:type="dxa"/>
            <w:shd w:val="clear" w:color="auto" w:fill="EAF3EA"/>
          </w:tcPr>
          <w:p>
            <w:pPr>
              <w:spacing w:after="20"/>
            </w:pPr>
            <w:r>
              <w:rPr>
                <w:sz w:val="20"/>
                <w:szCs w:val="20"/>
              </w:rPr>
              <w:t xml:space="preserve">No se pagó</w:t>
            </w:r>
          </w:p>
        </w:tc>
      </w:tr>
      <w:tr>
        <w:tc>
          <w:tcPr>
            <w:tcW w:w="2900" w:type="dxa"/>
            <w:shd w:val="clear" w:color="auto" w:fill="FFFFFF"/>
          </w:tcPr>
          <w:p>
            <w:pPr>
              <w:spacing w:after="20"/>
            </w:pPr>
            <w:r>
              <w:rPr>
                <w:sz w:val="20"/>
                <w:szCs w:val="20"/>
              </w:rPr>
              <w:t xml:space="preserve">Total marketing</w:t>
            </w:r>
          </w:p>
        </w:tc>
        <w:tc>
          <w:tcPr>
            <w:tcW w:w="1900" w:type="dxa"/>
            <w:shd w:val="clear" w:color="auto" w:fill="FFFFFF"/>
          </w:tcPr>
          <w:p>
            <w:pPr>
              <w:spacing w:after="20"/>
            </w:pPr>
            <w:r>
              <w:rPr>
                <w:sz w:val="20"/>
                <w:szCs w:val="20"/>
              </w:rPr>
              <w:t xml:space="preserve">~$4,800–5,300</w:t>
            </w:r>
          </w:p>
        </w:tc>
        <w:tc>
          <w:tcPr>
            <w:tcW w:w="1700" w:type="dxa"/>
            <w:shd w:val="clear" w:color="auto" w:fill="FFFFFF"/>
          </w:tcPr>
          <w:p>
            <w:pPr>
              <w:spacing w:after="20"/>
            </w:pPr>
            <w:r>
              <w:rPr>
                <w:sz w:val="20"/>
                <w:szCs w:val="20"/>
              </w:rPr>
              <w:t xml:space="preserve">$4,000</w:t>
            </w:r>
          </w:p>
        </w:tc>
        <w:tc>
          <w:tcPr>
            <w:tcW w:w="2500" w:type="dxa"/>
            <w:shd w:val="clear" w:color="auto" w:fill="FFFFFF"/>
          </w:tcPr>
          <w:p>
            <w:pPr>
              <w:spacing w:after="20"/>
            </w:pPr>
            <w:r>
              <w:rPr>
                <w:sz w:val="20"/>
                <w:szCs w:val="20"/>
              </w:rPr>
              <w:t xml:space="preserve">—</w:t>
            </w:r>
          </w:p>
        </w:tc>
      </w:tr>
    </w:tbl>
    <w:p>
      <w:pPr>
        <w:spacing w:after="60"/>
      </w:pPr>
    </w:p>
    <w:p>
      <w:pPr>
        <w:jc w:val="center"/>
        <w:spacing w:after="160"/>
      </w:pPr>
      <w:r>
        <w:drawing>
          <wp:inline distT="0" distB="0" distL="0" distR="0">
            <wp:extent cx="5486400" cy="3016800"/>
            <wp:effectExtent l="0" t="0" r="0" b="0"/>
            <wp:docPr id="2" name="Presupuesto de marketing: planeado vs. gastado (MXN)"/>
            <wp:cNvGraphicFramePr/>
            <a:graphic xmlns:a="http://schemas.openxmlformats.org/drawingml/2006/main">
              <a:graphicData uri="http://schemas.openxmlformats.org/drawingml/2006/chart">
                <c:chart xmlns:c="http://schemas.openxmlformats.org/drawingml/2006/chart" xmlns:r="http://schemas.openxmlformats.org/officeDocument/2006/relationships" r:id="rId102"/>
              </a:graphicData>
            </a:graphic>
          </wp:inline>
        </w:drawing>
      </w:r>
    </w:p>
    <w:p>
      <w:pPr>
        <w:spacing w:after="120"/>
      </w:pPr>
      <w:r>
        <w:rPr>
          <w:b/>
        </w:rPr>
        <w:t xml:space="preserve">[DATO] </w:t>
      </w:r>
      <w:r>
        <w:t xml:space="preserve">El gasto real de marketing fue $4,000. [INTERPRETACIÓN] Se ejecutó una versión reducida del plan: se cancelaron lona e insumos (el plan ya anticipaba riesgo regulatorio en publicidad de vía pública). Disciplina de gasto alta.</w:t>
      </w:r>
    </w:p>
    <w:p>
      <w:pPr>
        <w:pStyle w:val="Heading2"/>
      </w:pPr>
      <w:r>
        <w:t xml:space="preserve">3.2 Rendimiento de la pauta pagada (Meta) — por anuncio</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700"/>
        <w:gridCol w:w="1300"/>
        <w:gridCol w:w="1400"/>
        <w:gridCol w:w="1500"/>
        <w:gridCol w:w="1300"/>
        <w:gridCol w:w="1100"/>
      </w:tblGrid>
      <w:tr>
        <w:trPr>
          <w:tblHeader/>
        </w:trPr>
        <w:tc>
          <w:tcPr>
            <w:tcW w:w="2700" w:type="dxa"/>
            <w:shd w:val="clear" w:color="auto" w:fill="2E7D32"/>
            <w:vAlign w:val="center"/>
          </w:tcPr>
          <w:p>
            <w:pPr>
              <w:spacing w:after="20"/>
            </w:pPr>
            <w:r>
              <w:rPr>
                <w:b/>
                <w:sz w:val="20"/>
                <w:szCs w:val="20"/>
                <w:color w:val="FFFFFF"/>
              </w:rPr>
              <w:t xml:space="preserve">Anuncio</w:t>
            </w:r>
          </w:p>
        </w:tc>
        <w:tc>
          <w:tcPr>
            <w:tcW w:w="1300" w:type="dxa"/>
            <w:shd w:val="clear" w:color="auto" w:fill="2E7D32"/>
            <w:vAlign w:val="center"/>
          </w:tcPr>
          <w:p>
            <w:pPr>
              <w:spacing w:after="20"/>
            </w:pPr>
            <w:r>
              <w:rPr>
                <w:b/>
                <w:sz w:val="20"/>
                <w:szCs w:val="20"/>
                <w:color w:val="FFFFFF"/>
              </w:rPr>
              <w:t xml:space="preserve">Conversac.</w:t>
            </w:r>
          </w:p>
        </w:tc>
        <w:tc>
          <w:tcPr>
            <w:tcW w:w="1400" w:type="dxa"/>
            <w:shd w:val="clear" w:color="auto" w:fill="2E7D32"/>
            <w:vAlign w:val="center"/>
          </w:tcPr>
          <w:p>
            <w:pPr>
              <w:spacing w:after="20"/>
            </w:pPr>
            <w:r>
              <w:rPr>
                <w:b/>
                <w:sz w:val="20"/>
                <w:szCs w:val="20"/>
                <w:color w:val="FFFFFF"/>
              </w:rPr>
              <w:t xml:space="preserve">Gasto MXN</w:t>
            </w:r>
          </w:p>
        </w:tc>
        <w:tc>
          <w:tcPr>
            <w:tcW w:w="1500" w:type="dxa"/>
            <w:shd w:val="clear" w:color="auto" w:fill="2E7D32"/>
            <w:vAlign w:val="center"/>
          </w:tcPr>
          <w:p>
            <w:pPr>
              <w:spacing w:after="20"/>
            </w:pPr>
            <w:r>
              <w:rPr>
                <w:b/>
                <w:sz w:val="20"/>
                <w:szCs w:val="20"/>
                <w:color w:val="FFFFFF"/>
              </w:rPr>
              <w:t xml:space="preserve">Impresiones</w:t>
            </w:r>
          </w:p>
        </w:tc>
        <w:tc>
          <w:tcPr>
            <w:tcW w:w="1300" w:type="dxa"/>
            <w:shd w:val="clear" w:color="auto" w:fill="2E7D32"/>
            <w:vAlign w:val="center"/>
          </w:tcPr>
          <w:p>
            <w:pPr>
              <w:spacing w:after="20"/>
            </w:pPr>
            <w:r>
              <w:rPr>
                <w:b/>
                <w:sz w:val="20"/>
                <w:szCs w:val="20"/>
                <w:color w:val="FFFFFF"/>
              </w:rPr>
              <w:t xml:space="preserve">Alcance</w:t>
            </w:r>
          </w:p>
        </w:tc>
        <w:tc>
          <w:tcPr>
            <w:tcW w:w="1100" w:type="dxa"/>
            <w:shd w:val="clear" w:color="auto" w:fill="2E7D32"/>
            <w:vAlign w:val="center"/>
          </w:tcPr>
          <w:p>
            <w:pPr>
              <w:spacing w:after="20"/>
            </w:pPr>
            <w:r>
              <w:rPr>
                <w:b/>
                <w:sz w:val="20"/>
                <w:szCs w:val="20"/>
                <w:color w:val="FFFFFF"/>
              </w:rPr>
              <w:t xml:space="preserve">CPL MXN</w:t>
            </w:r>
          </w:p>
        </w:tc>
      </w:tr>
      <w:tr>
        <w:tc>
          <w:tcPr>
            <w:tcW w:w="2700" w:type="dxa"/>
            <w:shd w:val="clear" w:color="auto" w:fill="FFFFFF"/>
          </w:tcPr>
          <w:p>
            <w:pPr>
              <w:spacing w:after="20"/>
            </w:pPr>
            <w:r>
              <w:rPr>
                <w:sz w:val="20"/>
                <w:szCs w:val="20"/>
              </w:rPr>
              <w:t xml:space="preserve">Reel curso de verano</w:t>
            </w:r>
          </w:p>
        </w:tc>
        <w:tc>
          <w:tcPr>
            <w:tcW w:w="1300" w:type="dxa"/>
            <w:shd w:val="clear" w:color="auto" w:fill="FFFFFF"/>
          </w:tcPr>
          <w:p>
            <w:pPr>
              <w:spacing w:after="20"/>
            </w:pPr>
            <w:r>
              <w:rPr>
                <w:sz w:val="20"/>
                <w:szCs w:val="20"/>
              </w:rPr>
              <w:t xml:space="preserve">70</w:t>
            </w:r>
          </w:p>
        </w:tc>
        <w:tc>
          <w:tcPr>
            <w:tcW w:w="1400" w:type="dxa"/>
            <w:shd w:val="clear" w:color="auto" w:fill="FFFFFF"/>
          </w:tcPr>
          <w:p>
            <w:pPr>
              <w:spacing w:after="20"/>
            </w:pPr>
            <w:r>
              <w:rPr>
                <w:sz w:val="20"/>
                <w:szCs w:val="20"/>
              </w:rPr>
              <w:t xml:space="preserve">1,639.01</w:t>
            </w:r>
          </w:p>
        </w:tc>
        <w:tc>
          <w:tcPr>
            <w:tcW w:w="1500" w:type="dxa"/>
            <w:shd w:val="clear" w:color="auto" w:fill="FFFFFF"/>
          </w:tcPr>
          <w:p>
            <w:pPr>
              <w:spacing w:after="20"/>
            </w:pPr>
            <w:r>
              <w:rPr>
                <w:sz w:val="20"/>
                <w:szCs w:val="20"/>
              </w:rPr>
              <w:t xml:space="preserve">40,756</w:t>
            </w:r>
          </w:p>
        </w:tc>
        <w:tc>
          <w:tcPr>
            <w:tcW w:w="1300" w:type="dxa"/>
            <w:shd w:val="clear" w:color="auto" w:fill="FFFFFF"/>
          </w:tcPr>
          <w:p>
            <w:pPr>
              <w:spacing w:after="20"/>
            </w:pPr>
            <w:r>
              <w:rPr>
                <w:sz w:val="20"/>
                <w:szCs w:val="20"/>
              </w:rPr>
              <w:t xml:space="preserve">15,242</w:t>
            </w:r>
          </w:p>
        </w:tc>
        <w:tc>
          <w:tcPr>
            <w:tcW w:w="1100" w:type="dxa"/>
            <w:shd w:val="clear" w:color="auto" w:fill="FFFFFF"/>
          </w:tcPr>
          <w:p>
            <w:pPr>
              <w:spacing w:after="20"/>
            </w:pPr>
            <w:r>
              <w:rPr>
                <w:sz w:val="20"/>
                <w:szCs w:val="20"/>
              </w:rPr>
              <w:t xml:space="preserve">23.41</w:t>
            </w:r>
          </w:p>
        </w:tc>
      </w:tr>
      <w:tr>
        <w:tc>
          <w:tcPr>
            <w:tcW w:w="2700" w:type="dxa"/>
            <w:shd w:val="clear" w:color="auto" w:fill="EAF3EA"/>
          </w:tcPr>
          <w:p>
            <w:pPr>
              <w:spacing w:after="20"/>
            </w:pPr>
            <w:r>
              <w:rPr>
                <w:sz w:val="20"/>
                <w:szCs w:val="20"/>
              </w:rPr>
              <w:t xml:space="preserve">Post promocional</w:t>
            </w:r>
          </w:p>
        </w:tc>
        <w:tc>
          <w:tcPr>
            <w:tcW w:w="1300" w:type="dxa"/>
            <w:shd w:val="clear" w:color="auto" w:fill="EAF3EA"/>
          </w:tcPr>
          <w:p>
            <w:pPr>
              <w:spacing w:after="20"/>
            </w:pPr>
            <w:r>
              <w:rPr>
                <w:sz w:val="20"/>
                <w:szCs w:val="20"/>
              </w:rPr>
              <w:t xml:space="preserve">56</w:t>
            </w:r>
          </w:p>
        </w:tc>
        <w:tc>
          <w:tcPr>
            <w:tcW w:w="1400" w:type="dxa"/>
            <w:shd w:val="clear" w:color="auto" w:fill="EAF3EA"/>
          </w:tcPr>
          <w:p>
            <w:pPr>
              <w:spacing w:after="20"/>
            </w:pPr>
            <w:r>
              <w:rPr>
                <w:sz w:val="20"/>
                <w:szCs w:val="20"/>
              </w:rPr>
              <w:t xml:space="preserve">1,532.63</w:t>
            </w:r>
          </w:p>
        </w:tc>
        <w:tc>
          <w:tcPr>
            <w:tcW w:w="1500" w:type="dxa"/>
            <w:shd w:val="clear" w:color="auto" w:fill="EAF3EA"/>
          </w:tcPr>
          <w:p>
            <w:pPr>
              <w:spacing w:after="20"/>
            </w:pPr>
            <w:r>
              <w:rPr>
                <w:sz w:val="20"/>
                <w:szCs w:val="20"/>
              </w:rPr>
              <w:t xml:space="preserve">26,327</w:t>
            </w:r>
          </w:p>
        </w:tc>
        <w:tc>
          <w:tcPr>
            <w:tcW w:w="1300" w:type="dxa"/>
            <w:shd w:val="clear" w:color="auto" w:fill="EAF3EA"/>
          </w:tcPr>
          <w:p>
            <w:pPr>
              <w:spacing w:after="20"/>
            </w:pPr>
            <w:r>
              <w:rPr>
                <w:sz w:val="20"/>
                <w:szCs w:val="20"/>
              </w:rPr>
              <w:t xml:space="preserve">8,376</w:t>
            </w:r>
          </w:p>
        </w:tc>
        <w:tc>
          <w:tcPr>
            <w:tcW w:w="1100" w:type="dxa"/>
            <w:shd w:val="clear" w:color="auto" w:fill="EAF3EA"/>
          </w:tcPr>
          <w:p>
            <w:pPr>
              <w:spacing w:after="20"/>
            </w:pPr>
            <w:r>
              <w:rPr>
                <w:sz w:val="20"/>
                <w:szCs w:val="20"/>
              </w:rPr>
              <w:t xml:space="preserve">27.37</w:t>
            </w:r>
          </w:p>
        </w:tc>
      </w:tr>
      <w:tr>
        <w:tc>
          <w:tcPr>
            <w:tcW w:w="2700" w:type="dxa"/>
            <w:shd w:val="clear" w:color="auto" w:fill="FFFFFF"/>
          </w:tcPr>
          <w:p>
            <w:pPr>
              <w:spacing w:after="20"/>
            </w:pPr>
            <w:r>
              <w:rPr>
                <w:sz w:val="20"/>
                <w:szCs w:val="20"/>
              </w:rPr>
              <w:t xml:space="preserve">Post emergencia últimos lug.</w:t>
            </w:r>
          </w:p>
        </w:tc>
        <w:tc>
          <w:tcPr>
            <w:tcW w:w="1300" w:type="dxa"/>
            <w:shd w:val="clear" w:color="auto" w:fill="FFFFFF"/>
          </w:tcPr>
          <w:p>
            <w:pPr>
              <w:spacing w:after="20"/>
            </w:pPr>
            <w:r>
              <w:rPr>
                <w:sz w:val="20"/>
                <w:szCs w:val="20"/>
              </w:rPr>
              <w:t xml:space="preserve">11</w:t>
            </w:r>
          </w:p>
        </w:tc>
        <w:tc>
          <w:tcPr>
            <w:tcW w:w="1400" w:type="dxa"/>
            <w:shd w:val="clear" w:color="auto" w:fill="FFFFFF"/>
          </w:tcPr>
          <w:p>
            <w:pPr>
              <w:spacing w:after="20"/>
            </w:pPr>
            <w:r>
              <w:rPr>
                <w:sz w:val="20"/>
                <w:szCs w:val="20"/>
              </w:rPr>
              <w:t xml:space="preserve">249.46</w:t>
            </w:r>
          </w:p>
        </w:tc>
        <w:tc>
          <w:tcPr>
            <w:tcW w:w="1500" w:type="dxa"/>
            <w:shd w:val="clear" w:color="auto" w:fill="FFFFFF"/>
          </w:tcPr>
          <w:p>
            <w:pPr>
              <w:spacing w:after="20"/>
            </w:pPr>
            <w:r>
              <w:rPr>
                <w:sz w:val="20"/>
                <w:szCs w:val="20"/>
              </w:rPr>
              <w:t xml:space="preserve">4,211</w:t>
            </w:r>
          </w:p>
        </w:tc>
        <w:tc>
          <w:tcPr>
            <w:tcW w:w="1300" w:type="dxa"/>
            <w:shd w:val="clear" w:color="auto" w:fill="FFFFFF"/>
          </w:tcPr>
          <w:p>
            <w:pPr>
              <w:spacing w:after="20"/>
            </w:pPr>
            <w:r>
              <w:rPr>
                <w:sz w:val="20"/>
                <w:szCs w:val="20"/>
              </w:rPr>
              <w:t xml:space="preserve">1,732</w:t>
            </w:r>
          </w:p>
        </w:tc>
        <w:tc>
          <w:tcPr>
            <w:tcW w:w="1100" w:type="dxa"/>
            <w:shd w:val="clear" w:color="auto" w:fill="FFFFFF"/>
          </w:tcPr>
          <w:p>
            <w:pPr>
              <w:spacing w:after="20"/>
            </w:pPr>
            <w:r>
              <w:rPr>
                <w:sz w:val="20"/>
                <w:szCs w:val="20"/>
              </w:rPr>
              <w:t xml:space="preserve">22.68</w:t>
            </w:r>
          </w:p>
        </w:tc>
      </w:tr>
      <w:tr>
        <w:tc>
          <w:tcPr>
            <w:tcW w:w="2700" w:type="dxa"/>
            <w:shd w:val="clear" w:color="auto" w:fill="EAF3EA"/>
          </w:tcPr>
          <w:p>
            <w:pPr>
              <w:spacing w:after="20"/>
            </w:pPr>
            <w:r>
              <w:rPr>
                <w:sz w:val="20"/>
                <w:szCs w:val="20"/>
              </w:rPr>
              <w:t xml:space="preserve">Carrete de actividades</w:t>
            </w:r>
          </w:p>
        </w:tc>
        <w:tc>
          <w:tcPr>
            <w:tcW w:w="1300" w:type="dxa"/>
            <w:shd w:val="clear" w:color="auto" w:fill="EAF3EA"/>
          </w:tcPr>
          <w:p>
            <w:pPr>
              <w:spacing w:after="20"/>
            </w:pPr>
            <w:r>
              <w:rPr>
                <w:sz w:val="20"/>
                <w:szCs w:val="20"/>
              </w:rPr>
              <w:t xml:space="preserve">3</w:t>
            </w:r>
          </w:p>
        </w:tc>
        <w:tc>
          <w:tcPr>
            <w:tcW w:w="1400" w:type="dxa"/>
            <w:shd w:val="clear" w:color="auto" w:fill="EAF3EA"/>
          </w:tcPr>
          <w:p>
            <w:pPr>
              <w:spacing w:after="20"/>
            </w:pPr>
            <w:r>
              <w:rPr>
                <w:sz w:val="20"/>
                <w:szCs w:val="20"/>
              </w:rPr>
              <w:t xml:space="preserve">77.97</w:t>
            </w:r>
          </w:p>
        </w:tc>
        <w:tc>
          <w:tcPr>
            <w:tcW w:w="1500" w:type="dxa"/>
            <w:shd w:val="clear" w:color="auto" w:fill="EAF3EA"/>
          </w:tcPr>
          <w:p>
            <w:pPr>
              <w:spacing w:after="20"/>
            </w:pPr>
            <w:r>
              <w:rPr>
                <w:sz w:val="20"/>
                <w:szCs w:val="20"/>
              </w:rPr>
              <w:t xml:space="preserve">785</w:t>
            </w:r>
          </w:p>
        </w:tc>
        <w:tc>
          <w:tcPr>
            <w:tcW w:w="1300" w:type="dxa"/>
            <w:shd w:val="clear" w:color="auto" w:fill="EAF3EA"/>
          </w:tcPr>
          <w:p>
            <w:pPr>
              <w:spacing w:after="20"/>
            </w:pPr>
            <w:r>
              <w:rPr>
                <w:sz w:val="20"/>
                <w:szCs w:val="20"/>
              </w:rPr>
              <w:t xml:space="preserve">454</w:t>
            </w:r>
          </w:p>
        </w:tc>
        <w:tc>
          <w:tcPr>
            <w:tcW w:w="1100" w:type="dxa"/>
            <w:shd w:val="clear" w:color="auto" w:fill="EAF3EA"/>
          </w:tcPr>
          <w:p>
            <w:pPr>
              <w:spacing w:after="20"/>
            </w:pPr>
            <w:r>
              <w:rPr>
                <w:sz w:val="20"/>
                <w:szCs w:val="20"/>
              </w:rPr>
              <w:t xml:space="preserve">25.99</w:t>
            </w:r>
          </w:p>
        </w:tc>
      </w:tr>
      <w:tr>
        <w:tc>
          <w:tcPr>
            <w:tcW w:w="2700" w:type="dxa"/>
            <w:shd w:val="clear" w:color="auto" w:fill="FFFFFF"/>
          </w:tcPr>
          <w:p>
            <w:pPr>
              <w:spacing w:after="20"/>
            </w:pPr>
            <w:r>
              <w:rPr>
                <w:sz w:val="20"/>
                <w:szCs w:val="20"/>
              </w:rPr>
              <w:t xml:space="preserve">TOTAL</w:t>
            </w:r>
          </w:p>
        </w:tc>
        <w:tc>
          <w:tcPr>
            <w:tcW w:w="1300" w:type="dxa"/>
            <w:shd w:val="clear" w:color="auto" w:fill="FFFFFF"/>
          </w:tcPr>
          <w:p>
            <w:pPr>
              <w:spacing w:after="20"/>
            </w:pPr>
            <w:r>
              <w:rPr>
                <w:sz w:val="20"/>
                <w:szCs w:val="20"/>
              </w:rPr>
              <w:t xml:space="preserve">140*</w:t>
            </w:r>
          </w:p>
        </w:tc>
        <w:tc>
          <w:tcPr>
            <w:tcW w:w="1400" w:type="dxa"/>
            <w:shd w:val="clear" w:color="auto" w:fill="FFFFFF"/>
          </w:tcPr>
          <w:p>
            <w:pPr>
              <w:spacing w:after="20"/>
            </w:pPr>
            <w:r>
              <w:rPr>
                <w:sz w:val="20"/>
                <w:szCs w:val="20"/>
              </w:rPr>
              <w:t xml:space="preserve">3,499.07</w:t>
            </w:r>
          </w:p>
        </w:tc>
        <w:tc>
          <w:tcPr>
            <w:tcW w:w="1500" w:type="dxa"/>
            <w:shd w:val="clear" w:color="auto" w:fill="FFFFFF"/>
          </w:tcPr>
          <w:p>
            <w:pPr>
              <w:spacing w:after="20"/>
            </w:pPr>
            <w:r>
              <w:rPr>
                <w:sz w:val="20"/>
                <w:szCs w:val="20"/>
              </w:rPr>
              <w:t xml:space="preserve">72,079</w:t>
            </w:r>
          </w:p>
        </w:tc>
        <w:tc>
          <w:tcPr>
            <w:tcW w:w="1300" w:type="dxa"/>
            <w:shd w:val="clear" w:color="auto" w:fill="FFFFFF"/>
          </w:tcPr>
          <w:p>
            <w:pPr>
              <w:spacing w:after="20"/>
            </w:pPr>
            <w:r>
              <w:rPr>
                <w:sz w:val="20"/>
                <w:szCs w:val="20"/>
              </w:rPr>
              <w:t xml:space="preserve">25,804</w:t>
            </w:r>
          </w:p>
        </w:tc>
        <w:tc>
          <w:tcPr>
            <w:tcW w:w="1100" w:type="dxa"/>
            <w:shd w:val="clear" w:color="auto" w:fill="FFFFFF"/>
          </w:tcPr>
          <w:p>
            <w:pPr>
              <w:spacing w:after="20"/>
            </w:pPr>
            <w:r>
              <w:rPr>
                <w:sz w:val="20"/>
                <w:szCs w:val="20"/>
              </w:rPr>
              <w:t xml:space="preserve">24.99</w:t>
            </w:r>
          </w:p>
        </w:tc>
      </w:tr>
    </w:tbl>
    <w:p>
      <w:pPr>
        <w:spacing w:after="60"/>
      </w:pPr>
    </w:p>
    <w:p>
      <w:pPr>
        <w:jc w:val="center"/>
        <w:spacing w:after="160"/>
      </w:pPr>
      <w:r>
        <w:drawing>
          <wp:inline distT="0" distB="0" distL="0" distR="0">
            <wp:extent cx="5486400" cy="3016800"/>
            <wp:effectExtent l="0" t="0" r="0" b="0"/>
            <wp:docPr id="3" name="Conversaciones por anuncio (Meta)"/>
            <wp:cNvGraphicFramePr/>
            <a:graphic xmlns:a="http://schemas.openxmlformats.org/drawingml/2006/main">
              <a:graphicData uri="http://schemas.openxmlformats.org/drawingml/2006/chart">
                <c:chart xmlns:c="http://schemas.openxmlformats.org/drawingml/2006/chart" xmlns:r="http://schemas.openxmlformats.org/officeDocument/2006/relationships" r:id="rId103"/>
              </a:graphicData>
            </a:graphic>
          </wp:inline>
        </w:drawing>
      </w:r>
    </w:p>
    <w:p>
      <w:pPr>
        <w:jc w:val="center"/>
        <w:spacing w:after="160"/>
      </w:pPr>
      <w:r>
        <w:drawing>
          <wp:inline distT="0" distB="0" distL="0" distR="0">
            <wp:extent cx="5486400" cy="3016800"/>
            <wp:effectExtent l="0" t="0" r="0" b="0"/>
            <wp:docPr id="4" name="Costo por conversación (CPL) por anuncio — MXN"/>
            <wp:cNvGraphicFramePr/>
            <a:graphic xmlns:a="http://schemas.openxmlformats.org/drawingml/2006/main">
              <a:graphicData uri="http://schemas.openxmlformats.org/drawingml/2006/chart">
                <c:chart xmlns:c="http://schemas.openxmlformats.org/drawingml/2006/chart" xmlns:r="http://schemas.openxmlformats.org/officeDocument/2006/relationships" r:id="rId104"/>
              </a:graphicData>
            </a:graphic>
          </wp:inline>
        </w:drawing>
      </w:r>
    </w:p>
    <w:p>
      <w:pPr>
        <w:spacing w:after="120"/>
      </w:pPr>
      <w:r>
        <w:rPr>
          <w:b/>
        </w:rPr>
        <w:t xml:space="preserve">* Discrepancia a resolver [DATO]: </w:t>
      </w:r>
      <w:r>
        <w:t xml:space="preserve">el panel de Meta registró 140 conversaciones; la dirección y el reporte del curso reportan 97 (FB 78 + IG 19). La diferencia son probablemente conversaciones repetidas que Meta cuenta pero no son prospectos únicos. Para el embudo se usa 97.</w:t>
      </w:r>
    </w:p>
    <w:p>
      <w:pPr>
        <w:spacing w:after="120"/>
      </w:pPr>
      <w:r>
        <w:rPr>
          <w:b/>
        </w:rPr>
        <w:t xml:space="preserve">[INTERPRETACIÓN] Hallazgos: </w:t>
      </w:r>
      <w:r>
        <w:t xml:space="preserve">(1) El Reel es el activo estrella: 50% de las conversaciones, mayor alcance (2x) y CPL competitivo. Confirma que el video vertical supera al estático. (2) El carrete estático casi no se entregó (785 impresiones, 3 conversaciones): aporte nulo. (3) Frecuencia 2.79: saludable.</w:t>
      </w:r>
    </w:p>
    <w:p>
      <w:pPr>
        <w:spacing w:after="120"/>
      </w:pPr>
      <w:r>
        <w:rPr>
          <w:b/>
        </w:rPr>
        <w:t xml:space="preserve">[RECOMENDACIÓN] </w:t>
      </w:r>
      <w:r>
        <w:t xml:space="preserve">Mover ≥70% de la pauta a video vertical (Reel/TikTok); producir 2–3 reels de alta calidad antes que gastar en estático; eliminar formatos que no superen un umbral mínimo de entrega en 48–72h.</w:t>
      </w:r>
    </w:p>
    <w:p>
      <w:pPr>
        <w:pStyle w:val="Heading1"/>
      </w:pPr>
      <w:r>
        <w:t xml:space="preserve">4. Análisis Comercial (el cuello de botella)</w:t>
      </w:r>
    </w:p>
    <w:p>
      <w:pPr>
        <w:pStyle w:val="Heading2"/>
      </w:pPr>
      <w:r>
        <w:t xml:space="preserve">4.1 Embudo de conversión</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00"/>
        <w:gridCol w:w="2200"/>
        <w:gridCol w:w="2200"/>
      </w:tblGrid>
      <w:tr>
        <w:trPr>
          <w:tblHeader/>
        </w:trPr>
        <w:tc>
          <w:tcPr>
            <w:tcW w:w="4600" w:type="dxa"/>
            <w:shd w:val="clear" w:color="auto" w:fill="2E7D32"/>
            <w:vAlign w:val="center"/>
          </w:tcPr>
          <w:p>
            <w:pPr>
              <w:spacing w:after="20"/>
            </w:pPr>
            <w:r>
              <w:rPr>
                <w:b/>
                <w:sz w:val="20"/>
                <w:szCs w:val="20"/>
                <w:color w:val="FFFFFF"/>
              </w:rPr>
              <w:t xml:space="preserve">Etapa</w:t>
            </w:r>
          </w:p>
        </w:tc>
        <w:tc>
          <w:tcPr>
            <w:tcW w:w="2200" w:type="dxa"/>
            <w:shd w:val="clear" w:color="auto" w:fill="2E7D32"/>
            <w:vAlign w:val="center"/>
          </w:tcPr>
          <w:p>
            <w:pPr>
              <w:spacing w:after="20"/>
            </w:pPr>
            <w:r>
              <w:rPr>
                <w:b/>
                <w:sz w:val="20"/>
                <w:szCs w:val="20"/>
                <w:color w:val="FFFFFF"/>
              </w:rPr>
              <w:t xml:space="preserve">Cantidad</w:t>
            </w:r>
          </w:p>
        </w:tc>
        <w:tc>
          <w:tcPr>
            <w:tcW w:w="2200" w:type="dxa"/>
            <w:shd w:val="clear" w:color="auto" w:fill="2E7D32"/>
            <w:vAlign w:val="center"/>
          </w:tcPr>
          <w:p>
            <w:pPr>
              <w:spacing w:after="20"/>
            </w:pPr>
            <w:r>
              <w:rPr>
                <w:b/>
                <w:sz w:val="20"/>
                <w:szCs w:val="20"/>
                <w:color w:val="FFFFFF"/>
              </w:rPr>
              <w:t xml:space="preserve">Conversión</w:t>
            </w:r>
          </w:p>
        </w:tc>
      </w:tr>
      <w:tr>
        <w:tc>
          <w:tcPr>
            <w:tcW w:w="4600" w:type="dxa"/>
            <w:shd w:val="clear" w:color="auto" w:fill="FFFFFF"/>
          </w:tcPr>
          <w:p>
            <w:pPr>
              <w:spacing w:after="20"/>
            </w:pPr>
            <w:r>
              <w:rPr>
                <w:sz w:val="20"/>
                <w:szCs w:val="20"/>
              </w:rPr>
              <w:t xml:space="preserve">Conversaciones (prospectos, pauta)</w:t>
            </w:r>
          </w:p>
        </w:tc>
        <w:tc>
          <w:tcPr>
            <w:tcW w:w="2200" w:type="dxa"/>
            <w:shd w:val="clear" w:color="auto" w:fill="FFFFFF"/>
          </w:tcPr>
          <w:p>
            <w:pPr>
              <w:spacing w:after="20"/>
            </w:pPr>
            <w:r>
              <w:rPr>
                <w:sz w:val="20"/>
                <w:szCs w:val="20"/>
              </w:rPr>
              <w:t xml:space="preserve">97</w:t>
            </w:r>
          </w:p>
        </w:tc>
        <w:tc>
          <w:tcPr>
            <w:tcW w:w="2200" w:type="dxa"/>
            <w:shd w:val="clear" w:color="auto" w:fill="FFFFFF"/>
          </w:tcPr>
          <w:p>
            <w:pPr>
              <w:spacing w:after="20"/>
            </w:pPr>
            <w:r>
              <w:rPr>
                <w:sz w:val="20"/>
                <w:szCs w:val="20"/>
              </w:rPr>
              <w:t xml:space="preserve">—</w:t>
            </w:r>
          </w:p>
        </w:tc>
      </w:tr>
      <w:tr>
        <w:tc>
          <w:tcPr>
            <w:tcW w:w="4600" w:type="dxa"/>
            <w:shd w:val="clear" w:color="auto" w:fill="EAF3EA"/>
          </w:tcPr>
          <w:p>
            <w:pPr>
              <w:spacing w:after="20"/>
            </w:pPr>
            <w:r>
              <w:rPr>
                <w:sz w:val="20"/>
                <w:szCs w:val="20"/>
              </w:rPr>
              <w:t xml:space="preserve">Leads por visitas a escuelas</w:t>
            </w:r>
          </w:p>
        </w:tc>
        <w:tc>
          <w:tcPr>
            <w:tcW w:w="2200" w:type="dxa"/>
            <w:shd w:val="clear" w:color="auto" w:fill="EAF3EA"/>
          </w:tcPr>
          <w:p>
            <w:pPr>
              <w:spacing w:after="20"/>
            </w:pPr>
            <w:r>
              <w:rPr>
                <w:sz w:val="20"/>
                <w:szCs w:val="20"/>
              </w:rPr>
              <w:t xml:space="preserve">7</w:t>
            </w:r>
          </w:p>
        </w:tc>
        <w:tc>
          <w:tcPr>
            <w:tcW w:w="2200" w:type="dxa"/>
            <w:shd w:val="clear" w:color="auto" w:fill="EAF3EA"/>
          </w:tcPr>
          <w:p>
            <w:pPr>
              <w:spacing w:after="20"/>
            </w:pPr>
            <w:r>
              <w:rPr>
                <w:sz w:val="20"/>
                <w:szCs w:val="20"/>
              </w:rPr>
              <w:t xml:space="preserve">—</w:t>
            </w:r>
          </w:p>
        </w:tc>
      </w:tr>
      <w:tr>
        <w:tc>
          <w:tcPr>
            <w:tcW w:w="4600" w:type="dxa"/>
            <w:shd w:val="clear" w:color="auto" w:fill="FFFFFF"/>
          </w:tcPr>
          <w:p>
            <w:pPr>
              <w:spacing w:after="20"/>
            </w:pPr>
            <w:r>
              <w:rPr>
                <w:sz w:val="20"/>
                <w:szCs w:val="20"/>
              </w:rPr>
              <w:t xml:space="preserve">Inscritos</w:t>
            </w:r>
          </w:p>
        </w:tc>
        <w:tc>
          <w:tcPr>
            <w:tcW w:w="2200" w:type="dxa"/>
            <w:shd w:val="clear" w:color="auto" w:fill="FFFFFF"/>
          </w:tcPr>
          <w:p>
            <w:pPr>
              <w:spacing w:after="20"/>
            </w:pPr>
            <w:r>
              <w:rPr>
                <w:sz w:val="20"/>
                <w:szCs w:val="20"/>
              </w:rPr>
              <w:t xml:space="preserve">11</w:t>
            </w:r>
          </w:p>
        </w:tc>
        <w:tc>
          <w:tcPr>
            <w:tcW w:w="2200" w:type="dxa"/>
            <w:shd w:val="clear" w:color="auto" w:fill="FFFFFF"/>
          </w:tcPr>
          <w:p>
            <w:pPr>
              <w:spacing w:after="20"/>
            </w:pPr>
            <w:r>
              <w:rPr>
                <w:sz w:val="20"/>
                <w:szCs w:val="20"/>
              </w:rPr>
              <w:t xml:space="preserve">11.3% (11/97)</w:t>
            </w:r>
          </w:p>
        </w:tc>
      </w:tr>
    </w:tbl>
    <w:p>
      <w:pPr>
        <w:spacing w:after="60"/>
      </w:pPr>
    </w:p>
    <w:p>
      <w:pPr>
        <w:jc w:val="center"/>
        <w:spacing w:after="160"/>
      </w:pPr>
      <w:r>
        <w:drawing>
          <wp:inline distT="0" distB="0" distL="0" distR="0">
            <wp:extent cx="5486400" cy="3016800"/>
            <wp:effectExtent l="0" t="0" r="0" b="0"/>
            <wp:docPr id="5" name="Embudo comercial: conversaciones vs. inscritos"/>
            <wp:cNvGraphicFramePr/>
            <a:graphic xmlns:a="http://schemas.openxmlformats.org/drawingml/2006/main">
              <a:graphicData uri="http://schemas.openxmlformats.org/drawingml/2006/chart">
                <c:chart xmlns:c="http://schemas.openxmlformats.org/drawingml/2006/chart" xmlns:r="http://schemas.openxmlformats.org/officeDocument/2006/relationships" r:id="rId105"/>
              </a:graphicData>
            </a:graphic>
          </wp:inline>
        </w:drawing>
      </w:r>
    </w:p>
    <w:p>
      <w:pPr>
        <w:spacing w:after="120"/>
      </w:pPr>
      <w:r>
        <w:rPr>
          <w:b/>
        </w:rPr>
        <w:t xml:space="preserve">[INTERPRETACIÓN] </w:t>
      </w:r>
      <w:r>
        <w:t xml:space="preserve">El tope de embudo funcionó; el cierre no. Convertir solo 11 de 97 conversaciones (personas que ya escribieron con intención) es bajo. No se reportaron tiempos de respuesta, seguimientos, objeciones ni motivos de no inscripción, pese a que el plan definía contacto &lt;10 min y seguimientos a 24h/72h.</w:t>
      </w:r>
    </w:p>
    <w:p>
      <w:pPr>
        <w:spacing w:after="120"/>
      </w:pPr>
      <w:r>
        <w:rPr>
          <w:b/>
        </w:rPr>
        <w:t xml:space="preserve">Impacto cuantificado [INTERPRETACIÓN]: </w:t>
      </w:r>
      <w:r>
        <w:t xml:space="preserve">con el mismo tráfico (97) y una conversión del 20%, se habrían logrado ~19 inscritos (vs 11) → +$24,000 aprox. de ingreso adicional. El mayor retorno no está en más pauta, sino en cerrar mejor.</w:t>
      </w:r>
    </w:p>
    <w:p>
      <w:pPr>
        <w:pStyle w:val="Heading2"/>
      </w:pPr>
      <w:r>
        <w:t xml:space="preserve">4.2 Origen de los 11 inscritos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0"/>
        <w:gridCol w:w="1600"/>
        <w:gridCol w:w="1500"/>
        <w:gridCol w:w="2500"/>
      </w:tblGrid>
      <w:tr>
        <w:trPr>
          <w:tblHeader/>
        </w:trPr>
        <w:tc>
          <w:tcPr>
            <w:tcW w:w="3400" w:type="dxa"/>
            <w:shd w:val="clear" w:color="auto" w:fill="2E7D32"/>
            <w:vAlign w:val="center"/>
          </w:tcPr>
          <w:p>
            <w:pPr>
              <w:spacing w:after="20"/>
            </w:pPr>
            <w:r>
              <w:rPr>
                <w:b/>
                <w:sz w:val="20"/>
                <w:szCs w:val="20"/>
                <w:color w:val="FFFFFF"/>
              </w:rPr>
              <w:t xml:space="preserve">Fuente</w:t>
            </w:r>
          </w:p>
        </w:tc>
        <w:tc>
          <w:tcPr>
            <w:tcW w:w="1600" w:type="dxa"/>
            <w:shd w:val="clear" w:color="auto" w:fill="2E7D32"/>
            <w:vAlign w:val="center"/>
          </w:tcPr>
          <w:p>
            <w:pPr>
              <w:spacing w:after="20"/>
            </w:pPr>
            <w:r>
              <w:rPr>
                <w:b/>
                <w:sz w:val="20"/>
                <w:szCs w:val="20"/>
                <w:color w:val="FFFFFF"/>
              </w:rPr>
              <w:t xml:space="preserve">Alumnos</w:t>
            </w:r>
          </w:p>
        </w:tc>
        <w:tc>
          <w:tcPr>
            <w:tcW w:w="1500" w:type="dxa"/>
            <w:shd w:val="clear" w:color="auto" w:fill="2E7D32"/>
            <w:vAlign w:val="center"/>
          </w:tcPr>
          <w:p>
            <w:pPr>
              <w:spacing w:after="20"/>
            </w:pPr>
            <w:r>
              <w:rPr>
                <w:b/>
                <w:sz w:val="20"/>
                <w:szCs w:val="20"/>
                <w:color w:val="FFFFFF"/>
              </w:rPr>
              <w:t xml:space="preserve">%</w:t>
            </w:r>
          </w:p>
        </w:tc>
        <w:tc>
          <w:tcPr>
            <w:tcW w:w="2500" w:type="dxa"/>
            <w:shd w:val="clear" w:color="auto" w:fill="2E7D32"/>
            <w:vAlign w:val="center"/>
          </w:tcPr>
          <w:p>
            <w:pPr>
              <w:spacing w:after="20"/>
            </w:pPr>
            <w:r>
              <w:rPr>
                <w:b/>
                <w:sz w:val="20"/>
                <w:szCs w:val="20"/>
                <w:color w:val="FFFFFF"/>
              </w:rPr>
              <w:t xml:space="preserve">¿Cliente nuevo?</w:t>
            </w:r>
          </w:p>
        </w:tc>
      </w:tr>
      <w:tr>
        <w:tc>
          <w:tcPr>
            <w:tcW w:w="3400" w:type="dxa"/>
            <w:shd w:val="clear" w:color="auto" w:fill="FFFFFF"/>
          </w:tcPr>
          <w:p>
            <w:pPr>
              <w:spacing w:after="20"/>
            </w:pPr>
            <w:r>
              <w:rPr>
                <w:sz w:val="20"/>
                <w:szCs w:val="20"/>
              </w:rPr>
              <w:t xml:space="preserve">Facebook</w:t>
            </w:r>
          </w:p>
        </w:tc>
        <w:tc>
          <w:tcPr>
            <w:tcW w:w="1600" w:type="dxa"/>
            <w:shd w:val="clear" w:color="auto" w:fill="FFFFFF"/>
          </w:tcPr>
          <w:p>
            <w:pPr>
              <w:spacing w:after="20"/>
            </w:pPr>
            <w:r>
              <w:rPr>
                <w:sz w:val="20"/>
                <w:szCs w:val="20"/>
              </w:rPr>
              <w:t xml:space="preserve">4</w:t>
            </w:r>
          </w:p>
        </w:tc>
        <w:tc>
          <w:tcPr>
            <w:tcW w:w="1500" w:type="dxa"/>
            <w:shd w:val="clear" w:color="auto" w:fill="FFFFFF"/>
          </w:tcPr>
          <w:p>
            <w:pPr>
              <w:spacing w:after="20"/>
            </w:pPr>
            <w:r>
              <w:rPr>
                <w:sz w:val="20"/>
                <w:szCs w:val="20"/>
              </w:rPr>
              <w:t xml:space="preserve">36.4%</w:t>
            </w:r>
          </w:p>
        </w:tc>
        <w:tc>
          <w:tcPr>
            <w:tcW w:w="2500" w:type="dxa"/>
            <w:shd w:val="clear" w:color="auto" w:fill="FFFFFF"/>
          </w:tcPr>
          <w:p>
            <w:pPr>
              <w:spacing w:after="20"/>
            </w:pPr>
            <w:r>
              <w:rPr>
                <w:sz w:val="20"/>
                <w:szCs w:val="20"/>
              </w:rPr>
              <w:t xml:space="preserve">Sí</w:t>
            </w:r>
          </w:p>
        </w:tc>
      </w:tr>
      <w:tr>
        <w:tc>
          <w:tcPr>
            <w:tcW w:w="3400" w:type="dxa"/>
            <w:shd w:val="clear" w:color="auto" w:fill="EAF3EA"/>
          </w:tcPr>
          <w:p>
            <w:pPr>
              <w:spacing w:after="20"/>
            </w:pPr>
            <w:r>
              <w:rPr>
                <w:sz w:val="20"/>
                <w:szCs w:val="20"/>
              </w:rPr>
              <w:t xml:space="preserve">Instagram</w:t>
            </w:r>
          </w:p>
        </w:tc>
        <w:tc>
          <w:tcPr>
            <w:tcW w:w="1600" w:type="dxa"/>
            <w:shd w:val="clear" w:color="auto" w:fill="EAF3EA"/>
          </w:tcPr>
          <w:p>
            <w:pPr>
              <w:spacing w:after="20"/>
            </w:pPr>
            <w:r>
              <w:rPr>
                <w:sz w:val="20"/>
                <w:szCs w:val="20"/>
              </w:rPr>
              <w:t xml:space="preserve">1</w:t>
            </w:r>
          </w:p>
        </w:tc>
        <w:tc>
          <w:tcPr>
            <w:tcW w:w="1500" w:type="dxa"/>
            <w:shd w:val="clear" w:color="auto" w:fill="EAF3EA"/>
          </w:tcPr>
          <w:p>
            <w:pPr>
              <w:spacing w:after="20"/>
            </w:pPr>
            <w:r>
              <w:rPr>
                <w:sz w:val="20"/>
                <w:szCs w:val="20"/>
              </w:rPr>
              <w:t xml:space="preserve">9.1%</w:t>
            </w:r>
          </w:p>
        </w:tc>
        <w:tc>
          <w:tcPr>
            <w:tcW w:w="2500" w:type="dxa"/>
            <w:shd w:val="clear" w:color="auto" w:fill="EAF3EA"/>
          </w:tcPr>
          <w:p>
            <w:pPr>
              <w:spacing w:after="20"/>
            </w:pPr>
            <w:r>
              <w:rPr>
                <w:sz w:val="20"/>
                <w:szCs w:val="20"/>
              </w:rPr>
              <w:t xml:space="preserve">Sí</w:t>
            </w:r>
          </w:p>
        </w:tc>
      </w:tr>
      <w:tr>
        <w:tc>
          <w:tcPr>
            <w:tcW w:w="3400" w:type="dxa"/>
            <w:shd w:val="clear" w:color="auto" w:fill="FFFFFF"/>
          </w:tcPr>
          <w:p>
            <w:pPr>
              <w:spacing w:after="20"/>
            </w:pPr>
            <w:r>
              <w:rPr>
                <w:sz w:val="20"/>
                <w:szCs w:val="20"/>
              </w:rPr>
              <w:t xml:space="preserve">Alumnos Kugelman (existentes)</w:t>
            </w:r>
          </w:p>
        </w:tc>
        <w:tc>
          <w:tcPr>
            <w:tcW w:w="1600" w:type="dxa"/>
            <w:shd w:val="clear" w:color="auto" w:fill="FFFFFF"/>
          </w:tcPr>
          <w:p>
            <w:pPr>
              <w:spacing w:after="20"/>
            </w:pPr>
            <w:r>
              <w:rPr>
                <w:sz w:val="20"/>
                <w:szCs w:val="20"/>
              </w:rPr>
              <w:t xml:space="preserve">3</w:t>
            </w:r>
          </w:p>
        </w:tc>
        <w:tc>
          <w:tcPr>
            <w:tcW w:w="1500" w:type="dxa"/>
            <w:shd w:val="clear" w:color="auto" w:fill="FFFFFF"/>
          </w:tcPr>
          <w:p>
            <w:pPr>
              <w:spacing w:after="20"/>
            </w:pPr>
            <w:r>
              <w:rPr>
                <w:sz w:val="20"/>
                <w:szCs w:val="20"/>
              </w:rPr>
              <w:t xml:space="preserve">27.3%</w:t>
            </w:r>
          </w:p>
        </w:tc>
        <w:tc>
          <w:tcPr>
            <w:tcW w:w="2500" w:type="dxa"/>
            <w:shd w:val="clear" w:color="auto" w:fill="FFFFFF"/>
          </w:tcPr>
          <w:p>
            <w:pPr>
              <w:spacing w:after="20"/>
            </w:pPr>
            <w:r>
              <w:rPr>
                <w:sz w:val="20"/>
                <w:szCs w:val="20"/>
              </w:rPr>
              <w:t xml:space="preserve">No (recompra)</w:t>
            </w:r>
          </w:p>
        </w:tc>
      </w:tr>
      <w:tr>
        <w:tc>
          <w:tcPr>
            <w:tcW w:w="3400" w:type="dxa"/>
            <w:shd w:val="clear" w:color="auto" w:fill="EAF3EA"/>
          </w:tcPr>
          <w:p>
            <w:pPr>
              <w:spacing w:after="20"/>
            </w:pPr>
            <w:r>
              <w:rPr>
                <w:sz w:val="20"/>
                <w:szCs w:val="20"/>
              </w:rPr>
              <w:t xml:space="preserve">Visitas a escuelas</w:t>
            </w:r>
          </w:p>
        </w:tc>
        <w:tc>
          <w:tcPr>
            <w:tcW w:w="1600" w:type="dxa"/>
            <w:shd w:val="clear" w:color="auto" w:fill="EAF3EA"/>
          </w:tcPr>
          <w:p>
            <w:pPr>
              <w:spacing w:after="20"/>
            </w:pPr>
            <w:r>
              <w:rPr>
                <w:sz w:val="20"/>
                <w:szCs w:val="20"/>
              </w:rPr>
              <w:t xml:space="preserve">2</w:t>
            </w:r>
          </w:p>
        </w:tc>
        <w:tc>
          <w:tcPr>
            <w:tcW w:w="1500" w:type="dxa"/>
            <w:shd w:val="clear" w:color="auto" w:fill="EAF3EA"/>
          </w:tcPr>
          <w:p>
            <w:pPr>
              <w:spacing w:after="20"/>
            </w:pPr>
            <w:r>
              <w:rPr>
                <w:sz w:val="20"/>
                <w:szCs w:val="20"/>
              </w:rPr>
              <w:t xml:space="preserve">18.2%</w:t>
            </w:r>
          </w:p>
        </w:tc>
        <w:tc>
          <w:tcPr>
            <w:tcW w:w="2500" w:type="dxa"/>
            <w:shd w:val="clear" w:color="auto" w:fill="EAF3EA"/>
          </w:tcPr>
          <w:p>
            <w:pPr>
              <w:spacing w:after="20"/>
            </w:pPr>
            <w:r>
              <w:rPr>
                <w:sz w:val="20"/>
                <w:szCs w:val="20"/>
              </w:rPr>
              <w:t xml:space="preserve">Sí</w:t>
            </w:r>
          </w:p>
        </w:tc>
      </w:tr>
      <w:tr>
        <w:tc>
          <w:tcPr>
            <w:tcW w:w="3400" w:type="dxa"/>
            <w:shd w:val="clear" w:color="auto" w:fill="FFFFFF"/>
          </w:tcPr>
          <w:p>
            <w:pPr>
              <w:spacing w:after="20"/>
            </w:pPr>
            <w:r>
              <w:rPr>
                <w:sz w:val="20"/>
                <w:szCs w:val="20"/>
              </w:rPr>
              <w:t xml:space="preserve">Recomendación</w:t>
            </w:r>
          </w:p>
        </w:tc>
        <w:tc>
          <w:tcPr>
            <w:tcW w:w="1600" w:type="dxa"/>
            <w:shd w:val="clear" w:color="auto" w:fill="FFFFFF"/>
          </w:tcPr>
          <w:p>
            <w:pPr>
              <w:spacing w:after="20"/>
            </w:pPr>
            <w:r>
              <w:rPr>
                <w:sz w:val="20"/>
                <w:szCs w:val="20"/>
              </w:rPr>
              <w:t xml:space="preserve">1</w:t>
            </w:r>
          </w:p>
        </w:tc>
        <w:tc>
          <w:tcPr>
            <w:tcW w:w="1500" w:type="dxa"/>
            <w:shd w:val="clear" w:color="auto" w:fill="FFFFFF"/>
          </w:tcPr>
          <w:p>
            <w:pPr>
              <w:spacing w:after="20"/>
            </w:pPr>
            <w:r>
              <w:rPr>
                <w:sz w:val="20"/>
                <w:szCs w:val="20"/>
              </w:rPr>
              <w:t xml:space="preserve">9.1%</w:t>
            </w:r>
          </w:p>
        </w:tc>
        <w:tc>
          <w:tcPr>
            <w:tcW w:w="2500" w:type="dxa"/>
            <w:shd w:val="clear" w:color="auto" w:fill="FFFFFF"/>
          </w:tcPr>
          <w:p>
            <w:pPr>
              <w:spacing w:after="20"/>
            </w:pPr>
            <w:r>
              <w:rPr>
                <w:sz w:val="20"/>
                <w:szCs w:val="20"/>
              </w:rPr>
              <w:t xml:space="preserve">Sí</w:t>
            </w:r>
          </w:p>
        </w:tc>
      </w:tr>
    </w:tbl>
    <w:p>
      <w:pPr>
        <w:spacing w:after="60"/>
      </w:pPr>
    </w:p>
    <w:p>
      <w:pPr>
        <w:jc w:val="center"/>
        <w:spacing w:after="160"/>
      </w:pPr>
      <w:r>
        <w:drawing>
          <wp:inline distT="0" distB="0" distL="0" distR="0">
            <wp:extent cx="5486400" cy="3016800"/>
            <wp:effectExtent l="0" t="0" r="0" b="0"/>
            <wp:docPr id="6" name="Origen de los inscritos"/>
            <wp:cNvGraphicFramePr/>
            <a:graphic xmlns:a="http://schemas.openxmlformats.org/drawingml/2006/main">
              <a:graphicData uri="http://schemas.openxmlformats.org/drawingml/2006/chart">
                <c:chart xmlns:c="http://schemas.openxmlformats.org/drawingml/2006/chart" xmlns:r="http://schemas.openxmlformats.org/officeDocument/2006/relationships" r:id="rId106"/>
              </a:graphicData>
            </a:graphic>
          </wp:inline>
        </w:drawing>
      </w:r>
    </w:p>
    <w:p>
      <w:pPr>
        <w:spacing w:after="120"/>
      </w:pPr>
      <w:r>
        <w:rPr>
          <w:b/>
        </w:rPr>
        <w:t xml:space="preserve">[INTERPRETACIÓN] </w:t>
      </w:r>
      <w:r>
        <w:t xml:space="preserve">Captación nueva real = 8 (no 11). La pauta (FB+IG) trajo 5; el canal presencial (visitas), 2 — sin costo de pauta y sin medición formal. [RECOMENDACIÓN] Separar siempre captación nueva de recompra interna, y medir el costo/resultado del canal presencial.</w:t>
      </w:r>
    </w:p>
    <w:p>
      <w:pPr>
        <w:pStyle w:val="Heading1"/>
      </w:pPr>
      <w:r>
        <w:t xml:space="preserve">5. Operaciones y experiencia (resumen)</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0"/>
        <w:gridCol w:w="2300"/>
        <w:gridCol w:w="3500"/>
      </w:tblGrid>
      <w:tr>
        <w:trPr>
          <w:tblHeader/>
        </w:trPr>
        <w:tc>
          <w:tcPr>
            <w:tcW w:w="3200" w:type="dxa"/>
            <w:shd w:val="clear" w:color="auto" w:fill="2E7D32"/>
            <w:vAlign w:val="center"/>
          </w:tcPr>
          <w:p>
            <w:pPr>
              <w:spacing w:after="20"/>
            </w:pPr>
            <w:r>
              <w:rPr>
                <w:b/>
                <w:sz w:val="20"/>
                <w:szCs w:val="20"/>
                <w:color w:val="FFFFFF"/>
              </w:rPr>
              <w:t xml:space="preserve">Indicador</w:t>
            </w:r>
          </w:p>
        </w:tc>
        <w:tc>
          <w:tcPr>
            <w:tcW w:w="2300" w:type="dxa"/>
            <w:shd w:val="clear" w:color="auto" w:fill="2E7D32"/>
            <w:vAlign w:val="center"/>
          </w:tcPr>
          <w:p>
            <w:pPr>
              <w:spacing w:after="20"/>
            </w:pPr>
            <w:r>
              <w:rPr>
                <w:b/>
                <w:sz w:val="20"/>
                <w:szCs w:val="20"/>
                <w:color w:val="FFFFFF"/>
              </w:rPr>
              <w:t xml:space="preserve">Valor</w:t>
            </w:r>
          </w:p>
        </w:tc>
        <w:tc>
          <w:tcPr>
            <w:tcW w:w="3500" w:type="dxa"/>
            <w:shd w:val="clear" w:color="auto" w:fill="2E7D32"/>
            <w:vAlign w:val="center"/>
          </w:tcPr>
          <w:p>
            <w:pPr>
              <w:spacing w:after="20"/>
            </w:pPr>
            <w:r>
              <w:rPr>
                <w:b/>
                <w:sz w:val="20"/>
                <w:szCs w:val="20"/>
                <w:color w:val="FFFFFF"/>
              </w:rPr>
              <w:t xml:space="preserve">Lectura</w:t>
            </w:r>
          </w:p>
        </w:tc>
      </w:tr>
      <w:tr>
        <w:tc>
          <w:tcPr>
            <w:tcW w:w="3200" w:type="dxa"/>
            <w:shd w:val="clear" w:color="auto" w:fill="FFFFFF"/>
          </w:tcPr>
          <w:p>
            <w:pPr>
              <w:spacing w:after="20"/>
            </w:pPr>
            <w:r>
              <w:rPr>
                <w:sz w:val="20"/>
                <w:szCs w:val="20"/>
              </w:rPr>
              <w:t xml:space="preserve">Ocupación</w:t>
            </w:r>
          </w:p>
        </w:tc>
        <w:tc>
          <w:tcPr>
            <w:tcW w:w="2300" w:type="dxa"/>
            <w:shd w:val="clear" w:color="auto" w:fill="FFFFFF"/>
          </w:tcPr>
          <w:p>
            <w:pPr>
              <w:spacing w:after="20"/>
            </w:pPr>
            <w:r>
              <w:rPr>
                <w:sz w:val="20"/>
                <w:szCs w:val="20"/>
              </w:rPr>
              <w:t xml:space="preserve">11/30 = 36.7%</w:t>
            </w:r>
          </w:p>
        </w:tc>
        <w:tc>
          <w:tcPr>
            <w:tcW w:w="3500" w:type="dxa"/>
            <w:shd w:val="clear" w:color="auto" w:fill="FFFFFF"/>
          </w:tcPr>
          <w:p>
            <w:pPr>
              <w:spacing w:after="20"/>
            </w:pPr>
            <w:r>
              <w:rPr>
                <w:sz w:val="20"/>
                <w:szCs w:val="20"/>
              </w:rPr>
              <w:t xml:space="preserve">No se llenó ni un grupo (15)</w:t>
            </w:r>
          </w:p>
        </w:tc>
      </w:tr>
      <w:tr>
        <w:tc>
          <w:tcPr>
            <w:tcW w:w="3200" w:type="dxa"/>
            <w:shd w:val="clear" w:color="auto" w:fill="EAF3EA"/>
          </w:tcPr>
          <w:p>
            <w:pPr>
              <w:spacing w:after="20"/>
            </w:pPr>
            <w:r>
              <w:rPr>
                <w:sz w:val="20"/>
                <w:szCs w:val="20"/>
              </w:rPr>
              <w:t xml:space="preserve">Permanencia 4 semanas</w:t>
            </w:r>
          </w:p>
        </w:tc>
        <w:tc>
          <w:tcPr>
            <w:tcW w:w="2300" w:type="dxa"/>
            <w:shd w:val="clear" w:color="auto" w:fill="EAF3EA"/>
          </w:tcPr>
          <w:p>
            <w:pPr>
              <w:spacing w:after="20"/>
            </w:pPr>
            <w:r>
              <w:rPr>
                <w:sz w:val="20"/>
                <w:szCs w:val="20"/>
              </w:rPr>
              <w:t xml:space="preserve">8/11 = 72.7%</w:t>
            </w:r>
          </w:p>
        </w:tc>
        <w:tc>
          <w:tcPr>
            <w:tcW w:w="3500" w:type="dxa"/>
            <w:shd w:val="clear" w:color="auto" w:fill="EAF3EA"/>
          </w:tcPr>
          <w:p>
            <w:pPr>
              <w:spacing w:after="20"/>
            </w:pPr>
            <w:r>
              <w:rPr>
                <w:sz w:val="20"/>
                <w:szCs w:val="20"/>
              </w:rPr>
              <w:t xml:space="preserve">Buena retención</w:t>
            </w:r>
          </w:p>
        </w:tc>
      </w:tr>
      <w:tr>
        <w:tc>
          <w:tcPr>
            <w:tcW w:w="3200" w:type="dxa"/>
            <w:shd w:val="clear" w:color="auto" w:fill="FFFFFF"/>
          </w:tcPr>
          <w:p>
            <w:pPr>
              <w:spacing w:after="20"/>
            </w:pPr>
            <w:r>
              <w:rPr>
                <w:sz w:val="20"/>
                <w:szCs w:val="20"/>
              </w:rPr>
              <w:t xml:space="preserve">Deserción a 1 día</w:t>
            </w:r>
          </w:p>
        </w:tc>
        <w:tc>
          <w:tcPr>
            <w:tcW w:w="2300" w:type="dxa"/>
            <w:shd w:val="clear" w:color="auto" w:fill="FFFFFF"/>
          </w:tcPr>
          <w:p>
            <w:pPr>
              <w:spacing w:after="20"/>
            </w:pPr>
            <w:r>
              <w:rPr>
                <w:sz w:val="20"/>
                <w:szCs w:val="20"/>
              </w:rPr>
              <w:t xml:space="preserve">1/11 = 9.1%</w:t>
            </w:r>
          </w:p>
        </w:tc>
        <w:tc>
          <w:tcPr>
            <w:tcW w:w="3500" w:type="dxa"/>
            <w:shd w:val="clear" w:color="auto" w:fill="FFFFFF"/>
          </w:tcPr>
          <w:p>
            <w:pPr>
              <w:spacing w:after="20"/>
            </w:pPr>
            <w:r>
              <w:rPr>
                <w:sz w:val="20"/>
                <w:szCs w:val="20"/>
              </w:rPr>
              <w:t xml:space="preserve">Investigar causa</w:t>
            </w:r>
          </w:p>
        </w:tc>
      </w:tr>
      <w:tr>
        <w:tc>
          <w:tcPr>
            <w:tcW w:w="3200" w:type="dxa"/>
            <w:shd w:val="clear" w:color="auto" w:fill="EAF3EA"/>
          </w:tcPr>
          <w:p>
            <w:pPr>
              <w:spacing w:after="20"/>
            </w:pPr>
            <w:r>
              <w:rPr>
                <w:sz w:val="20"/>
                <w:szCs w:val="20"/>
              </w:rPr>
              <w:t xml:space="preserve">Cumplimiento de actividades</w:t>
            </w:r>
          </w:p>
        </w:tc>
        <w:tc>
          <w:tcPr>
            <w:tcW w:w="2300" w:type="dxa"/>
            <w:shd w:val="clear" w:color="auto" w:fill="EAF3EA"/>
          </w:tcPr>
          <w:p>
            <w:pPr>
              <w:spacing w:after="20"/>
            </w:pPr>
            <w:r>
              <w:rPr>
                <w:sz w:val="20"/>
                <w:szCs w:val="20"/>
              </w:rPr>
              <w:t xml:space="preserve">128/140 = 91.4%</w:t>
            </w:r>
          </w:p>
        </w:tc>
        <w:tc>
          <w:tcPr>
            <w:tcW w:w="3500" w:type="dxa"/>
            <w:shd w:val="clear" w:color="auto" w:fill="EAF3EA"/>
          </w:tcPr>
          <w:p>
            <w:pPr>
              <w:spacing w:after="20"/>
            </w:pPr>
            <w:r>
              <w:rPr>
                <w:sz w:val="20"/>
                <w:szCs w:val="20"/>
              </w:rPr>
              <w:t xml:space="preserve">Sólido (reporte imprime '9.143%', errata)</w:t>
            </w:r>
          </w:p>
        </w:tc>
      </w:tr>
      <w:tr>
        <w:tc>
          <w:tcPr>
            <w:tcW w:w="3200" w:type="dxa"/>
            <w:shd w:val="clear" w:color="auto" w:fill="FFFFFF"/>
          </w:tcPr>
          <w:p>
            <w:pPr>
              <w:spacing w:after="20"/>
            </w:pPr>
            <w:r>
              <w:rPr>
                <w:sz w:val="20"/>
                <w:szCs w:val="20"/>
              </w:rPr>
              <w:t xml:space="preserve">Edad fuera de rango</w:t>
            </w:r>
          </w:p>
        </w:tc>
        <w:tc>
          <w:tcPr>
            <w:tcW w:w="2300" w:type="dxa"/>
            <w:shd w:val="clear" w:color="auto" w:fill="FFFFFF"/>
          </w:tcPr>
          <w:p>
            <w:pPr>
              <w:spacing w:after="20"/>
            </w:pPr>
            <w:r>
              <w:rPr>
                <w:sz w:val="20"/>
                <w:szCs w:val="20"/>
              </w:rPr>
              <w:t xml:space="preserve">3 niños de 5 años (27%)</w:t>
            </w:r>
          </w:p>
        </w:tc>
        <w:tc>
          <w:tcPr>
            <w:tcW w:w="3500" w:type="dxa"/>
            <w:shd w:val="clear" w:color="auto" w:fill="FFFFFF"/>
          </w:tcPr>
          <w:p>
            <w:pPr>
              <w:spacing w:after="20"/>
            </w:pPr>
            <w:r>
              <w:rPr>
                <w:sz w:val="20"/>
                <w:szCs w:val="20"/>
              </w:rPr>
              <w:t xml:space="preserve">Programa diseñado para 6–13</w:t>
            </w:r>
          </w:p>
        </w:tc>
      </w:tr>
    </w:tbl>
    <w:p>
      <w:pPr>
        <w:spacing w:after="60"/>
      </w:pPr>
    </w:p>
    <w:p>
      <w:pPr>
        <w:jc w:val="center"/>
        <w:spacing w:after="160"/>
      </w:pPr>
      <w:r>
        <w:drawing>
          <wp:inline distT="0" distB="0" distL="0" distR="0">
            <wp:extent cx="5486400" cy="3016800"/>
            <wp:effectExtent l="0" t="0" r="0" b="0"/>
            <wp:docPr id="7" name="Ocupación: capacidad vs. inscritos"/>
            <wp:cNvGraphicFramePr/>
            <a:graphic xmlns:a="http://schemas.openxmlformats.org/drawingml/2006/main">
              <a:graphicData uri="http://schemas.openxmlformats.org/drawingml/2006/chart">
                <c:chart xmlns:c="http://schemas.openxmlformats.org/drawingml/2006/chart" xmlns:r="http://schemas.openxmlformats.org/officeDocument/2006/relationships" r:id="rId107"/>
              </a:graphicData>
            </a:graphic>
          </wp:inline>
        </w:drawing>
      </w:r>
    </w:p>
    <w:p>
      <w:pPr>
        <w:spacing w:after="120"/>
      </w:pPr>
      <w:r>
        <w:rPr>
          <w:b/>
        </w:rPr>
        <w:t xml:space="preserve">[INTERPRETACIÓN] </w:t>
      </w:r>
      <w:r>
        <w:t xml:space="preserve">Operación competente pero subescalada: 2 grupos con 11 alumnos diluyen el ingreso por profesor. La encuesta entregada es general de la academia (7–70 años), no específica de KugelCamp, por lo que no mide la experiencia del campamento; aun así arroja 2 señales: quejas de limpieza/imagen del local y un niño mayor que se aburre con actividades para pequeños (problema de segmentación por edad).</w:t>
      </w:r>
    </w:p>
    <w:p>
      <w:pPr>
        <w:pStyle w:val="Heading1"/>
      </w:pPr>
      <w:r>
        <w:t xml:space="preserve">6. Evaluación por objetivo estratégico</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0"/>
        <w:gridCol w:w="3300"/>
        <w:gridCol w:w="2300"/>
      </w:tblGrid>
      <w:tr>
        <w:trPr>
          <w:tblHeader/>
        </w:trPr>
        <w:tc>
          <w:tcPr>
            <w:tcW w:w="3400" w:type="dxa"/>
            <w:shd w:val="clear" w:color="auto" w:fill="2E7D32"/>
            <w:vAlign w:val="center"/>
          </w:tcPr>
          <w:p>
            <w:pPr>
              <w:spacing w:after="20"/>
            </w:pPr>
            <w:r>
              <w:rPr>
                <w:b/>
                <w:sz w:val="20"/>
                <w:szCs w:val="20"/>
                <w:color w:val="FFFFFF"/>
              </w:rPr>
              <w:t xml:space="preserve">Objetivo</w:t>
            </w:r>
          </w:p>
        </w:tc>
        <w:tc>
          <w:tcPr>
            <w:tcW w:w="3300" w:type="dxa"/>
            <w:shd w:val="clear" w:color="auto" w:fill="2E7D32"/>
            <w:vAlign w:val="center"/>
          </w:tcPr>
          <w:p>
            <w:pPr>
              <w:spacing w:after="20"/>
            </w:pPr>
            <w:r>
              <w:rPr>
                <w:b/>
                <w:sz w:val="20"/>
                <w:szCs w:val="20"/>
                <w:color w:val="FFFFFF"/>
              </w:rPr>
              <w:t xml:space="preserve">Evidencia</w:t>
            </w:r>
          </w:p>
        </w:tc>
        <w:tc>
          <w:tcPr>
            <w:tcW w:w="2300" w:type="dxa"/>
            <w:shd w:val="clear" w:color="auto" w:fill="2E7D32"/>
            <w:vAlign w:val="center"/>
          </w:tcPr>
          <w:p>
            <w:pPr>
              <w:spacing w:after="20"/>
            </w:pPr>
            <w:r>
              <w:rPr>
                <w:b/>
                <w:sz w:val="20"/>
                <w:szCs w:val="20"/>
                <w:color w:val="FFFFFF"/>
              </w:rPr>
              <w:t xml:space="preserve">Resultado</w:t>
            </w:r>
          </w:p>
        </w:tc>
      </w:tr>
      <w:tr>
        <w:tc>
          <w:tcPr>
            <w:tcW w:w="3400" w:type="dxa"/>
            <w:shd w:val="clear" w:color="auto" w:fill="FFFFFF"/>
          </w:tcPr>
          <w:p>
            <w:pPr>
              <w:spacing w:after="20"/>
            </w:pPr>
            <w:r>
              <w:rPr>
                <w:sz w:val="20"/>
                <w:szCs w:val="20"/>
              </w:rPr>
              <w:t xml:space="preserve">Captación de nuevos clientes</w:t>
            </w:r>
          </w:p>
        </w:tc>
        <w:tc>
          <w:tcPr>
            <w:tcW w:w="3300" w:type="dxa"/>
            <w:shd w:val="clear" w:color="auto" w:fill="FFFFFF"/>
          </w:tcPr>
          <w:p>
            <w:pPr>
              <w:spacing w:after="20"/>
            </w:pPr>
            <w:r>
              <w:rPr>
                <w:sz w:val="20"/>
                <w:szCs w:val="20"/>
              </w:rPr>
              <w:t xml:space="preserve">8 nuevos de 11</w:t>
            </w:r>
          </w:p>
        </w:tc>
        <w:tc>
          <w:tcPr>
            <w:tcW w:w="2300" w:type="dxa"/>
            <w:shd w:val="clear" w:color="auto" w:fill="FFFFFF"/>
          </w:tcPr>
          <w:p>
            <w:pPr>
              <w:spacing w:after="20"/>
            </w:pPr>
            <w:r>
              <w:rPr>
                <w:sz w:val="20"/>
                <w:szCs w:val="20"/>
              </w:rPr>
              <w:t xml:space="preserve">Modesto</w:t>
            </w:r>
          </w:p>
        </w:tc>
      </w:tr>
      <w:tr>
        <w:tc>
          <w:tcPr>
            <w:tcW w:w="3400" w:type="dxa"/>
            <w:shd w:val="clear" w:color="auto" w:fill="EAF3EA"/>
          </w:tcPr>
          <w:p>
            <w:pPr>
              <w:spacing w:after="20"/>
            </w:pPr>
            <w:r>
              <w:rPr>
                <w:sz w:val="20"/>
                <w:szCs w:val="20"/>
              </w:rPr>
              <w:t xml:space="preserve">Generación de ingresos</w:t>
            </w:r>
          </w:p>
        </w:tc>
        <w:tc>
          <w:tcPr>
            <w:tcW w:w="3300" w:type="dxa"/>
            <w:shd w:val="clear" w:color="auto" w:fill="EAF3EA"/>
          </w:tcPr>
          <w:p>
            <w:pPr>
              <w:spacing w:after="20"/>
            </w:pPr>
            <w:r>
              <w:rPr>
                <w:sz w:val="20"/>
                <w:szCs w:val="20"/>
              </w:rPr>
              <w:t xml:space="preserve">$33,300</w:t>
            </w:r>
          </w:p>
        </w:tc>
        <w:tc>
          <w:tcPr>
            <w:tcW w:w="2300" w:type="dxa"/>
            <w:shd w:val="clear" w:color="auto" w:fill="EAF3EA"/>
          </w:tcPr>
          <w:p>
            <w:pPr>
              <w:spacing w:after="20"/>
            </w:pPr>
            <w:r>
              <w:rPr>
                <w:sz w:val="20"/>
                <w:szCs w:val="20"/>
              </w:rPr>
              <w:t xml:space="preserve">Confirmado</w:t>
            </w:r>
          </w:p>
        </w:tc>
      </w:tr>
      <w:tr>
        <w:tc>
          <w:tcPr>
            <w:tcW w:w="3400" w:type="dxa"/>
            <w:shd w:val="clear" w:color="auto" w:fill="FFFFFF"/>
          </w:tcPr>
          <w:p>
            <w:pPr>
              <w:spacing w:after="20"/>
            </w:pPr>
            <w:r>
              <w:rPr>
                <w:sz w:val="20"/>
                <w:szCs w:val="20"/>
              </w:rPr>
              <w:t xml:space="preserve">Rentabilidad</w:t>
            </w:r>
          </w:p>
        </w:tc>
        <w:tc>
          <w:tcPr>
            <w:tcW w:w="3300" w:type="dxa"/>
            <w:shd w:val="clear" w:color="auto" w:fill="FFFFFF"/>
          </w:tcPr>
          <w:p>
            <w:pPr>
              <w:spacing w:after="20"/>
            </w:pPr>
            <w:r>
              <w:rPr>
                <w:sz w:val="20"/>
                <w:szCs w:val="20"/>
              </w:rPr>
              <w:t xml:space="preserve">Contribución +$29,300; neta pendiente</w:t>
            </w:r>
          </w:p>
        </w:tc>
        <w:tc>
          <w:tcPr>
            <w:tcW w:w="2300" w:type="dxa"/>
            <w:shd w:val="clear" w:color="auto" w:fill="FFFFFF"/>
          </w:tcPr>
          <w:p>
            <w:pPr>
              <w:spacing w:after="20"/>
            </w:pPr>
            <w:r>
              <w:rPr>
                <w:sz w:val="20"/>
                <w:szCs w:val="20"/>
              </w:rPr>
              <w:t xml:space="preserve">Positiva a nivel marketing</w:t>
            </w:r>
          </w:p>
        </w:tc>
      </w:tr>
      <w:tr>
        <w:tc>
          <w:tcPr>
            <w:tcW w:w="3400" w:type="dxa"/>
            <w:shd w:val="clear" w:color="auto" w:fill="EAF3EA"/>
          </w:tcPr>
          <w:p>
            <w:pPr>
              <w:spacing w:after="20"/>
            </w:pPr>
            <w:r>
              <w:rPr>
                <w:sz w:val="20"/>
                <w:szCs w:val="20"/>
              </w:rPr>
              <w:t xml:space="preserve">Efectividad de marketing</w:t>
            </w:r>
          </w:p>
        </w:tc>
        <w:tc>
          <w:tcPr>
            <w:tcW w:w="3300" w:type="dxa"/>
            <w:shd w:val="clear" w:color="auto" w:fill="EAF3EA"/>
          </w:tcPr>
          <w:p>
            <w:pPr>
              <w:spacing w:after="20"/>
            </w:pPr>
            <w:r>
              <w:rPr>
                <w:sz w:val="20"/>
                <w:szCs w:val="20"/>
              </w:rPr>
              <w:t xml:space="preserve">ROAS 8.3x, CPL bajo, Reel destacó</w:t>
            </w:r>
          </w:p>
        </w:tc>
        <w:tc>
          <w:tcPr>
            <w:tcW w:w="2300" w:type="dxa"/>
            <w:shd w:val="clear" w:color="auto" w:fill="EAF3EA"/>
          </w:tcPr>
          <w:p>
            <w:pPr>
              <w:spacing w:after="20"/>
            </w:pPr>
            <w:r>
              <w:rPr>
                <w:sz w:val="20"/>
                <w:szCs w:val="20"/>
              </w:rPr>
              <w:t xml:space="preserve">Buena</w:t>
            </w:r>
          </w:p>
        </w:tc>
      </w:tr>
      <w:tr>
        <w:tc>
          <w:tcPr>
            <w:tcW w:w="3400" w:type="dxa"/>
            <w:shd w:val="clear" w:color="auto" w:fill="FFFFFF"/>
          </w:tcPr>
          <w:p>
            <w:pPr>
              <w:spacing w:after="20"/>
            </w:pPr>
            <w:r>
              <w:rPr>
                <w:sz w:val="20"/>
                <w:szCs w:val="20"/>
              </w:rPr>
              <w:t xml:space="preserve">Efectividad del proceso comercial</w:t>
            </w:r>
          </w:p>
        </w:tc>
        <w:tc>
          <w:tcPr>
            <w:tcW w:w="3300" w:type="dxa"/>
            <w:shd w:val="clear" w:color="auto" w:fill="FFFFFF"/>
          </w:tcPr>
          <w:p>
            <w:pPr>
              <w:spacing w:after="20"/>
            </w:pPr>
            <w:r>
              <w:rPr>
                <w:sz w:val="20"/>
                <w:szCs w:val="20"/>
              </w:rPr>
              <w:t xml:space="preserve">11.3% de conversión, sin métricas</w:t>
            </w:r>
          </w:p>
        </w:tc>
        <w:tc>
          <w:tcPr>
            <w:tcW w:w="2300" w:type="dxa"/>
            <w:shd w:val="clear" w:color="auto" w:fill="FFFFFF"/>
          </w:tcPr>
          <w:p>
            <w:pPr>
              <w:spacing w:after="20"/>
            </w:pPr>
            <w:r>
              <w:rPr>
                <w:sz w:val="20"/>
                <w:szCs w:val="20"/>
              </w:rPr>
              <w:t xml:space="preserve">Deficiente</w:t>
            </w:r>
          </w:p>
        </w:tc>
      </w:tr>
      <w:tr>
        <w:tc>
          <w:tcPr>
            <w:tcW w:w="3400" w:type="dxa"/>
            <w:shd w:val="clear" w:color="auto" w:fill="EAF3EA"/>
          </w:tcPr>
          <w:p>
            <w:pPr>
              <w:spacing w:after="20"/>
            </w:pPr>
            <w:r>
              <w:rPr>
                <w:sz w:val="20"/>
                <w:szCs w:val="20"/>
              </w:rPr>
              <w:t xml:space="preserve">Posicionamiento</w:t>
            </w:r>
          </w:p>
        </w:tc>
        <w:tc>
          <w:tcPr>
            <w:tcW w:w="3300" w:type="dxa"/>
            <w:shd w:val="clear" w:color="auto" w:fill="EAF3EA"/>
          </w:tcPr>
          <w:p>
            <w:pPr>
              <w:spacing w:after="20"/>
            </w:pPr>
            <w:r>
              <w:rPr>
                <w:sz w:val="20"/>
                <w:szCs w:val="20"/>
              </w:rPr>
              <w:t xml:space="preserve">72,079 impresiones / 25,804 alcanzados</w:t>
            </w:r>
          </w:p>
        </w:tc>
        <w:tc>
          <w:tcPr>
            <w:tcW w:w="2300" w:type="dxa"/>
            <w:shd w:val="clear" w:color="auto" w:fill="EAF3EA"/>
          </w:tcPr>
          <w:p>
            <w:pPr>
              <w:spacing w:after="20"/>
            </w:pPr>
            <w:r>
              <w:rPr>
                <w:sz w:val="20"/>
                <w:szCs w:val="20"/>
              </w:rPr>
              <w:t xml:space="preserve">Aporta visibilidad</w:t>
            </w:r>
          </w:p>
        </w:tc>
      </w:tr>
      <w:tr>
        <w:tc>
          <w:tcPr>
            <w:tcW w:w="3400" w:type="dxa"/>
            <w:shd w:val="clear" w:color="auto" w:fill="FFFFFF"/>
          </w:tcPr>
          <w:p>
            <w:pPr>
              <w:spacing w:after="20"/>
            </w:pPr>
            <w:r>
              <w:rPr>
                <w:sz w:val="20"/>
                <w:szCs w:val="20"/>
              </w:rPr>
              <w:t xml:space="preserve">Conversión camp → alumno regular</w:t>
            </w:r>
          </w:p>
        </w:tc>
        <w:tc>
          <w:tcPr>
            <w:tcW w:w="3300" w:type="dxa"/>
            <w:shd w:val="clear" w:color="auto" w:fill="FFFFFF"/>
          </w:tcPr>
          <w:p>
            <w:pPr>
              <w:spacing w:after="20"/>
            </w:pPr>
            <w:r>
              <w:rPr>
                <w:sz w:val="20"/>
                <w:szCs w:val="20"/>
              </w:rPr>
              <w:t xml:space="preserve">Sin datos</w:t>
            </w:r>
          </w:p>
        </w:tc>
        <w:tc>
          <w:tcPr>
            <w:tcW w:w="2300" w:type="dxa"/>
            <w:shd w:val="clear" w:color="auto" w:fill="FFFFFF"/>
          </w:tcPr>
          <w:p>
            <w:pPr>
              <w:spacing w:after="20"/>
            </w:pPr>
            <w:r>
              <w:rPr>
                <w:sz w:val="20"/>
                <w:szCs w:val="20"/>
              </w:rPr>
              <w:t xml:space="preserve">No medido</w:t>
            </w:r>
          </w:p>
        </w:tc>
      </w:tr>
      <w:tr>
        <w:tc>
          <w:tcPr>
            <w:tcW w:w="3400" w:type="dxa"/>
            <w:shd w:val="clear" w:color="auto" w:fill="EAF3EA"/>
          </w:tcPr>
          <w:p>
            <w:pPr>
              <w:spacing w:after="20"/>
            </w:pPr>
            <w:r>
              <w:rPr>
                <w:sz w:val="20"/>
                <w:szCs w:val="20"/>
              </w:rPr>
              <w:t xml:space="preserve">Aprendizajes para futuras ediciones</w:t>
            </w:r>
          </w:p>
        </w:tc>
        <w:tc>
          <w:tcPr>
            <w:tcW w:w="3300" w:type="dxa"/>
            <w:shd w:val="clear" w:color="auto" w:fill="EAF3EA"/>
          </w:tcPr>
          <w:p>
            <w:pPr>
              <w:spacing w:after="20"/>
            </w:pPr>
            <w:r>
              <w:rPr>
                <w:sz w:val="20"/>
                <w:szCs w:val="20"/>
              </w:rPr>
              <w:t xml:space="preserve">Este documento</w:t>
            </w:r>
          </w:p>
        </w:tc>
        <w:tc>
          <w:tcPr>
            <w:tcW w:w="2300" w:type="dxa"/>
            <w:shd w:val="clear" w:color="auto" w:fill="EAF3EA"/>
          </w:tcPr>
          <w:p>
            <w:pPr>
              <w:spacing w:after="20"/>
            </w:pPr>
            <w:r>
              <w:rPr>
                <w:sz w:val="20"/>
                <w:szCs w:val="20"/>
              </w:rPr>
              <w:t xml:space="preserve">Disponibles</w:t>
            </w:r>
          </w:p>
        </w:tc>
      </w:tr>
    </w:tbl>
    <w:p>
      <w:pPr>
        <w:spacing w:after="60"/>
      </w:pPr>
    </w:p>
    <w:p>
      <w:pPr>
        <w:pStyle w:val="Heading1"/>
      </w:pPr>
      <w:r>
        <w:t xml:space="preserve">7. Prioridades para 2027 (accionables, cuantificadas)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0"/>
        <w:gridCol w:w="3800"/>
        <w:gridCol w:w="3200"/>
        <w:gridCol w:w="1200"/>
      </w:tblGrid>
      <w:tr>
        <w:trPr>
          <w:tblHeader/>
        </w:trPr>
        <w:tc>
          <w:tcPr>
            <w:tcW w:w="500" w:type="dxa"/>
            <w:shd w:val="clear" w:color="auto" w:fill="2E7D32"/>
            <w:vAlign w:val="center"/>
          </w:tcPr>
          <w:p>
            <w:pPr>
              <w:spacing w:after="20"/>
            </w:pPr>
            <w:r>
              <w:rPr>
                <w:b/>
                <w:sz w:val="20"/>
                <w:szCs w:val="20"/>
                <w:color w:val="FFFFFF"/>
              </w:rPr>
              <w:t xml:space="preserve">#</w:t>
            </w:r>
          </w:p>
        </w:tc>
        <w:tc>
          <w:tcPr>
            <w:tcW w:w="3800" w:type="dxa"/>
            <w:shd w:val="clear" w:color="auto" w:fill="2E7D32"/>
            <w:vAlign w:val="center"/>
          </w:tcPr>
          <w:p>
            <w:pPr>
              <w:spacing w:after="20"/>
            </w:pPr>
            <w:r>
              <w:rPr>
                <w:b/>
                <w:sz w:val="20"/>
                <w:szCs w:val="20"/>
                <w:color w:val="FFFFFF"/>
              </w:rPr>
              <w:t xml:space="preserve">Acción</w:t>
            </w:r>
          </w:p>
        </w:tc>
        <w:tc>
          <w:tcPr>
            <w:tcW w:w="3200" w:type="dxa"/>
            <w:shd w:val="clear" w:color="auto" w:fill="2E7D32"/>
            <w:vAlign w:val="center"/>
          </w:tcPr>
          <w:p>
            <w:pPr>
              <w:spacing w:after="20"/>
            </w:pPr>
            <w:r>
              <w:rPr>
                <w:b/>
                <w:sz w:val="20"/>
                <w:szCs w:val="20"/>
                <w:color w:val="FFFFFF"/>
              </w:rPr>
              <w:t xml:space="preserve">Impacto estimado</w:t>
            </w:r>
          </w:p>
        </w:tc>
        <w:tc>
          <w:tcPr>
            <w:tcW w:w="1200" w:type="dxa"/>
            <w:shd w:val="clear" w:color="auto" w:fill="2E7D32"/>
            <w:vAlign w:val="center"/>
          </w:tcPr>
          <w:p>
            <w:pPr>
              <w:spacing w:after="20"/>
            </w:pPr>
            <w:r>
              <w:rPr>
                <w:b/>
                <w:sz w:val="20"/>
                <w:szCs w:val="20"/>
                <w:color w:val="FFFFFF"/>
              </w:rPr>
              <w:t xml:space="preserve">Esfuerzo</w:t>
            </w:r>
          </w:p>
        </w:tc>
      </w:tr>
      <w:tr>
        <w:tc>
          <w:tcPr>
            <w:tcW w:w="500" w:type="dxa"/>
            <w:shd w:val="clear" w:color="auto" w:fill="FFFFFF"/>
          </w:tcPr>
          <w:p>
            <w:pPr>
              <w:spacing w:after="20"/>
            </w:pPr>
            <w:r>
              <w:rPr>
                <w:sz w:val="20"/>
                <w:szCs w:val="20"/>
              </w:rPr>
              <w:t xml:space="preserve">1</w:t>
            </w:r>
          </w:p>
        </w:tc>
        <w:tc>
          <w:tcPr>
            <w:tcW w:w="3800" w:type="dxa"/>
            <w:shd w:val="clear" w:color="auto" w:fill="FFFFFF"/>
          </w:tcPr>
          <w:p>
            <w:pPr>
              <w:spacing w:after="20"/>
            </w:pPr>
            <w:r>
              <w:rPr>
                <w:sz w:val="20"/>
                <w:szCs w:val="20"/>
              </w:rPr>
              <w:t xml:space="preserve">Completar la P&amp;L con costos operativos (Finanzas)</w:t>
            </w:r>
          </w:p>
        </w:tc>
        <w:tc>
          <w:tcPr>
            <w:tcW w:w="3200" w:type="dxa"/>
            <w:shd w:val="clear" w:color="auto" w:fill="FFFFFF"/>
          </w:tcPr>
          <w:p>
            <w:pPr>
              <w:spacing w:after="20"/>
            </w:pPr>
            <w:r>
              <w:rPr>
                <w:sz w:val="20"/>
                <w:szCs w:val="20"/>
              </w:rPr>
              <w:t xml:space="preserve">Define utilidad real; desbloquea decisión 2027</w:t>
            </w:r>
          </w:p>
        </w:tc>
        <w:tc>
          <w:tcPr>
            <w:tcW w:w="1200" w:type="dxa"/>
            <w:shd w:val="clear" w:color="auto" w:fill="FFFFFF"/>
          </w:tcPr>
          <w:p>
            <w:pPr>
              <w:spacing w:after="20"/>
            </w:pPr>
            <w:r>
              <w:rPr>
                <w:sz w:val="20"/>
                <w:szCs w:val="20"/>
              </w:rPr>
              <w:t xml:space="preserve">Bajo</w:t>
            </w:r>
          </w:p>
        </w:tc>
      </w:tr>
      <w:tr>
        <w:tc>
          <w:tcPr>
            <w:tcW w:w="500" w:type="dxa"/>
            <w:shd w:val="clear" w:color="auto" w:fill="EAF3EA"/>
          </w:tcPr>
          <w:p>
            <w:pPr>
              <w:spacing w:after="20"/>
            </w:pPr>
            <w:r>
              <w:rPr>
                <w:sz w:val="20"/>
                <w:szCs w:val="20"/>
              </w:rPr>
              <w:t xml:space="preserve">2</w:t>
            </w:r>
          </w:p>
        </w:tc>
        <w:tc>
          <w:tcPr>
            <w:tcW w:w="3800" w:type="dxa"/>
            <w:shd w:val="clear" w:color="auto" w:fill="EAF3EA"/>
          </w:tcPr>
          <w:p>
            <w:pPr>
              <w:spacing w:after="20"/>
            </w:pPr>
            <w:r>
              <w:rPr>
                <w:sz w:val="20"/>
                <w:szCs w:val="20"/>
              </w:rPr>
              <w:t xml:space="preserve">Arreglar el cierre comercial (guion, tiempos, objeciones)</w:t>
            </w:r>
          </w:p>
        </w:tc>
        <w:tc>
          <w:tcPr>
            <w:tcW w:w="3200" w:type="dxa"/>
            <w:shd w:val="clear" w:color="auto" w:fill="EAF3EA"/>
          </w:tcPr>
          <w:p>
            <w:pPr>
              <w:spacing w:after="20"/>
            </w:pPr>
            <w:r>
              <w:rPr>
                <w:sz w:val="20"/>
                <w:szCs w:val="20"/>
              </w:rPr>
              <w:t xml:space="preserve">97 conv. al 20% ≈ +8 inscritos ≈ +$24,000</w:t>
            </w:r>
          </w:p>
        </w:tc>
        <w:tc>
          <w:tcPr>
            <w:tcW w:w="1200" w:type="dxa"/>
            <w:shd w:val="clear" w:color="auto" w:fill="EAF3EA"/>
          </w:tcPr>
          <w:p>
            <w:pPr>
              <w:spacing w:after="20"/>
            </w:pPr>
            <w:r>
              <w:rPr>
                <w:sz w:val="20"/>
                <w:szCs w:val="20"/>
              </w:rPr>
              <w:t xml:space="preserve">Medio</w:t>
            </w:r>
          </w:p>
        </w:tc>
      </w:tr>
      <w:tr>
        <w:tc>
          <w:tcPr>
            <w:tcW w:w="500" w:type="dxa"/>
            <w:shd w:val="clear" w:color="auto" w:fill="FFFFFF"/>
          </w:tcPr>
          <w:p>
            <w:pPr>
              <w:spacing w:after="20"/>
            </w:pPr>
            <w:r>
              <w:rPr>
                <w:sz w:val="20"/>
                <w:szCs w:val="20"/>
              </w:rPr>
              <w:t xml:space="preserve">3</w:t>
            </w:r>
          </w:p>
        </w:tc>
        <w:tc>
          <w:tcPr>
            <w:tcW w:w="3800" w:type="dxa"/>
            <w:shd w:val="clear" w:color="auto" w:fill="FFFFFF"/>
          </w:tcPr>
          <w:p>
            <w:pPr>
              <w:spacing w:after="20"/>
            </w:pPr>
            <w:r>
              <w:rPr>
                <w:sz w:val="20"/>
                <w:szCs w:val="20"/>
              </w:rPr>
              <w:t xml:space="preserve">Llenar al menos un grupo (15) antes de abrir el segundo</w:t>
            </w:r>
          </w:p>
        </w:tc>
        <w:tc>
          <w:tcPr>
            <w:tcW w:w="3200" w:type="dxa"/>
            <w:shd w:val="clear" w:color="auto" w:fill="FFFFFF"/>
          </w:tcPr>
          <w:p>
            <w:pPr>
              <w:spacing w:after="20"/>
            </w:pPr>
            <w:r>
              <w:rPr>
                <w:sz w:val="20"/>
                <w:szCs w:val="20"/>
              </w:rPr>
              <w:t xml:space="preserve">+4 alumnos ≈ +$12,000 aprox.</w:t>
            </w:r>
          </w:p>
        </w:tc>
        <w:tc>
          <w:tcPr>
            <w:tcW w:w="1200" w:type="dxa"/>
            <w:shd w:val="clear" w:color="auto" w:fill="FFFFFF"/>
          </w:tcPr>
          <w:p>
            <w:pPr>
              <w:spacing w:after="20"/>
            </w:pPr>
            <w:r>
              <w:rPr>
                <w:sz w:val="20"/>
                <w:szCs w:val="20"/>
              </w:rPr>
              <w:t xml:space="preserve">Medio</w:t>
            </w:r>
          </w:p>
        </w:tc>
      </w:tr>
      <w:tr>
        <w:tc>
          <w:tcPr>
            <w:tcW w:w="500" w:type="dxa"/>
            <w:shd w:val="clear" w:color="auto" w:fill="EAF3EA"/>
          </w:tcPr>
          <w:p>
            <w:pPr>
              <w:spacing w:after="20"/>
            </w:pPr>
            <w:r>
              <w:rPr>
                <w:sz w:val="20"/>
                <w:szCs w:val="20"/>
              </w:rPr>
              <w:t xml:space="preserve">4</w:t>
            </w:r>
          </w:p>
        </w:tc>
        <w:tc>
          <w:tcPr>
            <w:tcW w:w="3800" w:type="dxa"/>
            <w:shd w:val="clear" w:color="auto" w:fill="EAF3EA"/>
          </w:tcPr>
          <w:p>
            <w:pPr>
              <w:spacing w:after="20"/>
            </w:pPr>
            <w:r>
              <w:rPr>
                <w:sz w:val="20"/>
                <w:szCs w:val="20"/>
              </w:rPr>
              <w:t xml:space="preserve">Priorizar video vertical en pauta</w:t>
            </w:r>
          </w:p>
        </w:tc>
        <w:tc>
          <w:tcPr>
            <w:tcW w:w="3200" w:type="dxa"/>
            <w:shd w:val="clear" w:color="auto" w:fill="EAF3EA"/>
          </w:tcPr>
          <w:p>
            <w:pPr>
              <w:spacing w:after="20"/>
            </w:pPr>
            <w:r>
              <w:rPr>
                <w:sz w:val="20"/>
                <w:szCs w:val="20"/>
              </w:rPr>
              <w:t xml:space="preserve">El Reel dio 50% de conversaciones al CPL más bajo</w:t>
            </w:r>
          </w:p>
        </w:tc>
        <w:tc>
          <w:tcPr>
            <w:tcW w:w="1200" w:type="dxa"/>
            <w:shd w:val="clear" w:color="auto" w:fill="EAF3EA"/>
          </w:tcPr>
          <w:p>
            <w:pPr>
              <w:spacing w:after="20"/>
            </w:pPr>
            <w:r>
              <w:rPr>
                <w:sz w:val="20"/>
                <w:szCs w:val="20"/>
              </w:rPr>
              <w:t xml:space="preserve">Bajo</w:t>
            </w:r>
          </w:p>
        </w:tc>
      </w:tr>
      <w:tr>
        <w:tc>
          <w:tcPr>
            <w:tcW w:w="500" w:type="dxa"/>
            <w:shd w:val="clear" w:color="auto" w:fill="FFFFFF"/>
          </w:tcPr>
          <w:p>
            <w:pPr>
              <w:spacing w:after="20"/>
            </w:pPr>
            <w:r>
              <w:rPr>
                <w:sz w:val="20"/>
                <w:szCs w:val="20"/>
              </w:rPr>
              <w:t xml:space="preserve">5</w:t>
            </w:r>
          </w:p>
        </w:tc>
        <w:tc>
          <w:tcPr>
            <w:tcW w:w="3800" w:type="dxa"/>
            <w:shd w:val="clear" w:color="auto" w:fill="FFFFFF"/>
          </w:tcPr>
          <w:p>
            <w:pPr>
              <w:spacing w:after="20"/>
            </w:pPr>
            <w:r>
              <w:rPr>
                <w:sz w:val="20"/>
                <w:szCs w:val="20"/>
              </w:rPr>
              <w:t xml:space="preserve">Medir el canal presencial (costo/resultado de visitas)</w:t>
            </w:r>
          </w:p>
        </w:tc>
        <w:tc>
          <w:tcPr>
            <w:tcW w:w="3200" w:type="dxa"/>
            <w:shd w:val="clear" w:color="auto" w:fill="FFFFFF"/>
          </w:tcPr>
          <w:p>
            <w:pPr>
              <w:spacing w:after="20"/>
            </w:pPr>
            <w:r>
              <w:rPr>
                <w:sz w:val="20"/>
                <w:szCs w:val="20"/>
              </w:rPr>
              <w:t xml:space="preserve">Aporta ~2 inscritos hoy sin medición</w:t>
            </w:r>
          </w:p>
        </w:tc>
        <w:tc>
          <w:tcPr>
            <w:tcW w:w="1200" w:type="dxa"/>
            <w:shd w:val="clear" w:color="auto" w:fill="FFFFFF"/>
          </w:tcPr>
          <w:p>
            <w:pPr>
              <w:spacing w:after="20"/>
            </w:pPr>
            <w:r>
              <w:rPr>
                <w:sz w:val="20"/>
                <w:szCs w:val="20"/>
              </w:rPr>
              <w:t xml:space="preserve">Bajo</w:t>
            </w:r>
          </w:p>
        </w:tc>
      </w:tr>
      <w:tr>
        <w:tc>
          <w:tcPr>
            <w:tcW w:w="500" w:type="dxa"/>
            <w:shd w:val="clear" w:color="auto" w:fill="EAF3EA"/>
          </w:tcPr>
          <w:p>
            <w:pPr>
              <w:spacing w:after="20"/>
            </w:pPr>
            <w:r>
              <w:rPr>
                <w:sz w:val="20"/>
                <w:szCs w:val="20"/>
              </w:rPr>
              <w:t xml:space="preserve">6</w:t>
            </w:r>
          </w:p>
        </w:tc>
        <w:tc>
          <w:tcPr>
            <w:tcW w:w="3800" w:type="dxa"/>
            <w:shd w:val="clear" w:color="auto" w:fill="EAF3EA"/>
          </w:tcPr>
          <w:p>
            <w:pPr>
              <w:spacing w:after="20"/>
            </w:pPr>
            <w:r>
              <w:rPr>
                <w:sz w:val="20"/>
                <w:szCs w:val="20"/>
              </w:rPr>
              <w:t xml:space="preserve">Encuesta específica de padres KugelCamp</w:t>
            </w:r>
          </w:p>
        </w:tc>
        <w:tc>
          <w:tcPr>
            <w:tcW w:w="3200" w:type="dxa"/>
            <w:shd w:val="clear" w:color="auto" w:fill="EAF3EA"/>
          </w:tcPr>
          <w:p>
            <w:pPr>
              <w:spacing w:after="20"/>
            </w:pPr>
            <w:r>
              <w:rPr>
                <w:sz w:val="20"/>
                <w:szCs w:val="20"/>
              </w:rPr>
              <w:t xml:space="preserve">Cierra el objetivo camp → alumno regular</w:t>
            </w:r>
          </w:p>
        </w:tc>
        <w:tc>
          <w:tcPr>
            <w:tcW w:w="1200" w:type="dxa"/>
            <w:shd w:val="clear" w:color="auto" w:fill="EAF3EA"/>
          </w:tcPr>
          <w:p>
            <w:pPr>
              <w:spacing w:after="20"/>
            </w:pPr>
            <w:r>
              <w:rPr>
                <w:sz w:val="20"/>
                <w:szCs w:val="20"/>
              </w:rPr>
              <w:t xml:space="preserve">Bajo</w:t>
            </w:r>
          </w:p>
        </w:tc>
      </w:tr>
      <w:tr>
        <w:tc>
          <w:tcPr>
            <w:tcW w:w="500" w:type="dxa"/>
            <w:shd w:val="clear" w:color="auto" w:fill="FFFFFF"/>
          </w:tcPr>
          <w:p>
            <w:pPr>
              <w:spacing w:after="20"/>
            </w:pPr>
            <w:r>
              <w:rPr>
                <w:sz w:val="20"/>
                <w:szCs w:val="20"/>
              </w:rPr>
              <w:t xml:space="preserve">7</w:t>
            </w:r>
          </w:p>
        </w:tc>
        <w:tc>
          <w:tcPr>
            <w:tcW w:w="3800" w:type="dxa"/>
            <w:shd w:val="clear" w:color="auto" w:fill="FFFFFF"/>
          </w:tcPr>
          <w:p>
            <w:pPr>
              <w:spacing w:after="20"/>
            </w:pPr>
            <w:r>
              <w:rPr>
                <w:sz w:val="20"/>
                <w:szCs w:val="20"/>
              </w:rPr>
              <w:t xml:space="preserve">Segmentar grupos por edad y mejorar imagen del local</w:t>
            </w:r>
          </w:p>
        </w:tc>
        <w:tc>
          <w:tcPr>
            <w:tcW w:w="3200" w:type="dxa"/>
            <w:shd w:val="clear" w:color="auto" w:fill="FFFFFF"/>
          </w:tcPr>
          <w:p>
            <w:pPr>
              <w:spacing w:after="20"/>
            </w:pPr>
            <w:r>
              <w:rPr>
                <w:sz w:val="20"/>
                <w:szCs w:val="20"/>
              </w:rPr>
              <w:t xml:space="preserve">Responde a 2 quejas reales; reduce deserción</w:t>
            </w:r>
          </w:p>
        </w:tc>
        <w:tc>
          <w:tcPr>
            <w:tcW w:w="1200" w:type="dxa"/>
            <w:shd w:val="clear" w:color="auto" w:fill="FFFFFF"/>
          </w:tcPr>
          <w:p>
            <w:pPr>
              <w:spacing w:after="20"/>
            </w:pPr>
            <w:r>
              <w:rPr>
                <w:sz w:val="20"/>
                <w:szCs w:val="20"/>
              </w:rPr>
              <w:t xml:space="preserve">Bajo</w:t>
            </w:r>
          </w:p>
        </w:tc>
      </w:tr>
    </w:tbl>
    <w:p>
      <w:pPr>
        <w:spacing w:after="60"/>
      </w:pPr>
    </w:p>
    <w:p>
      <w:pPr>
        <w:pStyle w:val="Heading1"/>
      </w:pPr>
      <w:r>
        <w:t xml:space="preserve">8. Conclusión</w:t>
      </w:r>
    </w:p>
    <w:p>
      <w:pPr>
        <w:spacing w:after="120"/>
      </w:pPr>
      <w:r>
        <w:rPr>
          <w:b/>
        </w:rPr>
        <w:t xml:space="preserve">[INTERPRETACIÓN] </w:t>
      </w:r>
      <w:r>
        <w:t xml:space="preserve">Desde marketing, KugelCamp 2026 fue eficiente y rentable a nivel de contribución (ROAS 8.3x, +$29,300). La debilidad no estuvo en atraer, sino en convertir (11.3%) y en llenar el cupo (36.7%). La mayor oportunidad para 2027 no es más pauta, sino mejorar el cierre comercial y escalar la ocupación. La utilidad neta final queda en manos de Finanzas, que debe integrar los costos operativos a la P&amp;L de la sección 2.2.</w:t>
      </w:r>
    </w:p>
    <w:p>
      <w:pPr>
        <w:spacing w:after="40"/>
      </w:pPr>
      <w:r>
        <w:rPr>
          <w:i/>
          <w:sz w:val="18"/>
          <w:szCs w:val="18"/>
        </w:rPr>
        <w:t xml:space="preserve">Cifras [DATO] verificables en las fuentes y en los datos confirmados por la dirección. [INTERPRETACIÓN] y [RECOMENDACIÓN] son análisis del consultor. Pendientes: discrepancia 97 vs 140 conversaciones y costos operativos.</w:t>
      </w:r>
    </w:p>
    <w:sectPr>
      <w:pgSz w:w="12240" w:h="15840"/>
      <w:pgMar w:top="1134" w:right="1134" w:bottom="1134" w:left="1134"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360"/>
      </w:pPr>
    </w:lvl>
  </w:abstractNum>
  <w:num w:numId="1">
    <w:abstractNumId w:val="0"/>
  </w:num>
</w:numbering>
</file>

<file path=word/styles.xml><?xml version="1.0" encoding="utf-8"?>
<w:styles xmlns:w="http://schemas.openxmlformats.org/wordprocessingml/2006/main">
  <w:docDefaults>
    <w:rPrDefault>
      <w:rPr>
        <w:rFonts w:ascii="Calibri" w:hAnsi="Calibri"/>
        <w:sz w:val="21"/>
        <w:szCs w:val="21"/>
      </w:rPr>
    </w:rPrDefault>
  </w:docDefaults>
  <w:style w:type="paragraph" w:default="1" w:styleId="Normal">
    <w:name w:val="Normal"/>
    <w:pPr>
      <w:spacing w:after="120" w:line="264" w:lineRule="auto"/>
    </w:pPr>
  </w:style>
  <w:style w:type="paragraph" w:styleId="Title">
    <w:name w:val="Title"/>
    <w:pPr>
      <w:jc w:val="center"/>
      <w:spacing w:after="80"/>
    </w:pPr>
    <w:rPr>
      <w:b/>
      <w:color w:val="1B5E20"/>
      <w:sz w:val="40"/>
      <w:szCs w:val="40"/>
    </w:rPr>
  </w:style>
  <w:style w:type="paragraph" w:styleId="Heading1">
    <w:name w:val="heading 1"/>
    <w:basedOn w:val="Normal"/>
    <w:pPr>
      <w:spacing w:before="240" w:after="120"/>
      <w:outlineLvl w:val="0"/>
      <w:pBdr>
        <w:bottom w:val="single" w:sz="6" w:space="2" w:color="2E7D32"/>
      </w:pBdr>
    </w:pPr>
    <w:rPr>
      <w:b/>
      <w:color w:val="1B5E20"/>
      <w:sz w:val="30"/>
      <w:szCs w:val="30"/>
    </w:rPr>
  </w:style>
  <w:style w:type="paragraph" w:styleId="Heading2">
    <w:name w:val="heading 2"/>
    <w:basedOn w:val="Normal"/>
    <w:pPr>
      <w:spacing w:before="160" w:after="80"/>
      <w:outlineLvl w:val="1"/>
    </w:pPr>
    <w:rPr>
      <w:b/>
      <w:color w:val="2E7D32"/>
      <w:sz w:val="25"/>
      <w:szCs w:val="25"/>
    </w:rPr>
  </w:style>
  <w:style w:type="paragraph" w:styleId="ListBullet">
    <w:name w:val="List Bullet"/>
    <w:basedOn w:val="Normal"/>
    <w:pPr>
      <w:numPr>
        <w:ilvl w:val="0"/>
        <w:numId w:val="1"/>
      </w:numPr>
    </w:pPr>
  </w:style>
  <w:style w:type="table" w:styleId="TableGrid">
    <w:name w:val="Table Gri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101" Type="http://schemas.openxmlformats.org/officeDocument/2006/relationships/chart" Target="charts/chart1.xml"/><Relationship Id="rId102" Type="http://schemas.openxmlformats.org/officeDocument/2006/relationships/chart" Target="charts/chart2.xml"/><Relationship Id="rId103" Type="http://schemas.openxmlformats.org/officeDocument/2006/relationships/chart" Target="charts/chart3.xml"/><Relationship Id="rId104" Type="http://schemas.openxmlformats.org/officeDocument/2006/relationships/chart" Target="charts/chart4.xml"/><Relationship Id="rId105" Type="http://schemas.openxmlformats.org/officeDocument/2006/relationships/chart" Target="charts/chart5.xml"/><Relationship Id="rId106" Type="http://schemas.openxmlformats.org/officeDocument/2006/relationships/chart" Target="charts/chart6.xml"/><Relationship Id="rId107" Type="http://schemas.openxmlformats.org/officeDocument/2006/relationships/chart" Target="charts/chart7.xml"/></Relationships>
</file>

<file path=word/charts/chart1.xml><?xml version="1.0" encoding="utf-8"?>
<c:chartSpace xmlns:c="http://schemas.openxmlformats.org/drawingml/2006/chart" xmlns:a="http://schemas.openxmlformats.org/drawingml/2006/main" xmlns:r="http://schemas.openxmlformats.org/officeDocument/2006/relationships">
  <c:chart>
    <c:title>
      <c:tx>
        <c:rich>
          <a:bodyPr/>
          <a:p>
            <a:r>
              <a:rPr lang="es-MX" b="1" sz="1100"/>
              <a:t>Ingresos por tipo de pago (MXN)</a:t>
            </a:r>
          </a:p>
        </c:rich>
      </c:tx>
      <c:overlay val="0"/>
    </c:title>
    <c:autoTitleDeleted val="0"/>
    <c:plotArea>
      <c:layout/>
      <c:barChart>
        <c:barDir val="col"/>
        <c:grouping val="clustered"/>
        <c:varyColors val="1"/>
        <c:ser>
          <c:idx val="0"/>
          <c:order val="0"/>
          <c:tx>
            <c:strRef>
              <c:f>Datos!$B$1</c:f>
              <c:strCache>
                <c:ptCount val="1"/>
                <c:pt idx="0">
                  <c:v>Ingreso (MXN)</c:v>
                </c:pt>
              </c:strCache>
            </c:strRef>
          </c:tx>
          <c:dPt>
            <c:idx val="0"/>
            <c:invertIfNegative val="0"/>
            <c:bubble3D val="0"/>
            <c:spPr>
              <a:solidFill>
                <a:srgbClr val="2E7D32"/>
              </a:solidFill>
            </c:spPr>
          </c:dPt>
          <c:dPt>
            <c:idx val="1"/>
            <c:invertIfNegative val="0"/>
            <c:bubble3D val="0"/>
            <c:spPr>
              <a:solidFill>
                <a:srgbClr val="2E7D32"/>
              </a:solidFill>
            </c:spPr>
          </c:dPt>
          <c:dPt>
            <c:idx val="2"/>
            <c:invertIfNegative val="0"/>
            <c:bubble3D val="0"/>
            <c:spPr>
              <a:solidFill>
                <a:srgbClr val="2E7D32"/>
              </a:solidFill>
            </c:spPr>
          </c:dPt>
          <c:dLbls>
            <c:numFmt formatCode="#,##0" sourceLinked="0"/>
            <c:showLegendKey val="0"/>
            <c:showVal val="1"/>
            <c:showCatName val="0"/>
            <c:showSerName val="0"/>
            <c:showPercent val="0"/>
            <c:showBubbleSize val="0"/>
          </c:dLbls>
          <c:cat>
            <c:strRef>
              <c:f>Datos!$A$2:$A$4</c:f>
              <c:strCache>
                <c:ptCount val="3"/>
                <c:pt idx="0">
                  <c:v>Completo (8)</c:v>
                </c:pt>
                <c:pt idx="1">
                  <c:v>Parcial 2 sem (2)</c:v>
                </c:pt>
                <c:pt idx="2">
                  <c:v>Un día (1)</c:v>
                </c:pt>
              </c:strCache>
            </c:strRef>
          </c:cat>
          <c:val>
            <c:numRef>
              <c:f>Datos!$B$2:$B$4</c:f>
              <c:numCache>
                <c:formatCode>#,##0</c:formatCode>
                <c:ptCount val="3"/>
                <c:pt idx="0">
                  <c:v>28000</c:v>
                </c:pt>
                <c:pt idx="1">
                  <c:v>5000</c:v>
                </c:pt>
                <c:pt idx="2">
                  <c:v>300</c:v>
                </c:pt>
              </c:numCache>
            </c:numRef>
          </c:val>
        </c:ser>
        <c:gapWidth val="60"/>
        <c:axId val="100000010"/>
        <c:axId val="200000010"/>
      </c:barChart>
      <c:catAx>
        <c:axId val="100000010"/>
        <c:scaling>
          <c:orientation val="minMax"/>
        </c:scaling>
        <c:delete val="0"/>
        <c:axPos val="b"/>
        <c:crossAx val="200000010"/>
      </c:catAx>
      <c:valAx>
        <c:axId val="200000010"/>
        <c:scaling>
          <c:orientation val="minMax"/>
        </c:scaling>
        <c:delete val="0"/>
        <c:axPos val="l"/>
        <c:numFmt formatCode="#,##0" sourceLinked="0"/>
        <c:crossAx val="100000010"/>
      </c:valAx>
    </c:plotArea>
    <c:plotVisOnly val="1"/>
    <c:dispBlanksAs val="gap"/>
  </c:chart>
</c:chartSpace>
</file>

<file path=word/charts/chart2.xml><?xml version="1.0" encoding="utf-8"?>
<c:chartSpace xmlns:c="http://schemas.openxmlformats.org/drawingml/2006/chart" xmlns:a="http://schemas.openxmlformats.org/drawingml/2006/main" xmlns:r="http://schemas.openxmlformats.org/officeDocument/2006/relationships">
  <c:chart>
    <c:title>
      <c:tx>
        <c:rich>
          <a:bodyPr/>
          <a:p>
            <a:r>
              <a:rPr lang="es-MX" b="1" sz="1100"/>
              <a:t>Presupuesto de marketing: planeado vs. gastado (MXN)</a:t>
            </a:r>
          </a:p>
        </c:rich>
      </c:tx>
      <c:overlay val="0"/>
    </c:title>
    <c:autoTitleDeleted val="0"/>
    <c:plotArea>
      <c:layout/>
      <c:barChart>
        <c:barDir val="col"/>
        <c:grouping val="clustered"/>
        <c:varyColors val="1"/>
        <c:ser>
          <c:idx val="0"/>
          <c:order val="0"/>
          <c:tx>
            <c:strRef>
              <c:f>Datos!$B$1</c:f>
              <c:strCache>
                <c:ptCount val="1"/>
                <c:pt idx="0">
                  <c:v>Planeado (MXN)</c:v>
                </c:pt>
              </c:strCache>
            </c:strRef>
          </c:tx>
          <c:dPt>
            <c:idx val="0"/>
            <c:invertIfNegative val="0"/>
            <c:bubble3D val="0"/>
            <c:spPr>
              <a:solidFill>
                <a:srgbClr val="90A4AE"/>
              </a:solidFill>
            </c:spPr>
          </c:dPt>
          <c:dPt>
            <c:idx val="1"/>
            <c:invertIfNegative val="0"/>
            <c:bubble3D val="0"/>
            <c:spPr>
              <a:solidFill>
                <a:srgbClr val="90A4AE"/>
              </a:solidFill>
            </c:spPr>
          </c:dPt>
          <c:dPt>
            <c:idx val="2"/>
            <c:invertIfNegative val="0"/>
            <c:bubble3D val="0"/>
            <c:spPr>
              <a:solidFill>
                <a:srgbClr val="90A4AE"/>
              </a:solidFill>
            </c:spPr>
          </c:dPt>
          <c:dPt>
            <c:idx val="3"/>
            <c:invertIfNegative val="0"/>
            <c:bubble3D val="0"/>
            <c:spPr>
              <a:solidFill>
                <a:srgbClr val="90A4AE"/>
              </a:solidFill>
            </c:spPr>
          </c:dPt>
          <c:dLbls>
            <c:numFmt formatCode="#,##0" sourceLinked="0"/>
            <c:showLegendKey val="0"/>
            <c:showVal val="1"/>
            <c:showCatName val="0"/>
            <c:showSerName val="0"/>
            <c:showPercent val="0"/>
            <c:showBubbleSize val="0"/>
          </c:dLbls>
          <c:cat>
            <c:strRef>
              <c:f>Datos!$A$2:$A$5</c:f>
              <c:strCache>
                <c:ptCount val="4"/>
                <c:pt idx="0">
                  <c:v>Meta</c:v>
                </c:pt>
                <c:pt idx="1">
                  <c:v>Flyers</c:v>
                </c:pt>
                <c:pt idx="2">
                  <c:v>Lona</c:v>
                </c:pt>
                <c:pt idx="3">
                  <c:v>Insumos</c:v>
                </c:pt>
              </c:strCache>
            </c:strRef>
          </c:cat>
          <c:val>
            <c:numRef>
              <c:f>Datos!$B$2:$B$5</c:f>
              <c:numCache>
                <c:formatCode>#,##0</c:formatCode>
                <c:ptCount val="4"/>
                <c:pt idx="0">
                  <c:v>3500</c:v>
                </c:pt>
                <c:pt idx="1">
                  <c:v>500</c:v>
                </c:pt>
                <c:pt idx="2">
                  <c:v>800</c:v>
                </c:pt>
                <c:pt idx="3">
                  <c:v>500</c:v>
                </c:pt>
              </c:numCache>
            </c:numRef>
          </c:val>
        </c:ser>
        <c:gapWidth val="60"/>
        <c:axId val="100000020"/>
        <c:axId val="200000020"/>
      </c:barChart>
      <c:catAx>
        <c:axId val="100000020"/>
        <c:scaling>
          <c:orientation val="minMax"/>
        </c:scaling>
        <c:delete val="0"/>
        <c:axPos val="b"/>
        <c:crossAx val="200000020"/>
      </c:catAx>
      <c:valAx>
        <c:axId val="200000020"/>
        <c:scaling>
          <c:orientation val="minMax"/>
        </c:scaling>
        <c:delete val="0"/>
        <c:axPos val="l"/>
        <c:numFmt formatCode="#,##0" sourceLinked="0"/>
        <c:crossAx val="100000020"/>
      </c:valAx>
    </c:plotArea>
    <c:plotVisOnly val="1"/>
    <c:dispBlanksAs val="gap"/>
  </c:chart>
</c:chartSpace>
</file>

<file path=word/charts/chart3.xml><?xml version="1.0" encoding="utf-8"?>
<c:chartSpace xmlns:c="http://schemas.openxmlformats.org/drawingml/2006/chart" xmlns:a="http://schemas.openxmlformats.org/drawingml/2006/main" xmlns:r="http://schemas.openxmlformats.org/officeDocument/2006/relationships">
  <c:chart>
    <c:title>
      <c:tx>
        <c:rich>
          <a:bodyPr/>
          <a:p>
            <a:r>
              <a:rPr lang="es-MX" b="1" sz="1100"/>
              <a:t>Conversaciones por anuncio (Meta)</a:t>
            </a:r>
          </a:p>
        </c:rich>
      </c:tx>
      <c:overlay val="0"/>
    </c:title>
    <c:autoTitleDeleted val="0"/>
    <c:plotArea>
      <c:layout/>
      <c:barChart>
        <c:barDir val="col"/>
        <c:grouping val="clustered"/>
        <c:varyColors val="1"/>
        <c:ser>
          <c:idx val="0"/>
          <c:order val="0"/>
          <c:tx>
            <c:strRef>
              <c:f>Datos!$B$1</c:f>
              <c:strCache>
                <c:ptCount val="1"/>
                <c:pt idx="0">
                  <c:v>Conversaciones</c:v>
                </c:pt>
              </c:strCache>
            </c:strRef>
          </c:tx>
          <c:dPt>
            <c:idx val="0"/>
            <c:invertIfNegative val="0"/>
            <c:bubble3D val="0"/>
            <c:spPr>
              <a:solidFill>
                <a:srgbClr val="2E7D32"/>
              </a:solidFill>
            </c:spPr>
          </c:dPt>
          <c:dPt>
            <c:idx val="1"/>
            <c:invertIfNegative val="0"/>
            <c:bubble3D val="0"/>
            <c:spPr>
              <a:solidFill>
                <a:srgbClr val="2E7D32"/>
              </a:solidFill>
            </c:spPr>
          </c:dPt>
          <c:dPt>
            <c:idx val="2"/>
            <c:invertIfNegative val="0"/>
            <c:bubble3D val="0"/>
            <c:spPr>
              <a:solidFill>
                <a:srgbClr val="2E7D32"/>
              </a:solidFill>
            </c:spPr>
          </c:dPt>
          <c:dPt>
            <c:idx val="3"/>
            <c:invertIfNegative val="0"/>
            <c:bubble3D val="0"/>
            <c:spPr>
              <a:solidFill>
                <a:srgbClr val="2E7D32"/>
              </a:solidFill>
            </c:spPr>
          </c:dPt>
          <c:dLbls>
            <c:numFmt formatCode="General" sourceLinked="0"/>
            <c:showLegendKey val="0"/>
            <c:showVal val="1"/>
            <c:showCatName val="0"/>
            <c:showSerName val="0"/>
            <c:showPercent val="0"/>
            <c:showBubbleSize val="0"/>
          </c:dLbls>
          <c:cat>
            <c:strRef>
              <c:f>Datos!$A$2:$A$5</c:f>
              <c:strCache>
                <c:ptCount val="4"/>
                <c:pt idx="0">
                  <c:v>Reel</c:v>
                </c:pt>
                <c:pt idx="1">
                  <c:v>Post promocional</c:v>
                </c:pt>
                <c:pt idx="2">
                  <c:v>Post emergencia</c:v>
                </c:pt>
                <c:pt idx="3">
                  <c:v>Carrete</c:v>
                </c:pt>
              </c:strCache>
            </c:strRef>
          </c:cat>
          <c:val>
            <c:numRef>
              <c:f>Datos!$B$2:$B$5</c:f>
              <c:numCache>
                <c:formatCode>General</c:formatCode>
                <c:ptCount val="4"/>
                <c:pt idx="0">
                  <c:v>70</c:v>
                </c:pt>
                <c:pt idx="1">
                  <c:v>56</c:v>
                </c:pt>
                <c:pt idx="2">
                  <c:v>11</c:v>
                </c:pt>
                <c:pt idx="3">
                  <c:v>3</c:v>
                </c:pt>
              </c:numCache>
            </c:numRef>
          </c:val>
        </c:ser>
        <c:gapWidth val="60"/>
        <c:axId val="100000030"/>
        <c:axId val="200000030"/>
      </c:barChart>
      <c:catAx>
        <c:axId val="100000030"/>
        <c:scaling>
          <c:orientation val="minMax"/>
        </c:scaling>
        <c:delete val="0"/>
        <c:axPos val="b"/>
        <c:crossAx val="200000030"/>
      </c:catAx>
      <c:valAx>
        <c:axId val="200000030"/>
        <c:scaling>
          <c:orientation val="minMax"/>
        </c:scaling>
        <c:delete val="0"/>
        <c:axPos val="l"/>
        <c:numFmt formatCode="General" sourceLinked="0"/>
        <c:crossAx val="100000030"/>
      </c:valAx>
    </c:plotArea>
    <c:plotVisOnly val="1"/>
    <c:dispBlanksAs val="gap"/>
  </c:chart>
</c:chartSpace>
</file>

<file path=word/charts/chart4.xml><?xml version="1.0" encoding="utf-8"?>
<c:chartSpace xmlns:c="http://schemas.openxmlformats.org/drawingml/2006/chart" xmlns:a="http://schemas.openxmlformats.org/drawingml/2006/main" xmlns:r="http://schemas.openxmlformats.org/officeDocument/2006/relationships">
  <c:chart>
    <c:title>
      <c:tx>
        <c:rich>
          <a:bodyPr/>
          <a:p>
            <a:r>
              <a:rPr lang="es-MX" b="1" sz="1100"/>
              <a:t>Costo por conversación (CPL) por anuncio — MXN</a:t>
            </a:r>
          </a:p>
        </c:rich>
      </c:tx>
      <c:overlay val="0"/>
    </c:title>
    <c:autoTitleDeleted val="0"/>
    <c:plotArea>
      <c:layout/>
      <c:barChart>
        <c:barDir val="col"/>
        <c:grouping val="clustered"/>
        <c:varyColors val="1"/>
        <c:ser>
          <c:idx val="0"/>
          <c:order val="0"/>
          <c:tx>
            <c:strRef>
              <c:f>Datos!$B$1</c:f>
              <c:strCache>
                <c:ptCount val="1"/>
                <c:pt idx="0">
                  <c:v>CPL (MXN)</c:v>
                </c:pt>
              </c:strCache>
            </c:strRef>
          </c:tx>
          <c:dPt>
            <c:idx val="0"/>
            <c:invertIfNegative val="0"/>
            <c:bubble3D val="0"/>
            <c:spPr>
              <a:solidFill>
                <a:srgbClr val="FFA726"/>
              </a:solidFill>
            </c:spPr>
          </c:dPt>
          <c:dPt>
            <c:idx val="1"/>
            <c:invertIfNegative val="0"/>
            <c:bubble3D val="0"/>
            <c:spPr>
              <a:solidFill>
                <a:srgbClr val="FFA726"/>
              </a:solidFill>
            </c:spPr>
          </c:dPt>
          <c:dPt>
            <c:idx val="2"/>
            <c:invertIfNegative val="0"/>
            <c:bubble3D val="0"/>
            <c:spPr>
              <a:solidFill>
                <a:srgbClr val="FFA726"/>
              </a:solidFill>
            </c:spPr>
          </c:dPt>
          <c:dPt>
            <c:idx val="3"/>
            <c:invertIfNegative val="0"/>
            <c:bubble3D val="0"/>
            <c:spPr>
              <a:solidFill>
                <a:srgbClr val="FFA726"/>
              </a:solidFill>
            </c:spPr>
          </c:dPt>
          <c:dLbls>
            <c:numFmt formatCode="#,##0.00" sourceLinked="0"/>
            <c:showLegendKey val="0"/>
            <c:showVal val="1"/>
            <c:showCatName val="0"/>
            <c:showSerName val="0"/>
            <c:showPercent val="0"/>
            <c:showBubbleSize val="0"/>
          </c:dLbls>
          <c:cat>
            <c:strRef>
              <c:f>Datos!$A$2:$A$5</c:f>
              <c:strCache>
                <c:ptCount val="4"/>
                <c:pt idx="0">
                  <c:v>Reel</c:v>
                </c:pt>
                <c:pt idx="1">
                  <c:v>Post promocional</c:v>
                </c:pt>
                <c:pt idx="2">
                  <c:v>Post emergencia</c:v>
                </c:pt>
                <c:pt idx="3">
                  <c:v>Carrete</c:v>
                </c:pt>
              </c:strCache>
            </c:strRef>
          </c:cat>
          <c:val>
            <c:numRef>
              <c:f>Datos!$B$2:$B$5</c:f>
              <c:numCache>
                <c:formatCode>#,##0.00</c:formatCode>
                <c:ptCount val="4"/>
                <c:pt idx="0">
                  <c:v>23.41</c:v>
                </c:pt>
                <c:pt idx="1">
                  <c:v>27.37</c:v>
                </c:pt>
                <c:pt idx="2">
                  <c:v>22.68</c:v>
                </c:pt>
                <c:pt idx="3">
                  <c:v>25.99</c:v>
                </c:pt>
              </c:numCache>
            </c:numRef>
          </c:val>
        </c:ser>
        <c:gapWidth val="60"/>
        <c:axId val="100000040"/>
        <c:axId val="200000040"/>
      </c:barChart>
      <c:catAx>
        <c:axId val="100000040"/>
        <c:scaling>
          <c:orientation val="minMax"/>
        </c:scaling>
        <c:delete val="0"/>
        <c:axPos val="b"/>
        <c:crossAx val="200000040"/>
      </c:catAx>
      <c:valAx>
        <c:axId val="200000040"/>
        <c:scaling>
          <c:orientation val="minMax"/>
        </c:scaling>
        <c:delete val="0"/>
        <c:axPos val="l"/>
        <c:numFmt formatCode="#,##0.00" sourceLinked="0"/>
        <c:crossAx val="100000040"/>
      </c:valAx>
    </c:plotArea>
    <c:plotVisOnly val="1"/>
    <c:dispBlanksAs val="gap"/>
  </c:chart>
</c:chartSpace>
</file>

<file path=word/charts/chart5.xml><?xml version="1.0" encoding="utf-8"?>
<c:chartSpace xmlns:c="http://schemas.openxmlformats.org/drawingml/2006/chart" xmlns:a="http://schemas.openxmlformats.org/drawingml/2006/main" xmlns:r="http://schemas.openxmlformats.org/officeDocument/2006/relationships">
  <c:chart>
    <c:title>
      <c:tx>
        <c:rich>
          <a:bodyPr/>
          <a:p>
            <a:r>
              <a:rPr lang="es-MX" b="1" sz="1100"/>
              <a:t>Embudo comercial: conversaciones vs. inscritos</a:t>
            </a:r>
          </a:p>
        </c:rich>
      </c:tx>
      <c:overlay val="0"/>
    </c:title>
    <c:autoTitleDeleted val="0"/>
    <c:plotArea>
      <c:layout/>
      <c:barChart>
        <c:barDir val="col"/>
        <c:grouping val="clustered"/>
        <c:varyColors val="1"/>
        <c:ser>
          <c:idx val="0"/>
          <c:order val="0"/>
          <c:tx>
            <c:strRef>
              <c:f>Datos!$B$1</c:f>
              <c:strCache>
                <c:ptCount val="1"/>
                <c:pt idx="0">
                  <c:v>Personas</c:v>
                </c:pt>
              </c:strCache>
            </c:strRef>
          </c:tx>
          <c:dPt>
            <c:idx val="0"/>
            <c:invertIfNegative val="0"/>
            <c:bubble3D val="0"/>
            <c:spPr>
              <a:solidFill>
                <a:srgbClr val="42A5F5"/>
              </a:solidFill>
            </c:spPr>
          </c:dPt>
          <c:dPt>
            <c:idx val="1"/>
            <c:invertIfNegative val="0"/>
            <c:bubble3D val="0"/>
            <c:spPr>
              <a:solidFill>
                <a:srgbClr val="42A5F5"/>
              </a:solidFill>
            </c:spPr>
          </c:dPt>
          <c:dLbls>
            <c:numFmt formatCode="General" sourceLinked="0"/>
            <c:showLegendKey val="0"/>
            <c:showVal val="1"/>
            <c:showCatName val="0"/>
            <c:showSerName val="0"/>
            <c:showPercent val="0"/>
            <c:showBubbleSize val="0"/>
          </c:dLbls>
          <c:cat>
            <c:strRef>
              <c:f>Datos!$A$2:$A$3</c:f>
              <c:strCache>
                <c:ptCount val="2"/>
                <c:pt idx="0">
                  <c:v>Conversaciones</c:v>
                </c:pt>
                <c:pt idx="1">
                  <c:v>Inscritos</c:v>
                </c:pt>
              </c:strCache>
            </c:strRef>
          </c:cat>
          <c:val>
            <c:numRef>
              <c:f>Datos!$B$2:$B$3</c:f>
              <c:numCache>
                <c:formatCode>General</c:formatCode>
                <c:ptCount val="2"/>
                <c:pt idx="0">
                  <c:v>97</c:v>
                </c:pt>
                <c:pt idx="1">
                  <c:v>11</c:v>
                </c:pt>
              </c:numCache>
            </c:numRef>
          </c:val>
        </c:ser>
        <c:gapWidth val="60"/>
        <c:axId val="100000050"/>
        <c:axId val="200000050"/>
      </c:barChart>
      <c:catAx>
        <c:axId val="100000050"/>
        <c:scaling>
          <c:orientation val="minMax"/>
        </c:scaling>
        <c:delete val="0"/>
        <c:axPos val="b"/>
        <c:crossAx val="200000050"/>
      </c:catAx>
      <c:valAx>
        <c:axId val="200000050"/>
        <c:scaling>
          <c:orientation val="minMax"/>
        </c:scaling>
        <c:delete val="0"/>
        <c:axPos val="l"/>
        <c:numFmt formatCode="General" sourceLinked="0"/>
        <c:crossAx val="100000050"/>
      </c:valAx>
    </c:plotArea>
    <c:plotVisOnly val="1"/>
    <c:dispBlanksAs val="gap"/>
  </c:chart>
</c:chartSpace>
</file>

<file path=word/charts/chart6.xml><?xml version="1.0" encoding="utf-8"?>
<c:chartSpace xmlns:c="http://schemas.openxmlformats.org/drawingml/2006/chart" xmlns:a="http://schemas.openxmlformats.org/drawingml/2006/main" xmlns:r="http://schemas.openxmlformats.org/officeDocument/2006/relationships">
  <c:chart>
    <c:title>
      <c:tx>
        <c:rich>
          <a:bodyPr/>
          <a:p>
            <a:r>
              <a:rPr lang="es-MX" b="1" sz="1100"/>
              <a:t>Origen de los inscritos</a:t>
            </a:r>
          </a:p>
        </c:rich>
      </c:tx>
      <c:overlay val="0"/>
    </c:title>
    <c:autoTitleDeleted val="0"/>
    <c:plotArea>
      <c:layout/>
      <c:pieChart>
        <c:varyColors val="1"/>
        <c:ser>
          <c:idx val="0"/>
          <c:order val="0"/>
          <c:dPt>
            <c:idx val="0"/>
            <c:bubble3D val="0"/>
            <c:spPr>
              <a:solidFill>
                <a:srgbClr val="2E7D32"/>
              </a:solidFill>
            </c:spPr>
          </c:dPt>
          <c:dPt>
            <c:idx val="1"/>
            <c:bubble3D val="0"/>
            <c:spPr>
              <a:solidFill>
                <a:srgbClr val="66BB6A"/>
              </a:solidFill>
            </c:spPr>
          </c:dPt>
          <c:dPt>
            <c:idx val="2"/>
            <c:bubble3D val="0"/>
            <c:spPr>
              <a:solidFill>
                <a:srgbClr val="FFA726"/>
              </a:solidFill>
            </c:spPr>
          </c:dPt>
          <c:dPt>
            <c:idx val="3"/>
            <c:bubble3D val="0"/>
            <c:spPr>
              <a:solidFill>
                <a:srgbClr val="42A5F5"/>
              </a:solidFill>
            </c:spPr>
          </c:dPt>
          <c:dPt>
            <c:idx val="4"/>
            <c:bubble3D val="0"/>
            <c:spPr>
              <a:solidFill>
                <a:srgbClr val="AB47BC"/>
              </a:solidFill>
            </c:spPr>
          </c:dPt>
          <c:dLbls>
            <c:showLegendKey val="0"/>
            <c:showVal val="0"/>
            <c:showCatName val="1"/>
            <c:showSerName val="0"/>
            <c:showPercent val="1"/>
            <c:showBubbleSize val="0"/>
          </c:dLbls>
          <c:cat>
            <c:strRef>
              <c:f>Datos!$A$2:$A$6</c:f>
              <c:strCache>
                <c:ptCount val="5"/>
                <c:pt idx="0">
                  <c:v>Facebook</c:v>
                </c:pt>
                <c:pt idx="1">
                  <c:v>Instagram</c:v>
                </c:pt>
                <c:pt idx="2">
                  <c:v>Alumno Kugelman</c:v>
                </c:pt>
                <c:pt idx="3">
                  <c:v>Visitas escuelas</c:v>
                </c:pt>
                <c:pt idx="4">
                  <c:v>Recomendación</c:v>
                </c:pt>
              </c:strCache>
            </c:strRef>
          </c:cat>
          <c:val>
            <c:numRef>
              <c:f>Datos!$B$2:$B$6</c:f>
              <c:numCache>
                <c:formatCode>General</c:formatCode>
                <c:ptCount val="5"/>
                <c:pt idx="0">
                  <c:v>4</c:v>
                </c:pt>
                <c:pt idx="1">
                  <c:v>1</c:v>
                </c:pt>
                <c:pt idx="2">
                  <c:v>3</c:v>
                </c:pt>
                <c:pt idx="3">
                  <c:v>2</c:v>
                </c:pt>
                <c:pt idx="4">
                  <c:v>1</c:v>
                </c:pt>
              </c:numCache>
            </c:numRef>
          </c:val>
        </c:ser>
        <c:firstSliceAng val="0"/>
      </c:pieChart>
    </c:plotArea>
    <c:legend>
      <c:legendPos val="r"/>
      <c:overlay val="0"/>
    </c:legend>
    <c:plotVisOnly val="1"/>
    <c:dispBlanksAs val="gap"/>
  </c:chart>
</c:chartSpace>
</file>

<file path=word/charts/chart7.xml><?xml version="1.0" encoding="utf-8"?>
<c:chartSpace xmlns:c="http://schemas.openxmlformats.org/drawingml/2006/chart" xmlns:a="http://schemas.openxmlformats.org/drawingml/2006/main" xmlns:r="http://schemas.openxmlformats.org/officeDocument/2006/relationships">
  <c:chart>
    <c:title>
      <c:tx>
        <c:rich>
          <a:bodyPr/>
          <a:p>
            <a:r>
              <a:rPr lang="es-MX" b="1" sz="1100"/>
              <a:t>Ocupación: capacidad vs. inscritos</a:t>
            </a:r>
          </a:p>
        </c:rich>
      </c:tx>
      <c:overlay val="0"/>
    </c:title>
    <c:autoTitleDeleted val="0"/>
    <c:plotArea>
      <c:layout/>
      <c:barChart>
        <c:barDir val="col"/>
        <c:grouping val="clustered"/>
        <c:varyColors val="1"/>
        <c:ser>
          <c:idx val="0"/>
          <c:order val="0"/>
          <c:tx>
            <c:strRef>
              <c:f>Datos!$B$1</c:f>
              <c:strCache>
                <c:ptCount val="1"/>
                <c:pt idx="0">
                  <c:v>Alumnos</c:v>
                </c:pt>
              </c:strCache>
            </c:strRef>
          </c:tx>
          <c:dPt>
            <c:idx val="0"/>
            <c:invertIfNegative val="0"/>
            <c:bubble3D val="0"/>
            <c:spPr>
              <a:solidFill>
                <a:srgbClr val="AB47BC"/>
              </a:solidFill>
            </c:spPr>
          </c:dPt>
          <c:dPt>
            <c:idx val="1"/>
            <c:invertIfNegative val="0"/>
            <c:bubble3D val="0"/>
            <c:spPr>
              <a:solidFill>
                <a:srgbClr val="AB47BC"/>
              </a:solidFill>
            </c:spPr>
          </c:dPt>
          <c:dLbls>
            <c:numFmt formatCode="General" sourceLinked="0"/>
            <c:showLegendKey val="0"/>
            <c:showVal val="1"/>
            <c:showCatName val="0"/>
            <c:showSerName val="0"/>
            <c:showPercent val="0"/>
            <c:showBubbleSize val="0"/>
          </c:dLbls>
          <c:cat>
            <c:strRef>
              <c:f>Datos!$A$2:$A$3</c:f>
              <c:strCache>
                <c:ptCount val="2"/>
                <c:pt idx="0">
                  <c:v>Capacidad</c:v>
                </c:pt>
                <c:pt idx="1">
                  <c:v>Inscritos</c:v>
                </c:pt>
              </c:strCache>
            </c:strRef>
          </c:cat>
          <c:val>
            <c:numRef>
              <c:f>Datos!$B$2:$B$3</c:f>
              <c:numCache>
                <c:formatCode>General</c:formatCode>
                <c:ptCount val="2"/>
                <c:pt idx="0">
                  <c:v>30</c:v>
                </c:pt>
                <c:pt idx="1">
                  <c:v>11</c:v>
                </c:pt>
              </c:numCache>
            </c:numRef>
          </c:val>
        </c:ser>
        <c:gapWidth val="60"/>
        <c:axId val="100000070"/>
        <c:axId val="200000070"/>
      </c:barChart>
      <c:catAx>
        <c:axId val="100000070"/>
        <c:scaling>
          <c:orientation val="minMax"/>
        </c:scaling>
        <c:delete val="0"/>
        <c:axPos val="b"/>
        <c:crossAx val="200000070"/>
      </c:catAx>
      <c:valAx>
        <c:axId val="200000070"/>
        <c:scaling>
          <c:orientation val="minMax"/>
        </c:scaling>
        <c:delete val="0"/>
        <c:axPos val="l"/>
        <c:numFmt formatCode="General" sourceLinked="0"/>
        <c:crossAx val="100000070"/>
      </c:valAx>
    </c:plotArea>
    <c:plotVisOnly val="1"/>
    <c:dispBlanksAs val="gap"/>
  </c:chart>
</c:chartSpace>
</file>