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40"/>
      </w:pPr>
      <w:r>
        <w:rPr>
          <w:b/>
          <w:color w:val="2E75B6"/>
          <w:sz w:val="20"/>
          <w:szCs w:val="20"/>
        </w:rPr>
        <w:t xml:space="preserve">KUGELMAN ACADEMY · MARKETING Y COMERCIAL</w:t>
      </w:r>
    </w:p>
    <w:p>
      <w:pPr>
        <w:pStyle w:val="Title"/>
      </w:pPr>
      <w:r>
        <w:rPr/>
        <w:t xml:space="preserve">Avance comercial de octubre 2026</w:t>
      </w:r>
    </w:p>
    <w:p>
      <w:pPr>
        <w:pStyle w:val="Subtitle"/>
      </w:pPr>
      <w:r>
        <w:rPr/>
        <w:t xml:space="preserve">Para Dirección y Finanzas · datos al 23 de octubre</w:t>
      </w:r>
    </w:p>
    <w:tbl>
      <w:tblPr>
        <w:tblW w:w="5000" w:type="pct"/>
        <w:tblBorders>
          <w:top w:val="single" w:sz="4" w:color="2E75B6"/>
          <w:left w:val="single" w:sz="24" w:color="2E75B6"/>
          <w:bottom w:val="single" w:sz="4" w:color="2E75B6"/>
          <w:right w:val="single" w:sz="4" w:color="2E75B6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00"/>
      </w:tblGrid>
      <w:tr>
        <w:tc>
          <w:tcPr>
            <w:tcW w:w="5000" w:type="pct"/>
            <w:shd w:val="clear" w:color="auto" w:fill="EAF1FB"/>
          </w:tcPr>
          <w:p>
            <w:pPr>
              <w:spacing w:before="60" w:after="60"/>
            </w:pPr>
            <w:r>
              <w:rPr>
                <w:b/>
                <w:color w:val="2E75B6"/>
                <w:sz w:val="21"/>
                <w:szCs w:val="21"/>
              </w:rPr>
              <w:t xml:space="preserve">En una línea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clase muestra convence (58% de cierre) y la pauta trae conversaciones más baratas ($9.10), pero perdemos prospectos entre la conversación y la cita, y alumnos nuevos en sus primeras semanas. Pedimos mantener $5,000 de pauta en noviembre y enfocar el esfuerzo en agendar, confirmar, cerrar y retener.</w:t>
            </w:r>
          </w:p>
        </w:tc>
      </w:tr>
    </w:tbl>
    <w:p>
      <w:pPr>
        <w:spacing w:after="60"/>
      </w:pP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  <w:cantSplit/>
        </w:trPr>
        <w:tc>
          <w:tcPr>
            <w:tcW w:w="24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Inscripciones (1 al 23-oct)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Cierre tras clase muestra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Citas agendadas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Inversión Meta (4 al 23-oct)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58%</w:t>
            </w:r>
          </w:p>
        </w:tc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$3,356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Sept. 1 al 23: 26</w:t>
            </w:r>
          </w:p>
        </w:tc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Campaña sept.: 46%</w:t>
            </w:r>
          </w:p>
        </w:tc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 en oct. y 2 en nov.</w:t>
            </w:r>
          </w:p>
        </w:tc>
        <w:tc>
          <w:tcPr>
            <w:tcW w:w="2400" w:type="dxa"/>
            <w:shd w:val="clear" w:color="auto" w:fill="F3F6F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~$4,699 de $5,000 al cierre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Tres mensajes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El proceso después de la clase funciona.</w:t>
      </w:r>
      <w:r>
        <w:rPr/>
        <w:t xml:space="preserve"> 15 de 26 prospectos que asistieron se inscribieron, más que en septiembre. Esta semana se sumaron 3.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Faltan citas, no interesados.</w:t>
      </w:r>
      <w:r>
        <w:rPr/>
        <w:t xml:space="preserve"> Hay 47% más conversaciones por día que en septiembre, pero agendan ~11 de cada 100 (antes ~16), y uno de cada tres agendados no llega. Tenemos 12 prospectos que asistieron y no han decidido.</w:t>
      </w:r>
    </w:p>
    <w:p>
      <w:pPr>
        <w:pStyle w:val="ListBullet"/>
        <w:numPr>
          <w:ilvl w:val="0"/>
          <w:numId w:val="2"/>
        </w:numPr>
      </w:pPr>
      <w:r>
        <w:rPr>
          <w:b/>
        </w:rPr>
        <w:t xml:space="preserve">Retener vale más que captar.</w:t>
      </w:r>
      <w:r>
        <w:rPr/>
        <w:t xml:space="preserve"> Un alumno cuesta ~$224 de pauta y paga ~$698 al mes. Las bajas de octubre se llevaron $6,250 de los $10,900 que sumaron las altas.</w:t>
      </w:r>
    </w:p>
    <w:p>
      <w:pPr>
        <w:pStyle w:val="Heading3"/>
      </w:pPr>
      <w:r>
        <w:rPr/>
        <w:t xml:space="preserve">Lo que pedimos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Finanzas:</w:t>
      </w:r>
      <w:r>
        <w:rPr/>
        <w:t xml:space="preserve"> aprobar $5,000 de Meta Ads para noviembre (el mismo monto de siempre), dividido en familias, adultos de mañana y pruebas.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Dirección:</w:t>
      </w:r>
      <w:r>
        <w:rPr/>
        <w:t xml:space="preserve"> cubrir la atención de 18 a 20 h y sábados, y aprobar las metas de asistencia, cierre y retención.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Ambas:</w:t>
      </w:r>
      <w:r>
        <w:rPr/>
        <w:t xml:space="preserve"> beneficio de recomendación ($200) y costo docente de talleres y clases abiertas ($2,800 de noviembre a marzo).</w:t>
      </w:r>
    </w:p>
    <w:p>
      <w:pPr>
        <w:pStyle w:val="Heading1"/>
      </w:pPr>
      <w:r>
        <w:rPr/>
        <w:t xml:space="preserve">1. Avance de octubre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641"/>
        <w:gridCol w:w="1986"/>
        <w:gridCol w:w="1986"/>
        <w:gridCol w:w="1986"/>
      </w:tblGrid>
      <w:tr>
        <w:trPr>
          <w:tblHeader/>
          <w:cantSplit/>
        </w:trPr>
        <w:tc>
          <w:tcPr>
            <w:tcW w:w="3641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w="198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Campaña sept.</w:t>
            </w:r>
          </w:p>
        </w:tc>
        <w:tc>
          <w:tcPr>
            <w:tcW w:w="198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Sept. 1 al 23</w:t>
            </w:r>
          </w:p>
        </w:tc>
        <w:tc>
          <w:tcPr>
            <w:tcW w:w="198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Oct. 1 al 23</w:t>
            </w:r>
          </w:p>
        </w:tc>
      </w:tr>
      <w:tr>
        <w:trPr>
          <w:cantSplit/>
        </w:trPr>
        <w:tc>
          <w:tcPr>
            <w:tcW w:w="364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Clases muestra vencidas</w:t>
            </w:r>
          </w:p>
        </w:tc>
        <w:tc>
          <w:tcPr>
            <w:tcW w:w="19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88</w:t>
            </w:r>
          </w:p>
        </w:tc>
        <w:tc>
          <w:tcPr>
            <w:tcW w:w="19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w="19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39</w:t>
            </w:r>
          </w:p>
        </w:tc>
      </w:tr>
      <w:tr>
        <w:trPr>
          <w:cantSplit/>
        </w:trPr>
        <w:tc>
          <w:tcPr>
            <w:tcW w:w="364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Inscripciones</w:t>
            </w:r>
          </w:p>
        </w:tc>
        <w:tc>
          <w:tcPr>
            <w:tcW w:w="198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w="198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w="198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w="3641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Asistencia</w:t>
            </w:r>
          </w:p>
        </w:tc>
        <w:tc>
          <w:tcPr>
            <w:tcW w:w="19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76%</w:t>
            </w:r>
          </w:p>
        </w:tc>
        <w:tc>
          <w:tcPr>
            <w:tcW w:w="19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78%</w:t>
            </w:r>
          </w:p>
        </w:tc>
        <w:tc>
          <w:tcPr>
            <w:tcW w:w="198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67%</w:t>
            </w:r>
          </w:p>
        </w:tc>
      </w:tr>
      <w:tr>
        <w:trPr>
          <w:cantSplit/>
        </w:trPr>
        <w:tc>
          <w:tcPr>
            <w:tcW w:w="3641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Cierre tras clase muestra</w:t>
            </w:r>
          </w:p>
        </w:tc>
        <w:tc>
          <w:tcPr>
            <w:tcW w:w="198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46%</w:t>
            </w:r>
          </w:p>
        </w:tc>
        <w:tc>
          <w:tcPr>
            <w:tcW w:w="198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52%</w:t>
            </w:r>
          </w:p>
        </w:tc>
        <w:tc>
          <w:tcPr>
            <w:tcW w:w="198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58%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2160000"/>
            <wp:effectExtent l="0" t="0" r="0" b="0"/>
            <wp:docPr id="10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p>
      <w:pPr>
        <w:pStyle w:val="Caption"/>
      </w:pPr>
      <w:r>
        <w:rPr/>
        <w:t xml:space="preserve">La semana del 26-oct ya tiene 11 citas, la más alta de octubre.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Esta semana (19 al 23):</w:t>
      </w:r>
      <w:r>
        <w:rPr/>
        <w:t xml:space="preserve"> 3 inscripciones nuevas, 79 conversaciones más y la agenda pasó de 13 a 20 citas.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Menos volumen que septiembre:</w:t>
      </w:r>
      <w:r>
        <w:rPr/>
        <w:t xml:space="preserve"> 39 clases contra 64 en el mismo periodo. Septiembre tuvo el regreso a clases a favor.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Familias vs. adultos:</w:t>
      </w:r>
      <w:r>
        <w:rPr/>
        <w:t xml:space="preserve"> las familias convierten 53% de sus citas; los adultos 25%, con 9 de 20 que no llegaron.</w:t>
      </w:r>
    </w:p>
    <w:p>
      <w:pPr>
        <w:pStyle w:val="Heading1"/>
      </w:pPr>
      <w:r>
        <w:rPr/>
        <w:t xml:space="preserve">2. Inversión y propuesta para noviembre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20"/>
        <w:gridCol w:w="2080"/>
        <w:gridCol w:w="2400"/>
        <w:gridCol w:w="1600"/>
      </w:tblGrid>
      <w:tr>
        <w:trPr>
          <w:tblHeader/>
          <w:cantSplit/>
        </w:trPr>
        <w:tc>
          <w:tcPr>
            <w:tcW w:w="352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w="208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Campaña sept.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Octubre (4 al 23)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w="35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Costo por conversación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$12.39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$9.10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-27%</w:t>
            </w:r>
          </w:p>
        </w:tc>
      </w:tr>
      <w:tr>
        <w:trPr>
          <w:cantSplit/>
        </w:trPr>
        <w:tc>
          <w:tcPr>
            <w:tcW w:w="352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Conversaciones por día</w:t>
            </w:r>
          </w:p>
        </w:tc>
        <w:tc>
          <w:tcPr>
            <w:tcW w:w="208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12.6</w:t>
            </w:r>
          </w:p>
        </w:tc>
        <w:tc>
          <w:tcPr>
            <w:tcW w:w="24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18.4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+47%</w:t>
            </w:r>
          </w:p>
        </w:tc>
      </w:tr>
      <w:tr>
        <w:trPr>
          <w:cantSplit/>
        </w:trPr>
        <w:tc>
          <w:tcPr>
            <w:tcW w:w="35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Conversación → cita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16.1%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10.7%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-34%</w:t>
            </w:r>
          </w:p>
        </w:tc>
      </w:tr>
      <w:tr>
        <w:trPr>
          <w:cantSplit/>
        </w:trPr>
        <w:tc>
          <w:tcPr>
            <w:tcW w:w="352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9"/>
                <w:szCs w:val="19"/>
              </w:rPr>
              <w:t xml:space="preserve">Costo por inscripción</w:t>
            </w:r>
          </w:p>
        </w:tc>
        <w:tc>
          <w:tcPr>
            <w:tcW w:w="208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$304</w:t>
            </w:r>
          </w:p>
        </w:tc>
        <w:tc>
          <w:tcPr>
            <w:tcW w:w="24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$224 (aparente)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-26%</w:t>
            </w:r>
          </w:p>
        </w:tc>
      </w:tr>
    </w:tbl>
    <w:p>
      <w:pPr>
        <w:spacing w:after="40"/>
      </w:pPr>
    </w:p>
    <w:p>
      <w:pPr>
        <w:keepNext/>
        <w:spacing w:after="0"/>
        <w:jc w:val="center"/>
      </w:pPr>
      <w:r>
        <w:drawing>
          <wp:inline distT="0" distB="0" distL="0" distR="0">
            <wp:extent cx="5940000" cy="1980000"/>
            <wp:effectExtent l="0" t="0" r="0" b="0"/>
            <wp:docPr id="10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Style w:val="Caption"/>
      </w:pPr>
      <w:r>
        <w:rPr/>
        <w:t xml:space="preserve">Escenarios, no pronósticos: con los mismos $5,000, mejorar el proceso rinde más que subir a $7,000 sin cambiarlo.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00"/>
        <w:gridCol w:w="1163"/>
        <w:gridCol w:w="5236"/>
      </w:tblGrid>
      <w:tr>
        <w:trPr>
          <w:tblHeader/>
          <w:cantSplit/>
        </w:trPr>
        <w:tc>
          <w:tcPr>
            <w:tcW w:w="32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Propuesta noviembre</w:t>
            </w:r>
          </w:p>
        </w:tc>
        <w:tc>
          <w:tcPr>
            <w:tcW w:w="1163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w="523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Conjunto "Familias" (Kids, Junior, Parenthood)</w:t>
            </w:r>
          </w:p>
        </w:tc>
        <w:tc>
          <w:tcPr>
            <w:tcW w:w="1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$2,500</w:t>
            </w:r>
          </w:p>
        </w:tc>
        <w:tc>
          <w:tcPr>
            <w:tcW w:w="52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Mejor cierre (53% en octubre) y sin bajas tempranas. Mensaje: sábados y grupos con cupo.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Conjunto "Adultos - mañana"</w:t>
            </w:r>
          </w:p>
        </w:tc>
        <w:tc>
          <w:tcPr>
            <w:tcW w:w="1163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$2,000</w:t>
            </w:r>
          </w:p>
        </w:tc>
        <w:tc>
          <w:tcPr>
            <w:tcW w:w="52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Llena la franja con más lugares libres (42% de ocupación). Ya hay 4 adultos agendados entre semana en la mañana.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Pruebas de creativos nuevos</w:t>
            </w:r>
          </w:p>
        </w:tc>
        <w:tc>
          <w:tcPr>
            <w:tcW w:w="116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$500</w:t>
            </w:r>
          </w:p>
        </w:tc>
        <w:tc>
          <w:tcPr>
            <w:tcW w:w="52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Máximo 10%. Se pausa un anuncio si después de $150 cuesta el doble por conversación que el principal.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16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8"/>
                <w:szCs w:val="18"/>
              </w:rPr>
              <w:t xml:space="preserve">$5,000</w:t>
            </w:r>
          </w:p>
        </w:tc>
        <w:tc>
          <w:tcPr>
            <w:tcW w:w="523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8"/>
                <w:szCs w:val="18"/>
              </w:rPr>
              <w:t xml:space="preserve">Mismo monto habitual.</w:t>
            </w:r>
          </w:p>
        </w:tc>
      </w:tr>
    </w:tbl>
    <w:p>
      <w:pPr>
        <w:spacing w:after="40"/>
      </w:pPr>
    </w:p>
    <w:p>
      <w:pPr/>
      <w:r>
        <w:rPr>
          <w:sz w:val="19"/>
          <w:szCs w:val="19"/>
        </w:rPr>
        <w:t xml:space="preserve">Pediremos más presupuesto solo cuando la conversación a cita vuelva a 16% durante dos semanas. Para calcular el margen real necesitamos de Finanzas los costos fijos, la cobranza real y la política de descuentos.</w:t>
      </w:r>
    </w:p>
    <w:p>
      <w:pPr>
        <w:pStyle w:val="Heading1"/>
      </w:pPr>
      <w:r>
        <w:rPr/>
        <w:t xml:space="preserve">3. Seguimiento, acciones y decisiones</w:t>
      </w: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09"/>
        <w:gridCol w:w="6690"/>
      </w:tblGrid>
      <w:tr>
        <w:trPr>
          <w:tblHeader/>
          <w:cantSplit/>
        </w:trPr>
        <w:tc>
          <w:tcPr>
            <w:tcW w:w="290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Seguimiento</w:t>
            </w:r>
          </w:p>
        </w:tc>
        <w:tc>
          <w:tcPr>
            <w:tcW w:w="669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Estado al 23-oct</w:t>
            </w:r>
          </w:p>
        </w:tc>
      </w:tr>
      <w:tr>
        <w:trPr>
          <w:cantSplit/>
        </w:trPr>
        <w:tc>
          <w:tcPr>
            <w:tcW w:w="29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Citas agendadas</w:t>
            </w:r>
          </w:p>
        </w:tc>
        <w:tc>
          <w:tcPr>
            <w:tcW w:w="669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20 (23-oct a 7-nov): 10 familias, 10 adultos; ~8 inscripciones estimadas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Asistieron y no se inscribieron</w:t>
            </w:r>
          </w:p>
        </w:tc>
        <w:tc>
          <w:tcPr>
            <w:tcW w:w="66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12; llamadas de cierre del 24 al 28-oct</w:t>
            </w:r>
          </w:p>
        </w:tc>
      </w:tr>
      <w:tr>
        <w:trPr>
          <w:cantSplit/>
        </w:trPr>
        <w:tc>
          <w:tcPr>
            <w:tcW w:w="29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Inscritos por validar</w:t>
            </w:r>
          </w:p>
        </w:tc>
        <w:tc>
          <w:tcPr>
            <w:tcW w:w="669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Carlos Mercado, Luna Ángeles y Dylan López: confirmar pago y alta</w:t>
            </w:r>
          </w:p>
        </w:tc>
      </w:tr>
      <w:tr>
        <w:trPr>
          <w:cantSplit/>
        </w:trPr>
        <w:tc>
          <w:tcPr>
            <w:tcW w:w="29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Bajas (1 al 16-oct)</w:t>
            </w:r>
          </w:p>
        </w:tc>
        <w:tc>
          <w:tcPr>
            <w:tcW w:w="669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9; 4 con menos de 17 días; seguimiento en semana 1 y 3 desde el 26-oct</w:t>
            </w:r>
          </w:p>
        </w:tc>
      </w:tr>
      <w:tr>
        <w:trPr>
          <w:cantSplit/>
        </w:trPr>
        <w:tc>
          <w:tcPr>
            <w:tcW w:w="29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Lugares libres</w:t>
            </w:r>
          </w:p>
        </w:tc>
        <w:tc>
          <w:tcPr>
            <w:tcW w:w="669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147; la mañana tiene 70</w:t>
            </w:r>
          </w:p>
        </w:tc>
      </w:tr>
    </w:tbl>
    <w:p>
      <w:pPr>
        <w:spacing w:after="40"/>
      </w:pP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158"/>
        <w:gridCol w:w="2005"/>
        <w:gridCol w:w="1289"/>
        <w:gridCol w:w="1146"/>
      </w:tblGrid>
      <w:tr>
        <w:trPr>
          <w:tblHeader/>
          <w:cantSplit/>
        </w:trPr>
        <w:tc>
          <w:tcPr>
            <w:tcW w:w="5158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w="2005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w="128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w="114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7"/>
                <w:szCs w:val="17"/>
              </w:rPr>
              <w:t xml:space="preserve">Estatus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Control de clases muestra con nivel, agenda de noviembre y reporte automático por mes</w:t>
            </w:r>
          </w:p>
        </w:tc>
        <w:tc>
          <w:tcPr>
            <w:tcW w:w="2005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Octubre</w:t>
            </w:r>
          </w:p>
        </w:tc>
        <w:tc>
          <w:tcPr>
            <w:tcW w:w="1146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Herramientas: sistema de seguimiento, tablero, análisis de inversión, plan de estrategias y dashboard</w:t>
            </w:r>
          </w:p>
        </w:tc>
        <w:tc>
          <w:tcPr>
            <w:tcW w:w="2005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Marketing</w:t>
            </w:r>
          </w:p>
        </w:tc>
        <w:tc>
          <w:tcPr>
            <w:tcW w:w="1289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Octubre</w:t>
            </w:r>
          </w:p>
        </w:tc>
        <w:tc>
          <w:tcPr>
            <w:tcW w:w="1146" w:type="dxa"/>
            <w:shd w:val="clear" w:color="auto" w:fill="E2EFD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Agenda de 20 clases muestra (23-oct al 7-nov)</w:t>
            </w:r>
          </w:p>
        </w:tc>
        <w:tc>
          <w:tcPr>
            <w:tcW w:w="2005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Oct-nov</w:t>
            </w:r>
          </w:p>
        </w:tc>
        <w:tc>
          <w:tcPr>
            <w:tcW w:w="1146" w:type="dxa"/>
            <w:shd w:val="clear" w:color="auto" w:fill="DDEBF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En curso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Confirmar cada cita un día antes y el mismo día, con registro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Desde 24-oct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Llamada de cierre a los 12 que asistieron y no se inscribieron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24 al 28-oct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Confirmar pago y alta de Carlos Mercado, Luna Ángeles y Dylan López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Administración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24-oct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Usar el sistema de seguimiento con fecha de primer contacto y teléfono obligatorio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26-oct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Llamada en la semana 1 y 3 a cada alumno nuevo; llamar a las 4 bajas temporales</w:t>
            </w:r>
          </w:p>
        </w:tc>
        <w:tc>
          <w:tcPr>
            <w:tcW w:w="2005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 y Académico</w:t>
            </w:r>
          </w:p>
        </w:tc>
        <w:tc>
          <w:tcPr>
            <w:tcW w:w="1289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Desde 26-oct</w:t>
            </w:r>
          </w:p>
        </w:tc>
        <w:tc>
          <w:tcPr>
            <w:tcW w:w="1146" w:type="dxa"/>
            <w:shd w:val="clear" w:color="auto" w:fill="FFF2CC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 iniciar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Renovar la pauta (la campaña actual termina el 2-nov) en dos conjuntos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Marketing y Finanzas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2-nov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Primer mensaje con dos horarios con cupo, en lugar de solo información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Atención comercial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2-nov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Programa de recomendación de alumnos y padres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 y Finanzas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9-nov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5158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Alianzas con escuelas y clase abierta de sábado (21-nov)</w:t>
            </w:r>
          </w:p>
        </w:tc>
        <w:tc>
          <w:tcPr>
            <w:tcW w:w="2005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Comercial y Dirección</w:t>
            </w:r>
          </w:p>
        </w:tc>
        <w:tc>
          <w:tcPr>
            <w:tcW w:w="1289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Noviembre</w:t>
            </w:r>
          </w:p>
        </w:tc>
        <w:tc>
          <w:tcPr>
            <w:tcW w:w="1146" w:type="dxa"/>
            <w:shd w:val="clear" w:color="auto" w:fill="EDEDE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Propuesta</w:t>
            </w:r>
          </w:p>
        </w:tc>
      </w:tr>
    </w:tbl>
    <w:p>
      <w:pPr>
        <w:spacing w:after="40"/>
      </w:pPr>
    </w:p>
    <w:tbl>
      <w:tblPr>
        <w:tblW w:w="9600" w:type="dxa"/>
        <w:tblBorders>
          <w:top w:val="single" w:sz="4" w:color="BFBFBF"/>
          <w:bottom w:val="single" w:sz="4" w:color="BFBFBF"/>
          <w:insideH w:val="single" w:sz="4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36"/>
        <w:gridCol w:w="6109"/>
        <w:gridCol w:w="1600"/>
        <w:gridCol w:w="1454"/>
      </w:tblGrid>
      <w:tr>
        <w:trPr>
          <w:tblHeader/>
          <w:cantSplit/>
        </w:trPr>
        <w:tc>
          <w:tcPr>
            <w:tcW w:w="436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6109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w="1454" w:type="dxa"/>
            <w:shd w:val="clear" w:color="auto" w:fill="1F38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$5,000 de Meta Ads para noviembre: $2,500 familias, $2,000 adultos-mañana, $500 pruebas.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Cubrir la atención de mensajes y confirmaciones de 18 a 20 h y sábados por la mañana.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Aprobar las metas: asistencia 75%, cierre 55%, conversación → cita 16%, cero bajas antes de 30 días.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Antes del 2-nov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Beneficio de recomendación: $200 cuando el recomendado paga su segundo mes.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9-nov</w:t>
            </w:r>
          </w:p>
        </w:tc>
      </w:tr>
      <w:tr>
        <w:trPr>
          <w:cantSplit/>
        </w:trPr>
        <w:tc>
          <w:tcPr>
            <w:tcW w:w="4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610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Costo docente de 4 talleres en escuelas y 5 clases abiertas de sábado: $2,800 de noviembre a marzo.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 y Finanzas</w:t>
            </w:r>
          </w:p>
        </w:tc>
        <w:tc>
          <w:tcPr>
            <w:tcW w:w="14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9-nov</w:t>
            </w:r>
          </w:p>
        </w:tc>
      </w:tr>
      <w:tr>
        <w:trPr>
          <w:cantSplit/>
        </w:trPr>
        <w:tc>
          <w:tcPr>
            <w:tcW w:w="436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6109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Compartir costos fijos, cobranza real de septiembre y octubre, IVA de la pauta y política de descuentos.</w:t>
            </w:r>
          </w:p>
        </w:tc>
        <w:tc>
          <w:tcPr>
            <w:tcW w:w="1600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8"/>
                <w:szCs w:val="18"/>
              </w:rPr>
              <w:t xml:space="preserve">Finanzas</w:t>
            </w:r>
          </w:p>
        </w:tc>
        <w:tc>
          <w:tcPr>
            <w:tcW w:w="1454" w:type="dxa"/>
            <w:shd w:val="clear" w:color="auto" w:fill="F5F7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8"/>
                <w:szCs w:val="18"/>
              </w:rPr>
              <w:t xml:space="preserve">15-nov</w:t>
            </w:r>
          </w:p>
        </w:tc>
      </w:tr>
    </w:tbl>
    <w:p>
      <w:pPr>
        <w:spacing w:after="40"/>
      </w:pPr>
    </w:p>
    <w:sectPr>
      <w:headerReference w:type="default" r:id="rIdHeader1"/>
      <w:footerReference w:type="default" r:id="rIdFooter1"/>
      <w:pgSz w:w="12240" w:h="15840"/>
      <w:pgMar w:top="1200" w:right="1300" w:bottom="1100" w:left="1300" w:header="560" w:footer="500" w:gutter="0"/>
      <w:titlePg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7F7F7F"/>
      </w:rPr>
      <w:t xml:space="preserve">Página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BFBFBF"/>
      </w:pBdr>
      <w:jc w:val="right"/>
    </w:pPr>
    <w:r>
      <w:rPr>
        <w:color w:val="7F7F7F"/>
        <w:sz w:val="16"/>
        <w:szCs w:val="16"/>
      </w:rPr>
      <w:t xml:space="preserve">Kugelman Academy · Avance comercial de octubre · versión ejecutiva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color w:val="2E75B6"/>
      </w:r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color w:val="2E75B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color w:val="262626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</w:pPr>
    <w:rPr>
      <w:b/>
      <w:color w:val="1F3864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8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sz="8" w:space="4" w:color="1F3864"/>
      </w:pBdr>
      <w:spacing w:before="0" w:after="20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/>
      <w:outlineLvl w:val="1"/>
    </w:pPr>
    <w:rPr>
      <w:b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color w:val="404040"/>
      <w:sz w:val="22"/>
      <w:szCs w:val="22"/>
    </w:rPr>
  </w:style>
  <w:style w:type="paragraph" w:styleId="Caption">
    <w:name w:val="caption"/>
    <w:basedOn w:val="Normal"/>
    <w:next w:val="Normal"/>
    <w:qFormat/>
    <w:pPr>
      <w:spacing w:before="40" w:after="200"/>
    </w:pPr>
    <w:rPr>
      <w:i/>
      <w:color w:val="7F7F7F"/>
      <w:sz w:val="17"/>
      <w:szCs w:val="17"/>
    </w:rPr>
  </w:style>
  <w:style w:type="paragraph" w:styleId="ListBullet">
    <w:name w:val="List Bullet"/>
    <w:basedOn w:val="Normal"/>
    <w:next w:val="Normal"/>
    <w:qFormat/>
    <w:pPr>
      <w:spacing w:after="60"/>
      <w:ind w:left="360" w:hanging="360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Clases muestra por semana (incluye la agenda)</a:t>
            </a:r>
          </a:p>
        </c:rich>
      </c:tx>
      <c:overlay val="0"/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Inscritos</c:v>
                </c:pt>
              </c:strCache>
            </c:strRef>
          </c:tx>
          <c:spPr>
            <a:solidFill>
              <a:srgbClr val="70AD47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Hoja1!$B$2:$B$7</c:f>
              <c:numCache>
                <c:formatCode>#,##0</c:formatCode>
                <c:ptCount val="6"/>
                <c:pt idx="0">
                  <c:v>2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Asistió sin inscribirse</c:v>
                </c:pt>
              </c:strCache>
            </c:strRef>
          </c:tx>
          <c:spPr>
            <a:solidFill>
              <a:srgbClr val="9DC3E6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Hoja1!$C$2:$C$7</c:f>
              <c:numCache>
                <c:formatCode>#,##0</c:formatCode>
                <c:ptCount val="6"/>
                <c:pt idx="0">
                  <c:v>1</c:v>
                </c:pt>
                <c:pt idx="1">
                  <c:v>2</c:v>
                </c:pt>
                <c:pt idx="2">
                  <c:v>5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No asistió</c:v>
                </c:pt>
              </c:strCache>
            </c:strRef>
          </c:tx>
          <c:spPr>
            <a:solidFill>
              <a:srgbClr val="F4B183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Hoja1!$D$2:$D$7</c:f>
              <c:numCache>
                <c:formatCode>#,##0</c:formatCode>
                <c:ptCount val="6"/>
                <c:pt idx="0">
                  <c:v>0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Cita agendada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FFFFFF"/>
                    </a:solidFill>
                  </a:defRPr>
                </a:pPr>
                <a:endParaRPr lang="es-MX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Hoja1!$A$2:$A$7</c:f>
              <c:strCache>
                <c:ptCount val="6"/>
                <c:pt idx="0">
                  <c:v>28/09</c:v>
                </c:pt>
                <c:pt idx="1">
                  <c:v>05/10</c:v>
                </c:pt>
                <c:pt idx="2">
                  <c:v>12/10</c:v>
                </c:pt>
                <c:pt idx="3">
                  <c:v>19/10</c:v>
                </c:pt>
                <c:pt idx="4">
                  <c:v>26/10</c:v>
                </c:pt>
                <c:pt idx="5">
                  <c:v>02/11</c:v>
                </c:pt>
              </c:strCache>
            </c:strRef>
          </c:cat>
          <c:val>
            <c:numRef>
              <c:f>Hoja1!$E$2:$E$7</c:f>
              <c:numCache>
                <c:formatCode>#,##0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7</c:v>
                </c:pt>
                <c:pt idx="4">
                  <c:v>11</c:v>
                </c:pt>
                <c:pt idx="5">
                  <c:v>2</c:v>
                </c:pt>
              </c:numCache>
            </c:numRef>
          </c:val>
        </c:ser>
        <c:gapWidth val="40"/>
        <c:overlap val="100"/>
        <c:axId val="500000001"/>
        <c:axId val="500000002"/>
      </c:barChart>
      <c:catAx>
        <c:axId val="500000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E0E0E0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legend>
      <c:legendPos val="b"/>
      <c:overlay val="0"/>
      <c:txPr>
        <a:bodyPr/>
        <a:lstStyle/>
        <a:p>
          <a:pPr>
            <a:defRPr sz="900">
              <a:solidFill>
                <a:srgbClr val="595959"/>
              </a:solidFill>
            </a:defRPr>
          </a:pPr>
          <a:endParaRPr lang="es-MX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MX"/>
  <c:roundedCorners val="0"/>
  <c:chart>
    <c:title>
      <c:tx>
        <c:rich>
          <a:bodyPr/>
          <a:lstStyle/>
          <a:p>
            <a:pPr>
              <a:defRPr sz="1100" b="1">
                <a:solidFill>
                  <a:srgbClr val="404040"/>
                </a:solidFill>
              </a:defRPr>
            </a:pPr>
            <a:r>
              <a:rPr lang="es-MX" sz="1100" b="1">
                <a:solidFill>
                  <a:srgbClr val="404040"/>
                </a:solidFill>
              </a:rPr>
              <a:t>Inscripciones al mes según escenario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Inscripciones por mes</c:v>
                </c:pt>
              </c:strCache>
            </c:strRef>
          </c:tx>
          <c:spPr>
            <a:solidFill>
              <a:srgbClr val="1F3864"/>
            </a:solidFill>
          </c:spPr>
          <c:invertIfNegative val="0"/>
          <c:dPt>
            <c:idx val="0"/>
            <c:invertIfNegative val="0"/>
            <c:spPr>
              <a:solidFill>
                <a:srgbClr val="A5A5A5"/>
              </a:solidFill>
              <a:ln>
                <a:solidFill>
                  <a:srgbClr val="FFFFFF"/>
                </a:solidFill>
              </a:ln>
            </c:spPr>
          </c:dPt>
          <c:dPt>
            <c:idx val="1"/>
            <c:invertIfNegative val="0"/>
            <c:spPr>
              <a:solidFill>
                <a:srgbClr val="9DC3E6"/>
              </a:solidFill>
              <a:ln>
                <a:solidFill>
                  <a:srgbClr val="FFFFFF"/>
                </a:solidFill>
              </a:ln>
            </c:spPr>
          </c:dPt>
          <c:dPt>
            <c:idx val="2"/>
            <c:invertIfNegative val="0"/>
            <c:spPr>
              <a:solidFill>
                <a:srgbClr val="70AD47"/>
              </a:solidFill>
              <a:ln>
                <a:solidFill>
                  <a:srgbClr val="FFFFFF"/>
                </a:solidFill>
              </a:ln>
            </c:spPr>
          </c:dPt>
          <c:dPt>
            <c:idx val="3"/>
            <c:invertIfNegative val="0"/>
            <c:spPr>
              <a:solidFill>
                <a:srgbClr val="C55A11"/>
              </a:solidFill>
              <a:ln>
                <a:solidFill>
                  <a:srgbClr val="FFFFFF"/>
                </a:solidFill>
              </a:ln>
            </c:spPr>
          </c:dPt>
          <c:dLbls>
            <c:numFmt formatCode="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>
                    <a:solidFill>
                      <a:srgbClr val="404040"/>
                    </a:solidFill>
                  </a:defRPr>
                </a:pPr>
                <a:endParaRPr lang="es-MX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Hoja1!$A$2:$A$5</c:f>
              <c:strCache>
                <c:ptCount val="4"/>
                <c:pt idx="0">
                  <c:v>A. $5,000 proceso actual</c:v>
                </c:pt>
                <c:pt idx="1">
                  <c:v>B. $5,000 tasas de sept.</c:v>
                </c:pt>
                <c:pt idx="2">
                  <c:v>C. $5,000 metas propuestas</c:v>
                </c:pt>
                <c:pt idx="3">
                  <c:v>D. $7,000 proceso actual</c:v>
                </c:pt>
              </c:strCache>
            </c:strRef>
          </c:cat>
          <c:val>
            <c:numRef>
              <c:f>Hoja1!$B$2:$B$5</c:f>
              <c:numCache>
                <c:formatCode>0</c:formatCode>
                <c:ptCount val="4"/>
                <c:pt idx="0">
                  <c:v>22.5</c:v>
                </c:pt>
                <c:pt idx="1">
                  <c:v>31.1</c:v>
                </c:pt>
                <c:pt idx="2">
                  <c:v>36.3</c:v>
                </c:pt>
                <c:pt idx="3">
                  <c:v>31.5</c:v>
                </c:pt>
              </c:numCache>
            </c:numRef>
          </c:val>
        </c:ser>
        <c:gapWidth val="60"/>
        <c:overlap val="-10"/>
        <c:axId val="500000001"/>
        <c:axId val="500000002"/>
      </c:barChart>
      <c:catAx>
        <c:axId val="500000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6350">
            <a:solidFill>
              <a:srgbClr val="BFBFBF"/>
            </a:solidFill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2"/>
        <c:crosses val="autoZero"/>
        <c:auto val="1"/>
        <c:lblAlgn val="ctr"/>
        <c:lblOffset val="100"/>
        <c:noMultiLvlLbl val="0"/>
      </c:catAx>
      <c:valAx>
        <c:axId val="500000002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E0E0E0"/>
              </a:solidFill>
            </a:ln>
          </c:spPr>
        </c:majorGridlines>
        <c:numFmt formatCode="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>
                <a:solidFill>
                  <a:srgbClr val="595959"/>
                </a:solidFill>
              </a:defRPr>
            </a:pPr>
            <a:endParaRPr lang="es-MX"/>
          </a:p>
        </c:txPr>
        <c:crossAx val="500000001"/>
        <c:crosses val="autoZero"/>
        <c:crossBetween val="between"/>
      </c:valAx>
      <c:spPr>
        <a:noFill/>
      </c:spPr>
    </c:plotArea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>
          <a:latin typeface="Calibri"/>
        </a:defRPr>
      </a:pPr>
      <a:endParaRPr lang="es-MX"/>
    </a:p>
  </c:txPr>
  <c:externalData r:id="rId1">
    <c:autoUpdate val="0"/>
  </c:externalData>
</c:chartSpac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comercial de octubre - versión ejecutiva</dc:title>
  <dc:creator>Marketing y Comercial - Kugelman Academy</dc:creator>
  <dcterms:created xsi:type="dcterms:W3CDTF">2026-10-19T18:00:00Z</dcterms:created>
  <dcterms:modified xsi:type="dcterms:W3CDTF">2026-10-19T18:00:00Z</dcterms:modified>
</cp:coreProperties>
</file>