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embeddings/DatosGrafico1.xlsx" ContentType="application/vnd.openxmlformats-officedocument.spreadsheetml.sheet"/>
  <Override PartName="/word/charts/chart2.xml" ContentType="application/vnd.openxmlformats-officedocument.drawingml.chart+xml"/>
  <Override PartName="/word/embeddings/DatosGrafico2.xlsx" ContentType="application/vnd.openxmlformats-officedocument.spreadsheetml.sheet"/>
  <Override PartName="/word/charts/chart3.xml" ContentType="application/vnd.openxmlformats-officedocument.drawingml.chart+xml"/>
  <Override PartName="/word/embeddings/DatosGrafico3.xlsx" ContentType="application/vnd.openxmlformats-officedocument.spreadsheetml.sheet"/>
  <Override PartName="/word/charts/chart4.xml" ContentType="application/vnd.openxmlformats-officedocument.drawingml.chart+xml"/>
  <Override PartName="/word/embeddings/DatosGrafico4.xlsx" ContentType="application/vnd.openxmlformats-officedocument.spreadsheetml.sheet"/>
  <Override PartName="/word/charts/chart5.xml" ContentType="application/vnd.openxmlformats-officedocument.drawingml.chart+xml"/>
  <Override PartName="/word/embeddings/DatosGrafico5.xlsx" ContentType="application/vnd.openxmlformats-officedocument.spreadsheetml.sheet"/>
  <Override PartName="/word/charts/chart6.xml" ContentType="application/vnd.openxmlformats-officedocument.drawingml.chart+xml"/>
  <Override PartName="/word/embeddings/DatosGrafico6.xlsx" ContentType="application/vnd.openxmlformats-officedocument.spreadsheetml.sheet"/>
  <Override PartName="/word/charts/chart7.xml" ContentType="application/vnd.openxmlformats-officedocument.drawingml.chart+xml"/>
  <Override PartName="/word/embeddings/DatosGrafico7.xlsx" ContentType="application/vnd.openxmlformats-officedocument.spreadsheetml.sheet"/>
  <Override PartName="/word/charts/chart8.xml" ContentType="application/vnd.openxmlformats-officedocument.drawingml.chart+xml"/>
  <Override PartName="/word/embeddings/DatosGrafico8.xlsx" ContentType="application/vnd.openxmlformats-officedocument.spreadsheetml.shee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w:body>
    <w:p>
      <w:pPr>
        <w:spacing w:after="0"/>
      </w:pPr>
    </w:p>
    <w:p>
      <w:pPr>
        <w:spacing w:after="0"/>
      </w:pPr>
    </w:p>
    <w:p>
      <w:pPr>
        <w:spacing w:after="0"/>
      </w:pPr>
    </w:p>
    <w:p>
      <w:pPr>
        <w:jc w:val="left"/>
        <w:spacing w:after="40" w:line="264" w:lineRule="auto"/>
      </w:pPr>
      <w:r>
        <w:rPr>
          <w:b/>
          <w:color w:val="2E5C9A"/>
          <w:sz w:val="18"/>
          <w:szCs w:val="18"/>
        </w:rPr>
        <w:t xml:space="preserve">KUGELMAN ACADEMY</w:t>
      </w:r>
    </w:p>
    <w:p>
      <w:pPr>
        <w:pBdr>
          <w:bottom w:val="single" w:sz="18" w:color="1F3864"/>
        </w:pBdr>
        <w:spacing w:after="240"/>
      </w:pPr>
    </w:p>
    <w:p>
      <w:pPr>
        <w:jc w:val="left"/>
        <w:spacing w:after="0" w:line="264" w:lineRule="auto"/>
      </w:pPr>
      <w:r>
        <w:rPr>
          <w:b/>
          <w:color w:val="1F3864"/>
          <w:sz w:val="52"/>
          <w:szCs w:val="52"/>
        </w:rPr>
        <w:t xml:space="preserve">REPORTE DE CAMPAÑA</w:t>
      </w:r>
    </w:p>
    <w:p>
      <w:pPr>
        <w:jc w:val="left"/>
        <w:spacing w:after="160" w:line="264" w:lineRule="auto"/>
      </w:pPr>
      <w:r>
        <w:rPr>
          <w:b/>
          <w:color w:val="1F3864"/>
          <w:sz w:val="52"/>
          <w:szCs w:val="52"/>
        </w:rPr>
        <w:t xml:space="preserve">SEPTIEMBRE 2026</w:t>
      </w:r>
    </w:p>
    <w:p>
      <w:pPr>
        <w:jc w:val="left"/>
        <w:spacing w:after="320" w:line="264" w:lineRule="auto"/>
      </w:pPr>
      <w:r>
        <w:rPr>
          <w:color w:val="404040"/>
          <w:sz w:val="26"/>
          <w:szCs w:val="26"/>
        </w:rPr>
        <w:t xml:space="preserve">Marketing, captación y resultados comerciales</w:t>
      </w:r>
    </w:p>
    <w:p>
      <w:pPr>
        <w:spacing w:after="40"/>
      </w:pPr>
      <w:r>
        <w:rPr>
          <w:b/>
          <w:color w:val="262626"/>
          <w:sz w:val="20"/>
          <w:szCs w:val="20"/>
        </w:rPr>
        <w:t xml:space="preserve">Periodo de evaluación: </w:t>
      </w:r>
      <w:r>
        <w:rPr>
          <w:color w:val="262626"/>
          <w:sz w:val="20"/>
          <w:szCs w:val="20"/>
        </w:rPr>
        <w:t xml:space="preserve">21 de agosto – 4 de octubre de 2026</w:t>
      </w:r>
    </w:p>
    <w:p>
      <w:pPr>
        <w:spacing w:after="40"/>
      </w:pPr>
      <w:r>
        <w:rPr>
          <w:b/>
          <w:color w:val="262626"/>
          <w:sz w:val="20"/>
          <w:szCs w:val="20"/>
        </w:rPr>
        <w:t xml:space="preserve">Presupuesto asignado: </w:t>
      </w:r>
      <w:r>
        <w:rPr>
          <w:color w:val="262626"/>
          <w:sz w:val="20"/>
          <w:szCs w:val="20"/>
        </w:rPr>
        <w:t xml:space="preserve">$7,000 MXN</w:t>
      </w:r>
    </w:p>
    <w:p>
      <w:pPr>
        <w:spacing w:after="40"/>
      </w:pPr>
      <w:r>
        <w:rPr>
          <w:b/>
          <w:color w:val="262626"/>
          <w:sz w:val="20"/>
          <w:szCs w:val="20"/>
        </w:rPr>
        <w:t xml:space="preserve">Gasto real: </w:t>
      </w:r>
      <w:r>
        <w:rPr>
          <w:color w:val="262626"/>
          <w:sz w:val="20"/>
          <w:szCs w:val="20"/>
        </w:rPr>
        <w:t xml:space="preserve">$6,999.91 MXN  (100.0% del presupuesto)</w:t>
      </w:r>
    </w:p>
    <w:p>
      <w:pPr>
        <w:spacing w:after="40"/>
      </w:pPr>
      <w:r>
        <w:rPr>
          <w:b/>
          <w:color w:val="262626"/>
          <w:sz w:val="20"/>
          <w:szCs w:val="20"/>
        </w:rPr>
        <w:t xml:space="preserve">Inscripciones atribuibles a la campaña: </w:t>
      </w:r>
      <w:r>
        <w:rPr>
          <w:color w:val="262626"/>
          <w:sz w:val="20"/>
          <w:szCs w:val="20"/>
        </w:rPr>
        <w:t xml:space="preserve">23</w:t>
      </w:r>
    </w:p>
    <w:p>
      <w:pPr>
        <w:spacing w:after="40"/>
      </w:pPr>
      <w:r>
        <w:rPr>
          <w:b/>
          <w:color w:val="262626"/>
          <w:sz w:val="20"/>
          <w:szCs w:val="20"/>
        </w:rPr>
        <w:t xml:space="preserve">Costo de adquisición (CAC): </w:t>
      </w:r>
      <w:r>
        <w:rPr>
          <w:color w:val="262626"/>
          <w:sz w:val="20"/>
          <w:szCs w:val="20"/>
        </w:rPr>
        <w:t xml:space="preserve">$304.34</w:t>
      </w:r>
    </w:p>
    <w:p>
      <w:pPr>
        <w:spacing w:after="0"/>
      </w:pP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Alcance de este documento</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Analiza el esfuerzo completo de la campaña del 21 de agosto al 4 de octubre de 2026 como un solo periodo, cruzando las cuatro fuentes disponibles en el repositorio: la exportación de anuncios de Meta, el CRM de leads, la bitácora de clases muestra y el padrón de alumnos. Las bases operativas al corte del 3 de octubre (alumnos inscritos y prospectos en curso) son entregables independientes y no modifican el periodo de campaña.</w:t>
            </w:r>
          </w:p>
        </w:tc>
      </w:tr>
    </w:tbl>
    <w:p>
      <w:pPr>
        <w:jc w:val="both"/>
        <w:spacing w:after="0" w:line="264" w:lineRule="auto"/>
      </w:pPr>
      <w:r>
        <w:rPr>
          <w:color w:val="262626"/>
          <w:sz w:val="20"/>
          <w:szCs w:val="20"/>
        </w:rPr>
        <w:t xml:space="preserve"/>
      </w:r>
    </w:p>
    <w:p>
      <w:pPr>
        <w:spacing w:after="0"/>
      </w:pPr>
    </w:p>
    <w:p>
      <w:pPr>
        <w:jc w:val="both"/>
        <w:spacing w:after="100" w:line="264" w:lineRule="auto"/>
      </w:pPr>
      <w:r>
        <w:rPr>
          <w:color w:val="595959"/>
          <w:sz w:val="16"/>
          <w:szCs w:val="16"/>
        </w:rPr>
        <w:t xml:space="preserve">Documento totalmente editable. Todas las tablas son editables y cada gráfica está ligada a su tabla de datos (clic derecho › Editar datos). Las tablas fuente completas están en el archivo «Base Maestra Campaña Septiembre 2026.xlsx».</w:t>
      </w:r>
    </w:p>
    <w:p>
      <w:r>
        <w:br w:type="page"/>
      </w:r>
    </w:p>
    <w:p>
      <w:pPr>
        <w:pStyle w:val="Titulo1"/>
      </w:pPr>
      <w:r>
        <w:rPr>
          <w:b/>
          <w:color w:val="262626"/>
          <w:sz w:val="20"/>
          <w:szCs w:val="20"/>
        </w:rPr>
        <w:t xml:space="preserve">1. Resumen ejecutivo</w:t>
      </w:r>
    </w:p>
    <w:p>
      <w:pPr>
        <w:jc w:val="both"/>
        <w:spacing w:after="120" w:line="264" w:lineRule="auto"/>
      </w:pPr>
      <w:r>
        <w:rPr>
          <w:color w:val="262626"/>
          <w:sz w:val="20"/>
          <w:szCs w:val="20"/>
        </w:rPr>
        <w:t xml:space="preserve">Periodo 21 de agosto – 4 de octubre de 2026. La campaña consumió prácticamente todo el presupuesto asignado y generó un volumen de demanda alto y barato. El resultado comercial, en cambio, quedó limitado por un solo eslabón: el paso de la conversación inicial a la clase muestra agendada.</w:t>
      </w:r>
    </w:p>
    <w:tbl>
      <w:tblPr>
        <w:tblW w:w="9360" w:type="dxa"/>
        <w:tblBorders>
          <w:insideV w:val="single" w:sz="12" w:color="FFFFFF"/>
          <w:insideH w:val="single" w:sz="12" w:color="FFFFFF"/>
          <w:top w:val="single" w:sz="12" w:color="FFFFFF"/>
          <w:bottom w:val="single" w:sz="12" w:color="FFFFFF"/>
          <w:left w:val="single" w:sz="12" w:color="FFFFFF"/>
          <w:right w:val="single" w:sz="12" w:color="FFFFFF"/>
        </w:tblBorders>
        <w:tblLayout w:type="fixed"/>
      </w:tblPr>
      <w:tblGrid>
        <w:gridCol w:w="2340"/>
        <w:gridCol w:w="2340"/>
        <w:gridCol w:w="2340"/>
        <w:gridCol w:w="2340"/>
      </w:tblGrid>
      <w:tr>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GASTO REAL</w:t>
            </w:r>
          </w:p>
          <w:p>
            <w:pPr>
              <w:spacing w:after="0"/>
              <w:jc w:val="left"/>
            </w:pPr>
            <w:r>
              <w:rPr>
                <w:b/>
                <w:color w:val="1F3864"/>
                <w:sz w:val="30"/>
                <w:szCs w:val="30"/>
              </w:rPr>
              <w:t xml:space="preserve">$6,999.91</w:t>
            </w:r>
          </w:p>
          <w:p>
            <w:pPr>
              <w:spacing w:after="0"/>
            </w:pPr>
            <w:r>
              <w:rPr>
                <w:color w:val="7A7A7A"/>
                <w:sz w:val="13"/>
                <w:szCs w:val="13"/>
              </w:rPr>
              <w:t xml:space="preserve">100.0% del presupuesto</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IMPRESIONES</w:t>
            </w:r>
          </w:p>
          <w:p>
            <w:pPr>
              <w:spacing w:after="0"/>
              <w:jc w:val="left"/>
            </w:pPr>
            <w:r>
              <w:rPr>
                <w:b/>
                <w:color w:val="1F3864"/>
                <w:sz w:val="30"/>
                <w:szCs w:val="30"/>
              </w:rPr>
              <w:t xml:space="preserve">241,265</w:t>
            </w:r>
          </w:p>
          <w:p>
            <w:pPr>
              <w:spacing w:after="0"/>
            </w:pPr>
            <w:r>
              <w:rPr>
                <w:color w:val="7A7A7A"/>
                <w:sz w:val="13"/>
                <w:szCs w:val="13"/>
              </w:rPr>
              <w:t xml:space="preserve">CPM $29.01</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CONVERSACIONES</w:t>
            </w:r>
          </w:p>
          <w:p>
            <w:pPr>
              <w:spacing w:after="0"/>
              <w:jc w:val="left"/>
            </w:pPr>
            <w:r>
              <w:rPr>
                <w:b/>
                <w:color w:val="1F3864"/>
                <w:sz w:val="30"/>
                <w:szCs w:val="30"/>
              </w:rPr>
              <w:t xml:space="preserve">565</w:t>
            </w:r>
          </w:p>
          <w:p>
            <w:pPr>
              <w:spacing w:after="0"/>
            </w:pPr>
            <w:r>
              <w:rPr>
                <w:color w:val="7A7A7A"/>
                <w:sz w:val="13"/>
                <w:szCs w:val="13"/>
              </w:rPr>
              <w:t xml:space="preserve">$12.39 por conversación</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LEADS (PERSONAS)</w:t>
            </w:r>
          </w:p>
          <w:p>
            <w:pPr>
              <w:spacing w:after="0"/>
              <w:jc w:val="left"/>
            </w:pPr>
            <w:r>
              <w:rPr>
                <w:b/>
                <w:color w:val="1F3864"/>
                <w:sz w:val="30"/>
                <w:szCs w:val="30"/>
              </w:rPr>
              <w:t xml:space="preserve">477</w:t>
            </w:r>
          </w:p>
          <w:p>
            <w:pPr>
              <w:spacing w:after="0"/>
            </w:pPr>
            <w:r>
              <w:rPr>
                <w:color w:val="7A7A7A"/>
                <w:sz w:val="13"/>
                <w:szCs w:val="13"/>
              </w:rPr>
              <w:t xml:space="preserve">CPL $14.67</w:t>
            </w:r>
          </w:p>
        </w:tc>
      </w:tr>
    </w:tbl>
    <w:p>
      <w:pPr>
        <w:jc w:val="both"/>
        <w:spacing w:after="120" w:line="264" w:lineRule="auto"/>
      </w:pPr>
      <w:r>
        <w:rPr>
          <w:color w:val="262626"/>
          <w:sz w:val="20"/>
          <w:szCs w:val="20"/>
        </w:rPr>
        <w:t xml:space="preserve"/>
      </w:r>
    </w:p>
    <w:tbl>
      <w:tblPr>
        <w:tblW w:w="9360" w:type="dxa"/>
        <w:tblBorders>
          <w:insideV w:val="single" w:sz="12" w:color="FFFFFF"/>
          <w:insideH w:val="single" w:sz="12" w:color="FFFFFF"/>
          <w:top w:val="single" w:sz="12" w:color="FFFFFF"/>
          <w:bottom w:val="single" w:sz="12" w:color="FFFFFF"/>
          <w:left w:val="single" w:sz="12" w:color="FFFFFF"/>
          <w:right w:val="single" w:sz="12" w:color="FFFFFF"/>
        </w:tblBorders>
        <w:tblLayout w:type="fixed"/>
      </w:tblPr>
      <w:tblGrid>
        <w:gridCol w:w="2340"/>
        <w:gridCol w:w="2340"/>
        <w:gridCol w:w="2340"/>
        <w:gridCol w:w="2340"/>
      </w:tblGrid>
      <w:tr>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CM REALIZADAS</w:t>
            </w:r>
          </w:p>
          <w:p>
            <w:pPr>
              <w:spacing w:after="0"/>
              <w:jc w:val="left"/>
            </w:pPr>
            <w:r>
              <w:rPr>
                <w:b/>
                <w:color w:val="1F3864"/>
                <w:sz w:val="30"/>
                <w:szCs w:val="30"/>
              </w:rPr>
              <w:t xml:space="preserve">67</w:t>
            </w:r>
          </w:p>
          <w:p>
            <w:pPr>
              <w:spacing w:after="0"/>
            </w:pPr>
            <w:r>
              <w:rPr>
                <w:color w:val="7A7A7A"/>
                <w:sz w:val="13"/>
                <w:szCs w:val="13"/>
              </w:rPr>
              <w:t xml:space="preserve">de 91 agendadas</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INSCRIPCIONES</w:t>
            </w:r>
          </w:p>
          <w:p>
            <w:pPr>
              <w:spacing w:after="0"/>
              <w:jc w:val="left"/>
            </w:pPr>
            <w:r>
              <w:rPr>
                <w:b/>
                <w:color w:val="1F3864"/>
                <w:sz w:val="30"/>
                <w:szCs w:val="30"/>
              </w:rPr>
              <w:t xml:space="preserve">30</w:t>
            </w:r>
          </w:p>
          <w:p>
            <w:pPr>
              <w:spacing w:after="0"/>
            </w:pPr>
            <w:r>
              <w:rPr>
                <w:color w:val="7A7A7A"/>
                <w:sz w:val="13"/>
                <w:szCs w:val="13"/>
              </w:rPr>
              <w:t xml:space="preserve">23 atribuibles a campaña</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CIERRE TRAS CM</w:t>
            </w:r>
          </w:p>
          <w:p>
            <w:pPr>
              <w:spacing w:after="0"/>
              <w:jc w:val="left"/>
            </w:pPr>
            <w:r>
              <w:rPr>
                <w:b/>
                <w:color w:val="1F3864"/>
                <w:sz w:val="30"/>
                <w:szCs w:val="30"/>
              </w:rPr>
              <w:t xml:space="preserve">46.2%</w:t>
            </w:r>
          </w:p>
          <w:p>
            <w:pPr>
              <w:spacing w:after="0"/>
            </w:pPr>
            <w:r>
              <w:rPr>
                <w:color w:val="7A7A7A"/>
                <w:sz w:val="13"/>
                <w:szCs w:val="13"/>
              </w:rPr>
              <w:t xml:space="preserve">punto más fuerte</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CAC</w:t>
            </w:r>
          </w:p>
          <w:p>
            <w:pPr>
              <w:spacing w:after="0"/>
              <w:jc w:val="left"/>
            </w:pPr>
            <w:r>
              <w:rPr>
                <w:b/>
                <w:color w:val="1F3864"/>
                <w:sz w:val="30"/>
                <w:szCs w:val="30"/>
              </w:rPr>
              <w:t xml:space="preserve">$304.34</w:t>
            </w:r>
          </w:p>
          <w:p>
            <w:pPr>
              <w:spacing w:after="0"/>
            </w:pPr>
            <w:r>
              <w:rPr>
                <w:color w:val="7A7A7A"/>
                <w:sz w:val="13"/>
                <w:szCs w:val="13"/>
              </w:rPr>
              <w:t xml:space="preserve">sobre 23 atribuibles</w:t>
            </w:r>
          </w:p>
        </w:tc>
      </w:tr>
    </w:tbl>
    <w:p>
      <w:pPr>
        <w:jc w:val="both"/>
        <w:spacing w:after="120" w:line="264" w:lineRule="auto"/>
      </w:pPr>
      <w:r>
        <w:rPr>
          <w:color w:val="262626"/>
          <w:sz w:val="20"/>
          <w:szCs w:val="20"/>
        </w:rPr>
        <w:t xml:space="preserve"/>
      </w:r>
    </w:p>
    <w:p>
      <w:pPr>
        <w:pStyle w:val="Titulo2"/>
      </w:pPr>
      <w:r>
        <w:rPr>
          <w:b/>
          <w:color w:val="262626"/>
          <w:sz w:val="20"/>
          <w:szCs w:val="20"/>
        </w:rPr>
        <w:t xml:space="preserve">1.1 Dashboard ejecutivo</w:t>
      </w:r>
    </w:p>
    <w:p>
      <w:pPr>
        <w:spacing w:before="80" w:after="60"/>
      </w:pPr>
      <w:r>
        <w:rPr>
          <w:b/>
          <w:color w:val="2E5C9A"/>
          <w:sz w:val="18"/>
          <w:szCs w:val="18"/>
        </w:rPr>
        <w:t xml:space="preserve">Tabla 1. Dashboard ejecutivo de la campaña (21 ago – 4 oct 2026)</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3500"/>
        <w:gridCol w:w="2100"/>
        <w:gridCol w:w="3760"/>
      </w:tblGrid>
      <w:tr>
        <w:trPr>
          <w:tblHeader/>
          <w:cantSplit/>
        </w:trPr>
        <w:tc>
          <w:tcPr>
            <w:tcW w:w="35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Indicador</w:t>
            </w:r>
          </w:p>
        </w:tc>
        <w:tc>
          <w:tcPr>
            <w:tcW w:w="2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Campaña Septiembre 2026</w:t>
            </w:r>
          </w:p>
        </w:tc>
        <w:tc>
          <w:tcPr>
            <w:tcW w:w="3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Cómo se calcula / fuente</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Presupuesto asignado</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$7,000</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Dato de Dirección</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real</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$6,999.91</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Meta Ads — 8 anuncios</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 de presupuesto utilizado</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100.0%</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presupuesto</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Alcance (personas)</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75,110 – 97,823</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Meta no exportó alcance único de campaña</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Impresiones</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241,265</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Meta Ads</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Frecuencia</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2.47 – 3.21</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Impresiones / alcance</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Conversaciones iniciadas</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565</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Resultado optimizado de Meta</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Leads / prospectos (personas únicas)</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477</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CRM deduplicado</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Registros capturados en el CRM</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499</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22 duplicados fusionados</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solicitadas</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No disponible</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existe campo de solicitud en las fuentes</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CM agendadas</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91</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de clases muestra</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realizadas</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67</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Resultado Inscrito o Show</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 atribuibles</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23</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Con lead identificado en el CRM</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 → CM agendada</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19.1%</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agendadas / leads</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CM realizada → Inscripción</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46.2%</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 / personas con CM realizada</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 → Inscripción</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6.3%</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Inscripciones / leads</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Costo por lead</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$14.67</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leads</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Costo por CM agendada</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$76.92</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CM agendadas</w:t>
            </w:r>
          </w:p>
        </w:tc>
      </w:tr>
      <w:tr>
        <w:tc>
          <w:tcPr>
            <w:tcW w:w="3500" w:type="dxa"/>
            <w:tcMar>
              <w:top w:w="60" w:type="dxa"/>
              <w:bottom w:w="60" w:type="dxa"/>
              <w:left w:w="90" w:type="dxa"/>
              <w:right w:w="90" w:type="dxa"/>
            </w:tcMar>
            <w:vAlign w:val="center"/>
          </w:tcPr>
          <w:p>
            <w:pPr>
              <w:spacing w:after="0" w:line="240" w:lineRule="auto"/>
              <w:jc w:val="left"/>
            </w:pPr>
            <w:r>
              <w:rPr>
                <w:color w:val="262626"/>
                <w:sz w:val="18"/>
                <w:szCs w:val="18"/>
              </w:rPr>
              <w:t xml:space="preserve">Costo por CM realizada</w:t>
            </w:r>
          </w:p>
        </w:tc>
        <w:tc>
          <w:tcPr>
            <w:tcW w:w="2100" w:type="dxa"/>
            <w:tcMar>
              <w:top w:w="60" w:type="dxa"/>
              <w:bottom w:w="60" w:type="dxa"/>
              <w:left w:w="90" w:type="dxa"/>
              <w:right w:w="90" w:type="dxa"/>
            </w:tcMar>
            <w:vAlign w:val="center"/>
          </w:tcPr>
          <w:p>
            <w:pPr>
              <w:spacing w:after="0" w:line="240" w:lineRule="auto"/>
              <w:jc w:val="right"/>
            </w:pPr>
            <w:r>
              <w:rPr>
                <w:color w:val="262626"/>
                <w:sz w:val="18"/>
                <w:szCs w:val="18"/>
              </w:rPr>
              <w:t xml:space="preserve">$104.48</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CM realizadas</w:t>
            </w:r>
          </w:p>
        </w:tc>
      </w:tr>
      <w:tr>
        <w:tc>
          <w:tcPr>
            <w:tcW w:w="3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CAC</w:t>
            </w:r>
          </w:p>
        </w:tc>
        <w:tc>
          <w:tcPr>
            <w:tcW w:w="2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$304.34</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23 inscripciones atribuibles</w:t>
            </w:r>
          </w:p>
        </w:tc>
      </w:tr>
    </w:tbl>
    <w:p>
      <w:pPr>
        <w:jc w:val="both"/>
        <w:spacing w:after="60" w:line="264" w:lineRule="auto"/>
      </w:pPr>
      <w:r>
        <w:rPr>
          <w:color w:val="262626"/>
          <w:sz w:val="20"/>
          <w:szCs w:val="20"/>
        </w:rPr>
        <w:t xml:space="preserve"/>
      </w:r>
    </w:p>
    <w:p>
      <w:pPr>
        <w:jc w:val="both"/>
        <w:spacing w:after="100" w:line="264" w:lineRule="auto"/>
      </w:pPr>
      <w:r>
        <w:rPr>
          <w:color w:val="595959"/>
          <w:sz w:val="16"/>
          <w:szCs w:val="16"/>
        </w:rPr>
        <w:t xml:space="preserve">Los dos indicadores marcados como rango o no disponibles se explican en la sección 11: Meta no exportó un alcance único a nivel campaña y las fuentes no distinguen una clase muestra «solicitada» de una «agendada».</w:t>
      </w:r>
    </w:p>
    <w:p>
      <w:pPr>
        <w:pStyle w:val="Titulo2"/>
      </w:pPr>
      <w:r>
        <w:rPr>
          <w:b/>
          <w:color w:val="262626"/>
          <w:sz w:val="20"/>
          <w:szCs w:val="20"/>
        </w:rPr>
        <w:t xml:space="preserve">1.2 Conclusiones ejecutivas</w:t>
      </w:r>
    </w:p>
    <w:p>
      <w:pPr>
        <w:pStyle w:val="Titulo3"/>
      </w:pPr>
      <w:r>
        <w:rPr>
          <w:b/>
          <w:color w:val="262626"/>
          <w:sz w:val="20"/>
          <w:szCs w:val="20"/>
        </w:rPr>
        <w:t xml:space="preserve">1. La campaña compró demanda de forma eficiente</w:t>
      </w:r>
    </w:p>
    <w:p>
      <w:pPr>
        <w:jc w:val="both"/>
        <w:spacing w:after="120" w:line="264" w:lineRule="auto"/>
      </w:pPr>
      <w:r>
        <w:rPr>
          <w:color w:val="262626"/>
          <w:sz w:val="20"/>
          <w:szCs w:val="20"/>
        </w:rPr>
        <w:t xml:space="preserve">Con $6,999.91 de inversión se generaron 565 conversaciones y 477 prospectos identificables, a $14.67 por persona. Para una academia de idiomas con ticket recurrente, ese costo de entrada es bajo: el problema de esta campaña no fue conseguir interesados.</w:t>
      </w:r>
    </w:p>
    <w:p>
      <w:pPr>
        <w:pStyle w:val="Titulo3"/>
      </w:pPr>
      <w:r>
        <w:rPr>
          <w:b/>
          <w:color w:val="262626"/>
          <w:sz w:val="20"/>
          <w:szCs w:val="20"/>
        </w:rPr>
        <w:t xml:space="preserve">2. El cuello de botella está entre el lead y la clase muestra, no en la pauta ni en el cierre</w:t>
      </w:r>
    </w:p>
    <w:p>
      <w:pPr>
        <w:jc w:val="both"/>
        <w:spacing w:after="120" w:line="264" w:lineRule="auto"/>
      </w:pPr>
      <w:r>
        <w:rPr>
          <w:color w:val="262626"/>
          <w:sz w:val="20"/>
          <w:szCs w:val="20"/>
        </w:rPr>
        <w:t xml:space="preserve">De 477 personas interesadas solo 87 llegaron a tener clase muestra (19.1%). En cambio, 73.6% de las clases agendadas se realizaron y 46.2% de quienes asistieron se inscribieron. El embudo se rompe en un solo punto, y es un punto de operación comercial, no de marketing.</w:t>
      </w:r>
    </w:p>
    <w:p>
      <w:pPr>
        <w:pStyle w:val="Titulo3"/>
      </w:pPr>
      <w:r>
        <w:rPr>
          <w:b/>
          <w:color w:val="262626"/>
          <w:sz w:val="20"/>
          <w:szCs w:val="20"/>
        </w:rPr>
        <w:t xml:space="preserve">3. La clase muestra es el activo comercial más rentable de la academia</w:t>
      </w:r>
    </w:p>
    <w:p>
      <w:pPr>
        <w:jc w:val="both"/>
        <w:spacing w:after="120" w:line="264" w:lineRule="auto"/>
      </w:pPr>
      <w:r>
        <w:rPr>
          <w:color w:val="262626"/>
          <w:sz w:val="20"/>
          <w:szCs w:val="20"/>
        </w:rPr>
        <w:t xml:space="preserve">Cada clase muestra realizada costó $104.48 de pauta y produjo 0.45 inscripciones. Es la palanca con mayor retorno: cualquier acción que incremente clases muestra se traduce casi directamente en inscripciones, sin necesidad de más presupuesto.</w:t>
      </w:r>
    </w:p>
    <w:p>
      <w:pPr>
        <w:pStyle w:val="Titulo3"/>
      </w:pPr>
      <w:r>
        <w:rPr>
          <w:b/>
          <w:color w:val="262626"/>
          <w:sz w:val="20"/>
          <w:szCs w:val="20"/>
        </w:rPr>
        <w:t xml:space="preserve">4. Un solo creativo sostuvo la campaña completa</w:t>
      </w:r>
    </w:p>
    <w:p>
      <w:pPr>
        <w:jc w:val="both"/>
        <w:spacing w:after="120" w:line="264" w:lineRule="auto"/>
      </w:pPr>
      <w:r>
        <w:rPr>
          <w:color w:val="262626"/>
          <w:sz w:val="20"/>
          <w:szCs w:val="20"/>
        </w:rPr>
        <w:t xml:space="preserve">El reel «video villas» absorbió 70.0% del gasto y produjo 86.9% de las conversaciones a $9.98 cada una, frente a $38.67 del promedio de los otros seis anuncios. Es una fortaleza que hay que explotar y, al mismo tiempo, una dependencia que hay que diversificar.</w:t>
      </w:r>
    </w:p>
    <w:p>
      <w:pPr>
        <w:pStyle w:val="Titulo3"/>
      </w:pPr>
      <w:r>
        <w:rPr>
          <w:b/>
          <w:color w:val="262626"/>
          <w:sz w:val="20"/>
          <w:szCs w:val="20"/>
        </w:rPr>
        <w:t xml:space="preserve">5. Hay un inventario de prospectos ya pagados sin trabajar</w:t>
      </w:r>
    </w:p>
    <w:p>
      <w:pPr>
        <w:jc w:val="both"/>
        <w:spacing w:after="120" w:line="264" w:lineRule="auto"/>
      </w:pPr>
      <w:r>
        <w:rPr>
          <w:color w:val="262626"/>
          <w:sz w:val="20"/>
          <w:szCs w:val="20"/>
        </w:rPr>
        <w:t xml:space="preserve">Al corte del 3 de octubre, 463 oportunidades siguen abiertas y 284 de ellas están en etapa de descubrimiento con 15 días o más sin ningún registro de movimiento. Recuperarlas no requiere inversión publicitaria nueva.</w:t>
      </w:r>
    </w:p>
    <w:p>
      <w:r>
        <w:br w:type="page"/>
      </w:r>
    </w:p>
    <w:p>
      <w:pPr>
        <w:pStyle w:val="Titulo1"/>
      </w:pPr>
      <w:r>
        <w:rPr>
          <w:b/>
          <w:color w:val="262626"/>
          <w:sz w:val="20"/>
          <w:szCs w:val="20"/>
        </w:rPr>
        <w:t xml:space="preserve">2. Periodo y contexto de la campaña</w:t>
      </w:r>
    </w:p>
    <w:p>
      <w:pPr>
        <w:spacing w:before="80" w:after="60"/>
      </w:pPr>
      <w:r>
        <w:rPr>
          <w:b/>
          <w:color w:val="2E5C9A"/>
          <w:sz w:val="18"/>
          <w:szCs w:val="18"/>
        </w:rPr>
        <w:t xml:space="preserve">Tabla 2. Ficha de la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600"/>
        <w:gridCol w:w="6760"/>
      </w:tblGrid>
      <w:tr>
        <w:trPr>
          <w:tblHeader/>
          <w:cantSplit/>
        </w:trPr>
        <w:tc>
          <w:tcPr>
            <w:tcW w:w="26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Concepto</w:t>
            </w:r>
          </w:p>
        </w:tc>
        <w:tc>
          <w:tcPr>
            <w:tcW w:w="6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Definición</w:t>
            </w:r>
          </w:p>
        </w:tc>
      </w:tr>
      <w:tr>
        <w:tc>
          <w:tcPr>
            <w:tcW w:w="2600" w:type="dxa"/>
            <w:tcMar>
              <w:top w:w="60" w:type="dxa"/>
              <w:bottom w:w="60" w:type="dxa"/>
              <w:left w:w="90" w:type="dxa"/>
              <w:right w:w="90" w:type="dxa"/>
            </w:tcMar>
            <w:vAlign w:val="center"/>
          </w:tcPr>
          <w:p>
            <w:pPr>
              <w:spacing w:after="0" w:line="240" w:lineRule="auto"/>
              <w:jc w:val="left"/>
            </w:pPr>
            <w:r>
              <w:rPr>
                <w:color w:val="262626"/>
                <w:sz w:val="18"/>
                <w:szCs w:val="18"/>
              </w:rPr>
              <w:t xml:space="preserve">Nombre</w:t>
            </w:r>
          </w:p>
        </w:tc>
        <w:tc>
          <w:tcPr>
            <w:tcW w:w="6760" w:type="dxa"/>
            <w:tcMar>
              <w:top w:w="60" w:type="dxa"/>
              <w:bottom w:w="60" w:type="dxa"/>
              <w:left w:w="90" w:type="dxa"/>
              <w:right w:w="90" w:type="dxa"/>
            </w:tcMar>
            <w:vAlign w:val="center"/>
          </w:tcPr>
          <w:p>
            <w:pPr>
              <w:spacing w:after="0" w:line="240" w:lineRule="auto"/>
              <w:jc w:val="left"/>
            </w:pPr>
            <w:r>
              <w:rPr>
                <w:color w:val="262626"/>
                <w:sz w:val="18"/>
                <w:szCs w:val="18"/>
              </w:rPr>
              <w:t xml:space="preserve">Campaña Septiembre 2026</w:t>
            </w:r>
          </w:p>
        </w:tc>
      </w:tr>
      <w:tr>
        <w:tc>
          <w:tcPr>
            <w:tcW w:w="2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Inicio</w:t>
            </w:r>
          </w:p>
        </w:tc>
        <w:tc>
          <w:tcPr>
            <w:tcW w:w="6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21 de agosto de 2026</w:t>
            </w:r>
          </w:p>
        </w:tc>
      </w:tr>
      <w:tr>
        <w:tc>
          <w:tcPr>
            <w:tcW w:w="2600" w:type="dxa"/>
            <w:tcMar>
              <w:top w:w="60" w:type="dxa"/>
              <w:bottom w:w="60" w:type="dxa"/>
              <w:left w:w="90" w:type="dxa"/>
              <w:right w:w="90" w:type="dxa"/>
            </w:tcMar>
            <w:vAlign w:val="center"/>
          </w:tcPr>
          <w:p>
            <w:pPr>
              <w:spacing w:after="0" w:line="240" w:lineRule="auto"/>
              <w:jc w:val="left"/>
            </w:pPr>
            <w:r>
              <w:rPr>
                <w:color w:val="262626"/>
                <w:sz w:val="18"/>
                <w:szCs w:val="18"/>
              </w:rPr>
              <w:t xml:space="preserve">Fin</w:t>
            </w:r>
          </w:p>
        </w:tc>
        <w:tc>
          <w:tcPr>
            <w:tcW w:w="6760" w:type="dxa"/>
            <w:tcMar>
              <w:top w:w="60" w:type="dxa"/>
              <w:bottom w:w="60" w:type="dxa"/>
              <w:left w:w="90" w:type="dxa"/>
              <w:right w:w="90" w:type="dxa"/>
            </w:tcMar>
            <w:vAlign w:val="center"/>
          </w:tcPr>
          <w:p>
            <w:pPr>
              <w:spacing w:after="0" w:line="240" w:lineRule="auto"/>
              <w:jc w:val="left"/>
            </w:pPr>
            <w:r>
              <w:rPr>
                <w:color w:val="262626"/>
                <w:sz w:val="18"/>
                <w:szCs w:val="18"/>
              </w:rPr>
              <w:t xml:space="preserve">4 de octubre de 2026</w:t>
            </w:r>
          </w:p>
        </w:tc>
      </w:tr>
      <w:tr>
        <w:tc>
          <w:tcPr>
            <w:tcW w:w="2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Duración</w:t>
            </w:r>
          </w:p>
        </w:tc>
        <w:tc>
          <w:tcPr>
            <w:tcW w:w="6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45 días</w:t>
            </w:r>
          </w:p>
        </w:tc>
      </w:tr>
      <w:tr>
        <w:tc>
          <w:tcPr>
            <w:tcW w:w="2600" w:type="dxa"/>
            <w:tcMar>
              <w:top w:w="60" w:type="dxa"/>
              <w:bottom w:w="60" w:type="dxa"/>
              <w:left w:w="90" w:type="dxa"/>
              <w:right w:w="90" w:type="dxa"/>
            </w:tcMar>
            <w:vAlign w:val="center"/>
          </w:tcPr>
          <w:p>
            <w:pPr>
              <w:spacing w:after="0" w:line="240" w:lineRule="auto"/>
              <w:jc w:val="left"/>
            </w:pPr>
            <w:r>
              <w:rPr>
                <w:color w:val="262626"/>
                <w:sz w:val="18"/>
                <w:szCs w:val="18"/>
              </w:rPr>
              <w:t xml:space="preserve">Presupuesto asignado</w:t>
            </w:r>
          </w:p>
        </w:tc>
        <w:tc>
          <w:tcPr>
            <w:tcW w:w="6760" w:type="dxa"/>
            <w:tcMar>
              <w:top w:w="60" w:type="dxa"/>
              <w:bottom w:w="60" w:type="dxa"/>
              <w:left w:w="90" w:type="dxa"/>
              <w:right w:w="90" w:type="dxa"/>
            </w:tcMar>
            <w:vAlign w:val="center"/>
          </w:tcPr>
          <w:p>
            <w:pPr>
              <w:spacing w:after="0" w:line="240" w:lineRule="auto"/>
              <w:jc w:val="left"/>
            </w:pPr>
            <w:r>
              <w:rPr>
                <w:color w:val="262626"/>
                <w:sz w:val="18"/>
                <w:szCs w:val="18"/>
              </w:rPr>
              <w:t xml:space="preserve">$7,000 MXN</w:t>
            </w:r>
          </w:p>
        </w:tc>
      </w:tr>
      <w:tr>
        <w:tc>
          <w:tcPr>
            <w:tcW w:w="2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Conjunto de anuncios</w:t>
            </w:r>
          </w:p>
        </w:tc>
        <w:tc>
          <w:tcPr>
            <w:tcW w:w="6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«campaña agosto A» (un solo conjunto, presupuesto a nivel campaña)</w:t>
            </w:r>
          </w:p>
        </w:tc>
      </w:tr>
      <w:tr>
        <w:tc>
          <w:tcPr>
            <w:tcW w:w="2600" w:type="dxa"/>
            <w:tcMar>
              <w:top w:w="60" w:type="dxa"/>
              <w:bottom w:w="60" w:type="dxa"/>
              <w:left w:w="90" w:type="dxa"/>
              <w:right w:w="90" w:type="dxa"/>
            </w:tcMar>
            <w:vAlign w:val="center"/>
          </w:tcPr>
          <w:p>
            <w:pPr>
              <w:spacing w:after="0" w:line="240" w:lineRule="auto"/>
              <w:jc w:val="left"/>
            </w:pPr>
            <w:r>
              <w:rPr>
                <w:color w:val="262626"/>
                <w:sz w:val="18"/>
                <w:szCs w:val="18"/>
              </w:rPr>
              <w:t xml:space="preserve">Anuncios activos</w:t>
            </w:r>
          </w:p>
        </w:tc>
        <w:tc>
          <w:tcPr>
            <w:tcW w:w="6760" w:type="dxa"/>
            <w:tcMar>
              <w:top w:w="60" w:type="dxa"/>
              <w:bottom w:w="60" w:type="dxa"/>
              <w:left w:w="90" w:type="dxa"/>
              <w:right w:w="90" w:type="dxa"/>
            </w:tcMar>
            <w:vAlign w:val="center"/>
          </w:tcPr>
          <w:p>
            <w:pPr>
              <w:spacing w:after="0" w:line="240" w:lineRule="auto"/>
              <w:jc w:val="left"/>
            </w:pPr>
            <w:r>
              <w:rPr>
                <w:color w:val="262626"/>
                <w:sz w:val="18"/>
                <w:szCs w:val="18"/>
              </w:rPr>
              <w:t xml:space="preserve">8 creativos</w:t>
            </w:r>
          </w:p>
        </w:tc>
      </w:tr>
      <w:tr>
        <w:tc>
          <w:tcPr>
            <w:tcW w:w="2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Objetivo de la pauta</w:t>
            </w:r>
          </w:p>
        </w:tc>
        <w:tc>
          <w:tcPr>
            <w:tcW w:w="6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Conversaciones de mensaje (Messenger / WhatsApp / Instagram Direct)</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2.1 Línea de tiempo</w:t>
      </w:r>
    </w:p>
    <w:tbl>
      <w:tblPr>
        <w:tblW w:w="9360" w:type="dxa"/>
        <w:tblBorders>
          <w:insideH w:val="single" w:sz="12" w:color="FFFFFF"/>
          <w:insideV w:val="single" w:sz="8" w:color="FFFFFF"/>
        </w:tblBorders>
        <w:tblLayout w:type="fixed"/>
      </w:tblPr>
      <w:tblGrid>
        <w:gridCol w:w="2000"/>
        <w:gridCol w:w="6200"/>
        <w:gridCol w:w="1160"/>
      </w:tblGrid>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21 – 31 AGO</w:t>
            </w:r>
          </w:p>
        </w:tc>
        <w:tc>
          <w:tcPr>
            <w:tcW w:w="1612"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Arranque · 101 leads · 6 CM · 3 inscripciones</w:t>
            </w:r>
          </w:p>
        </w:tc>
        <w:tc>
          <w:tcPr>
            <w:tcW w:w="4588"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11 días</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SEPTIEMBRE</w:t>
            </w:r>
          </w:p>
        </w:tc>
        <w:tc>
          <w:tcPr>
            <w:tcW w:w="6200"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Periodo principal · 359 leads · 80 CM · 28 inscripciones</w:t>
            </w: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30 días</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1 – 4 OCT</w:t>
            </w:r>
          </w:p>
        </w:tc>
        <w:tc>
          <w:tcPr>
            <w:tcW w:w="992"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Cierre · 17 leads · 5 CM · 1 inscripciones</w:t>
            </w:r>
          </w:p>
        </w:tc>
        <w:tc>
          <w:tcPr>
            <w:tcW w:w="5208"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4 días</w:t>
            </w:r>
          </w:p>
        </w:tc>
      </w:tr>
    </w:tbl>
    <w:p>
      <w:pPr>
        <w:jc w:val="both"/>
        <w:spacing w:after="120" w:line="264" w:lineRule="auto"/>
      </w:pPr>
      <w:r>
        <w:rPr>
          <w:color w:val="262626"/>
          <w:sz w:val="20"/>
          <w:szCs w:val="20"/>
        </w:rPr>
        <w:t xml:space="preserve"/>
      </w:r>
    </w:p>
    <w:p>
      <w:pPr>
        <w:jc w:val="both"/>
        <w:spacing w:after="120" w:line="264" w:lineRule="auto"/>
      </w:pPr>
      <w:r>
        <w:rPr>
          <w:color w:val="262626"/>
          <w:sz w:val="20"/>
          <w:szCs w:val="20"/>
        </w:rPr>
        <w:t xml:space="preserve">Los últimos once días de agosto funcionaron como arranque de la pauta, septiembre fue el periodo principal de captación y operación, y los primeros cuatro días de octubre fueron el cierre. Las tres fases pertenecen al mismo esfuerzo y no deben leerse como campañas independientes: la métrica principal de este reporte es siempre el acumulado 21 de agosto – 4 de octubre de 2026.</w:t>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Criterio de atribución temporal</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Un prospecto captado el 28 de agosto que tomó su clase muestra el 3 de septiembre y se inscribió después forma parte de esta campaña. Igualmente, un prospecto de septiembre que concretó su clase o su inscripción entre el 1 y el 4 de octubre se contabiliza aquí. Las clases muestra se cuentan por la fecha de la clase y los leads por la fecha de primer contacto; 5 registros del CRM (19 y 20 de agosto) quedan dos días antes del inicio de la pauta y están identificados por separado en la Base Maestra.</w:t>
            </w:r>
          </w:p>
        </w:tc>
      </w:tr>
    </w:tbl>
    <w:p>
      <w:pPr>
        <w:jc w:val="both"/>
        <w:spacing w:after="0" w:line="264" w:lineRule="auto"/>
      </w:pPr>
      <w:r>
        <w:rPr>
          <w:color w:val="262626"/>
          <w:sz w:val="20"/>
          <w:szCs w:val="20"/>
        </w:rPr>
        <w:t xml:space="preserve"/>
      </w:r>
    </w:p>
    <w:p>
      <w:r>
        <w:br w:type="page"/>
      </w:r>
    </w:p>
    <w:p>
      <w:pPr>
        <w:pStyle w:val="Titulo1"/>
      </w:pPr>
      <w:r>
        <w:rPr>
          <w:b/>
          <w:color w:val="262626"/>
          <w:sz w:val="20"/>
          <w:szCs w:val="20"/>
        </w:rPr>
        <w:t xml:space="preserve">3. Metodología, atribución y homologación de registros</w:t>
      </w:r>
    </w:p>
    <w:p>
      <w:pPr>
        <w:jc w:val="both"/>
        <w:spacing w:after="120" w:line="264" w:lineRule="auto"/>
      </w:pPr>
      <w:r>
        <w:rPr>
          <w:color w:val="262626"/>
          <w:sz w:val="20"/>
          <w:szCs w:val="20"/>
        </w:rPr>
        <w:t xml:space="preserve">El análisis no trata cada base por separado: reconstruye el recorrido completo Publicidad → Lead → Seguimiento → Clase muestra → Inscripción, relacionando a la misma persona a través de las cuatro fuentes.</w:t>
      </w:r>
    </w:p>
    <w:p>
      <w:pPr>
        <w:pStyle w:val="Titulo2"/>
      </w:pPr>
      <w:r>
        <w:rPr>
          <w:b/>
          <w:color w:val="262626"/>
          <w:sz w:val="20"/>
          <w:szCs w:val="20"/>
        </w:rPr>
        <w:t xml:space="preserve">3.1 Identificación de personas y eliminación de duplicados</w:t>
      </w:r>
    </w:p>
    <w:p>
      <w:pPr>
        <w:jc w:val="both"/>
        <w:spacing w:after="120" w:line="264" w:lineRule="auto"/>
      </w:pPr>
      <w:r>
        <w:rPr>
          <w:color w:val="262626"/>
          <w:sz w:val="20"/>
          <w:szCs w:val="20"/>
        </w:rPr>
        <w:t xml:space="preserve">Se normalizaron nombres (minúsculas, sin acentos ni signos) y teléfonos (últimos 10 dígitos) y se aplicaron reglas deterministas, documentadas una a una para que cualquier fusión sea auditable:</w:t>
      </w:r>
    </w:p>
    <w:p>
      <w:pPr>
        <w:spacing w:before="80" w:after="60"/>
      </w:pPr>
      <w:r>
        <w:rPr>
          <w:b/>
          <w:color w:val="2E5C9A"/>
          <w:sz w:val="18"/>
          <w:szCs w:val="18"/>
        </w:rPr>
        <w:t xml:space="preserve">Tabla 3. Reglas de deduplicación aplicadas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700"/>
        <w:gridCol w:w="4900"/>
        <w:gridCol w:w="3760"/>
      </w:tblGrid>
      <w:tr>
        <w:trPr>
          <w:tblHeader/>
          <w:cantSplit/>
        </w:trPr>
        <w:tc>
          <w:tcPr>
            <w:tcW w:w="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Regla</w:t>
            </w:r>
          </w:p>
        </w:tc>
        <w:tc>
          <w:tcPr>
            <w:tcW w:w="4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Criterio</w:t>
            </w:r>
          </w:p>
        </w:tc>
        <w:tc>
          <w:tcPr>
            <w:tcW w:w="3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Decisión</w:t>
            </w:r>
          </w:p>
        </w:tc>
      </w:tr>
      <w:tr>
        <w:tc>
          <w:tcPr>
            <w:tcW w:w="700" w:type="dxa"/>
            <w:tcMar>
              <w:top w:w="60" w:type="dxa"/>
              <w:bottom w:w="60" w:type="dxa"/>
              <w:left w:w="90" w:type="dxa"/>
              <w:right w:w="90" w:type="dxa"/>
            </w:tcMar>
            <w:vAlign w:val="center"/>
          </w:tcPr>
          <w:p>
            <w:pPr>
              <w:spacing w:after="0" w:line="240" w:lineRule="auto"/>
              <w:jc w:val="left"/>
            </w:pPr>
            <w:r>
              <w:rPr>
                <w:color w:val="262626"/>
                <w:sz w:val="18"/>
                <w:szCs w:val="18"/>
              </w:rPr>
              <w:t xml:space="preserve">R1</w:t>
            </w:r>
          </w:p>
        </w:tc>
        <w:tc>
          <w:tcPr>
            <w:tcW w:w="4900" w:type="dxa"/>
            <w:tcMar>
              <w:top w:w="60" w:type="dxa"/>
              <w:bottom w:w="60" w:type="dxa"/>
              <w:left w:w="90" w:type="dxa"/>
              <w:right w:w="90" w:type="dxa"/>
            </w:tcMar>
            <w:vAlign w:val="center"/>
          </w:tcPr>
          <w:p>
            <w:pPr>
              <w:spacing w:after="0" w:line="240" w:lineRule="auto"/>
              <w:jc w:val="left"/>
            </w:pPr>
            <w:r>
              <w:rPr>
                <w:color w:val="262626"/>
                <w:sz w:val="18"/>
                <w:szCs w:val="18"/>
              </w:rPr>
              <w:t xml:space="preserve">Mismo teléfono y mismo nombre normalizado</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Misma persona — se fusiona</w:t>
            </w:r>
          </w:p>
        </w:tc>
      </w:tr>
      <w:tr>
        <w:tc>
          <w:tcPr>
            <w:tcW w:w="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R2</w:t>
            </w:r>
          </w:p>
        </w:tc>
        <w:tc>
          <w:tcPr>
            <w:tcW w:w="4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Mismo teléfono y un nombre contenido en el otro o muy similar</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Misma persona — se fusiona</w:t>
            </w:r>
          </w:p>
        </w:tc>
      </w:tr>
      <w:tr>
        <w:tc>
          <w:tcPr>
            <w:tcW w:w="700" w:type="dxa"/>
            <w:tcMar>
              <w:top w:w="60" w:type="dxa"/>
              <w:bottom w:w="60" w:type="dxa"/>
              <w:left w:w="90" w:type="dxa"/>
              <w:right w:w="90" w:type="dxa"/>
            </w:tcMar>
            <w:vAlign w:val="center"/>
          </w:tcPr>
          <w:p>
            <w:pPr>
              <w:spacing w:after="0" w:line="240" w:lineRule="auto"/>
              <w:jc w:val="left"/>
            </w:pPr>
            <w:r>
              <w:rPr>
                <w:color w:val="262626"/>
                <w:sz w:val="18"/>
                <w:szCs w:val="18"/>
              </w:rPr>
              <w:t xml:space="preserve">R3</w:t>
            </w:r>
          </w:p>
        </w:tc>
        <w:tc>
          <w:tcPr>
            <w:tcW w:w="4900" w:type="dxa"/>
            <w:tcMar>
              <w:top w:w="60" w:type="dxa"/>
              <w:bottom w:w="60" w:type="dxa"/>
              <w:left w:w="90" w:type="dxa"/>
              <w:right w:w="90" w:type="dxa"/>
            </w:tcMar>
            <w:vAlign w:val="center"/>
          </w:tcPr>
          <w:p>
            <w:pPr>
              <w:spacing w:after="0" w:line="240" w:lineRule="auto"/>
              <w:jc w:val="left"/>
            </w:pPr>
            <w:r>
              <w:rPr>
                <w:color w:val="262626"/>
                <w:sz w:val="18"/>
                <w:szCs w:val="18"/>
              </w:rPr>
              <w:t xml:space="preserve">Mismo nombre completo (2+ palabras) y ningún teléfono que lo contradiga</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Misma persona — se fusiona</w:t>
            </w:r>
          </w:p>
        </w:tc>
      </w:tr>
      <w:tr>
        <w:tc>
          <w:tcPr>
            <w:tcW w:w="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R4</w:t>
            </w:r>
          </w:p>
        </w:tc>
        <w:tc>
          <w:tcPr>
            <w:tcW w:w="4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Mismo teléfono con nombres distintos</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Personas distintas — se vinculan como mismo hogar/contacto</w:t>
            </w:r>
          </w:p>
        </w:tc>
      </w:tr>
      <w:tr>
        <w:tc>
          <w:tcPr>
            <w:tcW w:w="700" w:type="dxa"/>
            <w:tcMar>
              <w:top w:w="60" w:type="dxa"/>
              <w:bottom w:w="60" w:type="dxa"/>
              <w:left w:w="90" w:type="dxa"/>
              <w:right w:w="90" w:type="dxa"/>
            </w:tcMar>
            <w:vAlign w:val="center"/>
          </w:tcPr>
          <w:p>
            <w:pPr>
              <w:spacing w:after="0" w:line="240" w:lineRule="auto"/>
              <w:jc w:val="left"/>
            </w:pPr>
            <w:r>
              <w:rPr>
                <w:color w:val="262626"/>
                <w:sz w:val="18"/>
                <w:szCs w:val="18"/>
              </w:rPr>
              <w:t xml:space="preserve">R5</w:t>
            </w:r>
          </w:p>
        </w:tc>
        <w:tc>
          <w:tcPr>
            <w:tcW w:w="4900" w:type="dxa"/>
            <w:tcMar>
              <w:top w:w="60" w:type="dxa"/>
              <w:bottom w:w="60" w:type="dxa"/>
              <w:left w:w="90" w:type="dxa"/>
              <w:right w:w="90" w:type="dxa"/>
            </w:tcMar>
            <w:vAlign w:val="center"/>
          </w:tcPr>
          <w:p>
            <w:pPr>
              <w:spacing w:after="0" w:line="240" w:lineRule="auto"/>
              <w:jc w:val="left"/>
            </w:pPr>
            <w:r>
              <w:rPr>
                <w:color w:val="262626"/>
                <w:sz w:val="18"/>
                <w:szCs w:val="18"/>
              </w:rPr>
              <w:t xml:space="preserve">Mismo nombre de una sola palabra con teléfono distinto o ausente</w:t>
            </w:r>
          </w:p>
        </w:tc>
        <w:tc>
          <w:tcPr>
            <w:tcW w:w="3760" w:type="dxa"/>
            <w:tcMar>
              <w:top w:w="60" w:type="dxa"/>
              <w:bottom w:w="60" w:type="dxa"/>
              <w:left w:w="90" w:type="dxa"/>
              <w:right w:w="90" w:type="dxa"/>
            </w:tcMar>
            <w:vAlign w:val="center"/>
          </w:tcPr>
          <w:p>
            <w:pPr>
              <w:spacing w:after="0" w:line="240" w:lineRule="auto"/>
              <w:jc w:val="left"/>
            </w:pPr>
            <w:r>
              <w:rPr>
                <w:color w:val="262626"/>
                <w:sz w:val="18"/>
                <w:szCs w:val="18"/>
              </w:rPr>
              <w:t xml:space="preserve">No se fusiona — se marca «Revisar duplicado»</w:t>
            </w:r>
          </w:p>
        </w:tc>
      </w:tr>
      <w:tr>
        <w:tc>
          <w:tcPr>
            <w:tcW w:w="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R6</w:t>
            </w:r>
          </w:p>
        </w:tc>
        <w:tc>
          <w:tcPr>
            <w:tcW w:w="4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Registro sin nombre y sin teléfono</w:t>
            </w:r>
          </w:p>
        </w:tc>
        <w:tc>
          <w:tcPr>
            <w:tcW w:w="3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fusionable — se marca «No identificado»</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La regla R4 es clave en una academia: varios padres registraron a dos o tres hijos desde el mismo teléfono. Fusionarlos habría subestimado los prospectos; tratarlos como independientes sin vincularlos habría roto la atribución. Resultado: de 504 registros del CRM se identificaron 482 personas distintas (22 registros fusionados, 4.4% de duplicidad) y 6 registros quedaron marcados para revisión en lugar de fusionarse arbitrariamente.</w:t>
      </w:r>
    </w:p>
    <w:p>
      <w:pPr>
        <w:pStyle w:val="Titulo2"/>
      </w:pPr>
      <w:r>
        <w:rPr>
          <w:b/>
          <w:color w:val="262626"/>
          <w:sz w:val="20"/>
          <w:szCs w:val="20"/>
        </w:rPr>
        <w:t xml:space="preserve">3.2 Enlace entre lead, clase muestra e inscripción</w:t>
      </w:r>
    </w:p>
    <w:p>
      <w:pPr>
        <w:jc w:val="both"/>
        <w:spacing w:after="120" w:line="264" w:lineRule="auto"/>
      </w:pPr>
      <w:r>
        <w:rPr>
          <w:color w:val="262626"/>
          <w:sz w:val="20"/>
          <w:szCs w:val="20"/>
        </w:rPr>
        <w:t xml:space="preserve">Cada clase muestra se intentó ligar a un lead del CRM. El nivel de confianza del enlace se registra explícitamente y solo los tres primeros niveles se usan para atribuir resultados a la pauta:</w:t>
      </w:r>
    </w:p>
    <w:p>
      <w:pPr>
        <w:spacing w:before="80" w:after="60"/>
      </w:pPr>
      <w:r>
        <w:rPr>
          <w:b/>
          <w:color w:val="2E5C9A"/>
          <w:sz w:val="18"/>
          <w:szCs w:val="18"/>
        </w:rPr>
        <w:t xml:space="preserve">Tabla 4. Niveles de confianza del enlace clase muestra → lead (91 clases en ventana)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200"/>
        <w:gridCol w:w="4800"/>
        <w:gridCol w:w="1600"/>
        <w:gridCol w:w="1760"/>
      </w:tblGrid>
      <w:tr>
        <w:trPr>
          <w:tblHeader/>
          <w:cantSplit/>
        </w:trPr>
        <w:tc>
          <w:tcPr>
            <w:tcW w:w="12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Confianza</w:t>
            </w:r>
          </w:p>
        </w:tc>
        <w:tc>
          <w:tcPr>
            <w:tcW w:w="4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Criterio</w:t>
            </w:r>
          </w:p>
        </w:tc>
        <w:tc>
          <w:tcPr>
            <w:tcW w:w="16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 muestra</w:t>
            </w:r>
          </w:p>
        </w:tc>
        <w:tc>
          <w:tcPr>
            <w:tcW w:w="1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Se usa para atribuir</w:t>
            </w:r>
          </w:p>
        </w:tc>
      </w:tr>
      <w:tr>
        <w:tc>
          <w:tcPr>
            <w:tcW w:w="1200" w:type="dxa"/>
            <w:tcMar>
              <w:top w:w="60" w:type="dxa"/>
              <w:bottom w:w="60" w:type="dxa"/>
              <w:left w:w="90" w:type="dxa"/>
              <w:right w:w="90" w:type="dxa"/>
            </w:tcMar>
            <w:vAlign w:val="center"/>
          </w:tcPr>
          <w:p>
            <w:pPr>
              <w:spacing w:after="0" w:line="240" w:lineRule="auto"/>
              <w:jc w:val="left"/>
            </w:pPr>
            <w:r>
              <w:rPr>
                <w:color w:val="262626"/>
                <w:sz w:val="18"/>
                <w:szCs w:val="18"/>
              </w:rPr>
              <w:t xml:space="preserve">Alta</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Teléfono idéntico y nombre compatible</w:t>
            </w:r>
          </w:p>
        </w:tc>
        <w:tc>
          <w:tcPr>
            <w:tcW w:w="1600" w:type="dxa"/>
            <w:tcMar>
              <w:top w:w="60" w:type="dxa"/>
              <w:bottom w:w="60" w:type="dxa"/>
              <w:left w:w="90" w:type="dxa"/>
              <w:right w:w="90" w:type="dxa"/>
            </w:tcMar>
            <w:vAlign w:val="center"/>
          </w:tcPr>
          <w:p>
            <w:pPr>
              <w:spacing w:after="0" w:line="240" w:lineRule="auto"/>
              <w:jc w:val="right"/>
            </w:pPr>
            <w:r>
              <w:rPr>
                <w:color w:val="262626"/>
                <w:sz w:val="18"/>
                <w:szCs w:val="18"/>
              </w:rPr>
              <w:t xml:space="preserve">31</w:t>
            </w:r>
          </w:p>
        </w:tc>
        <w:tc>
          <w:tcPr>
            <w:tcW w:w="176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1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Media</w:t>
            </w:r>
          </w:p>
        </w:tc>
        <w:tc>
          <w:tcPr>
            <w:tcW w:w="4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Nombre completo compatible (nombre de pila + apellido)</w:t>
            </w:r>
          </w:p>
        </w:tc>
        <w:tc>
          <w:tcPr>
            <w:tcW w:w="16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w:t>
            </w:r>
          </w:p>
        </w:tc>
        <w:tc>
          <w:tcPr>
            <w:tcW w:w="176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1200" w:type="dxa"/>
            <w:tcMar>
              <w:top w:w="60" w:type="dxa"/>
              <w:bottom w:w="60" w:type="dxa"/>
              <w:left w:w="90" w:type="dxa"/>
              <w:right w:w="90" w:type="dxa"/>
            </w:tcMar>
            <w:vAlign w:val="center"/>
          </w:tcPr>
          <w:p>
            <w:pPr>
              <w:spacing w:after="0" w:line="240" w:lineRule="auto"/>
              <w:jc w:val="left"/>
            </w:pPr>
            <w:r>
              <w:rPr>
                <w:color w:val="262626"/>
                <w:sz w:val="18"/>
                <w:szCs w:val="18"/>
              </w:rPr>
              <w:t xml:space="preserve">Hogar</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Mismo teléfono con nombre distinto: el lead es el contacto familiar</w:t>
            </w:r>
          </w:p>
        </w:tc>
        <w:tc>
          <w:tcPr>
            <w:tcW w:w="1600" w:type="dxa"/>
            <w:tcMar>
              <w:top w:w="60" w:type="dxa"/>
              <w:bottom w:w="60" w:type="dxa"/>
              <w:left w:w="90" w:type="dxa"/>
              <w:right w:w="90" w:type="dxa"/>
            </w:tcMar>
            <w:vAlign w:val="center"/>
          </w:tcPr>
          <w:p>
            <w:pPr>
              <w:spacing w:after="0" w:line="240" w:lineRule="auto"/>
              <w:jc w:val="right"/>
            </w:pPr>
            <w:r>
              <w:rPr>
                <w:color w:val="262626"/>
                <w:sz w:val="18"/>
                <w:szCs w:val="18"/>
              </w:rPr>
              <w:t xml:space="preserve">24</w:t>
            </w:r>
          </w:p>
        </w:tc>
        <w:tc>
          <w:tcPr>
            <w:tcW w:w="176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1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Baja</w:t>
            </w:r>
          </w:p>
        </w:tc>
        <w:tc>
          <w:tcPr>
            <w:tcW w:w="4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Única coincidencia por un nombre de pila</w:t>
            </w:r>
          </w:p>
        </w:tc>
        <w:tc>
          <w:tcPr>
            <w:tcW w:w="16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176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No — se marca</w:t>
            </w:r>
          </w:p>
        </w:tc>
      </w:tr>
      <w:tr>
        <w:tc>
          <w:tcPr>
            <w:tcW w:w="1200" w:type="dxa"/>
            <w:tcMar>
              <w:top w:w="60" w:type="dxa"/>
              <w:bottom w:w="60" w:type="dxa"/>
              <w:left w:w="90" w:type="dxa"/>
              <w:right w:w="90" w:type="dxa"/>
            </w:tcMar>
            <w:vAlign w:val="center"/>
          </w:tcPr>
          <w:p>
            <w:pPr>
              <w:spacing w:after="0" w:line="240" w:lineRule="auto"/>
              <w:jc w:val="left"/>
            </w:pPr>
            <w:r>
              <w:rPr>
                <w:color w:val="262626"/>
                <w:sz w:val="18"/>
                <w:szCs w:val="18"/>
              </w:rPr>
              <w:t xml:space="preserve">Sin enlace</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No localizado en el CRM de campaña</w:t>
            </w:r>
          </w:p>
        </w:tc>
        <w:tc>
          <w:tcPr>
            <w:tcW w:w="1600" w:type="dxa"/>
            <w:tcMar>
              <w:top w:w="60" w:type="dxa"/>
              <w:bottom w:w="60" w:type="dxa"/>
              <w:left w:w="90" w:type="dxa"/>
              <w:right w:w="90" w:type="dxa"/>
            </w:tcMar>
            <w:vAlign w:val="center"/>
          </w:tcPr>
          <w:p>
            <w:pPr>
              <w:spacing w:after="0" w:line="240" w:lineRule="auto"/>
              <w:jc w:val="right"/>
            </w:pPr>
            <w:r>
              <w:rPr>
                <w:color w:val="262626"/>
                <w:sz w:val="18"/>
                <w:szCs w:val="18"/>
              </w:rPr>
              <w:t xml:space="preserve">17</w:t>
            </w:r>
          </w:p>
        </w:tc>
        <w:tc>
          <w:tcPr>
            <w:tcW w:w="1760" w:type="dxa"/>
            <w:tcMar>
              <w:top w:w="60" w:type="dxa"/>
              <w:bottom w:w="60" w:type="dxa"/>
              <w:left w:w="90" w:type="dxa"/>
              <w:right w:w="90" w:type="dxa"/>
            </w:tcMar>
            <w:vAlign w:val="center"/>
          </w:tcPr>
          <w:p>
            <w:pPr>
              <w:spacing w:after="0" w:line="240" w:lineRule="auto"/>
              <w:jc w:val="center"/>
            </w:pPr>
            <w:r>
              <w:rPr>
                <w:color w:val="262626"/>
                <w:sz w:val="18"/>
                <w:szCs w:val="18"/>
              </w:rPr>
              <w:t xml:space="preserve">No</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Para validar las inscripciones se exigió además coincidencia de nombre de pila y al menos un apellido contra el padrón de alumnos, descartando coincidencias que solo compartían nombre de pila. Ese filtro evitó falsos positivos reales detectados en los datos, como «María Luisa Hernández» frente a «María Luisa Rojas Bravo».</w:t>
      </w:r>
    </w:p>
    <w:p>
      <w:pPr>
        <w:pStyle w:val="Titulo2"/>
      </w:pPr>
      <w:r>
        <w:rPr>
          <w:b/>
          <w:color w:val="262626"/>
          <w:sz w:val="20"/>
          <w:szCs w:val="20"/>
        </w:rPr>
        <w:t xml:space="preserve">3.3 Homologación de estatus</w:t>
      </w:r>
    </w:p>
    <w:p>
      <w:pPr>
        <w:jc w:val="both"/>
        <w:spacing w:after="120" w:line="264" w:lineRule="auto"/>
      </w:pPr>
      <w:r>
        <w:rPr>
          <w:color w:val="262626"/>
          <w:sz w:val="20"/>
          <w:szCs w:val="20"/>
        </w:rPr>
        <w:t xml:space="preserve">Las fuentes usan vocabularios distintos. Se homologaron así:</w:t>
      </w:r>
    </w:p>
    <w:p>
      <w:pPr>
        <w:spacing w:before="80" w:after="60"/>
      </w:pPr>
      <w:r>
        <w:rPr>
          <w:b/>
          <w:color w:val="2E5C9A"/>
          <w:sz w:val="18"/>
          <w:szCs w:val="18"/>
        </w:rPr>
        <w:t xml:space="preserve">Tabla 5. Homologación de estatus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3000"/>
        <w:gridCol w:w="1600"/>
        <w:gridCol w:w="4760"/>
      </w:tblGrid>
      <w:tr>
        <w:trPr>
          <w:tblHeader/>
          <w:cantSplit/>
        </w:trPr>
        <w:tc>
          <w:tcPr>
            <w:tcW w:w="3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Valor en la fuente</w:t>
            </w:r>
          </w:p>
        </w:tc>
        <w:tc>
          <w:tcPr>
            <w:tcW w:w="16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Fuente</w:t>
            </w:r>
          </w:p>
        </w:tc>
        <w:tc>
          <w:tcPr>
            <w:tcW w:w="4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Estatus homologado</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Nuevo lead</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Nuevo</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Contactado · Información enviada</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Descubrimiento</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Esperando respuesta</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Seguimiento</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Pendiente de decisión</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Por cerrar</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Cerrado + «Canceló proceso»</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No interesado</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Resultado «Sin respuesta»</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Sin respuesta</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Resultado «Inscrito»</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CRM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Inscrito / Cerrado</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Cita</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CM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Clase muestra agendada</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Cita pospuesta</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CM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Reprogramación</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Show</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CM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Clase muestra realizada</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NO ASISTIÓ</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CM</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Seguimiento (no asistió — se anota en observaciones)</w:t>
            </w:r>
          </w:p>
        </w:tc>
      </w:tr>
      <w:tr>
        <w:tc>
          <w:tcPr>
            <w:tcW w:w="3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Inscrito</w:t>
            </w:r>
          </w:p>
        </w:tc>
        <w:tc>
          <w:tcPr>
            <w:tcW w:w="1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CM</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Inscrito / Cerrado</w:t>
            </w:r>
          </w:p>
        </w:tc>
      </w:tr>
      <w:tr>
        <w:tc>
          <w:tcPr>
            <w:tcW w:w="3000" w:type="dxa"/>
            <w:tcMar>
              <w:top w:w="60" w:type="dxa"/>
              <w:bottom w:w="60" w:type="dxa"/>
              <w:left w:w="90" w:type="dxa"/>
              <w:right w:w="90" w:type="dxa"/>
            </w:tcMar>
            <w:vAlign w:val="center"/>
          </w:tcPr>
          <w:p>
            <w:pPr>
              <w:spacing w:after="0" w:line="240" w:lineRule="auto"/>
              <w:jc w:val="left"/>
            </w:pPr>
            <w:r>
              <w:rPr>
                <w:color w:val="262626"/>
                <w:sz w:val="18"/>
                <w:szCs w:val="18"/>
              </w:rPr>
              <w:t xml:space="preserve">Sin valor o valor no válido</w:t>
            </w:r>
          </w:p>
        </w:tc>
        <w:tc>
          <w:tcPr>
            <w:tcW w:w="1600" w:type="dxa"/>
            <w:tcMar>
              <w:top w:w="60" w:type="dxa"/>
              <w:bottom w:w="60" w:type="dxa"/>
              <w:left w:w="90" w:type="dxa"/>
              <w:right w:w="90" w:type="dxa"/>
            </w:tcMar>
            <w:vAlign w:val="center"/>
          </w:tcPr>
          <w:p>
            <w:pPr>
              <w:spacing w:after="0" w:line="240" w:lineRule="auto"/>
              <w:jc w:val="left"/>
            </w:pPr>
            <w:r>
              <w:rPr>
                <w:color w:val="262626"/>
                <w:sz w:val="18"/>
                <w:szCs w:val="18"/>
              </w:rPr>
              <w:t xml:space="preserve">Cualquiera</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Estatus por validar</w:t>
            </w:r>
          </w:p>
        </w:tc>
      </w:tr>
    </w:tbl>
    <w:p>
      <w:pPr>
        <w:jc w:val="both"/>
        <w:spacing w:after="60" w:line="264" w:lineRule="auto"/>
      </w:pPr>
      <w:r>
        <w:rPr>
          <w:color w:val="262626"/>
          <w:sz w:val="20"/>
          <w:szCs w:val="20"/>
        </w:rPr>
        <w:t xml:space="preserve"/>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Lista de espera: no existe en las fuentes</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Ninguna de las cuatro fuentes contiene un campo o un valor que registre lista de espera. Los valores «En espera» del CRM significan que el seguimiento está pendiente de respuesta, no que haya un cupo reservado. Por eso el estatus «Lista de espera» aparece con 0 registros: no es un hallazgo, es una ausencia de dato.</w:t>
            </w:r>
          </w:p>
        </w:tc>
      </w:tr>
    </w:tbl>
    <w:p>
      <w:pPr>
        <w:jc w:val="both"/>
        <w:spacing w:after="0" w:line="264" w:lineRule="auto"/>
      </w:pPr>
      <w:r>
        <w:rPr>
          <w:color w:val="262626"/>
          <w:sz w:val="20"/>
          <w:szCs w:val="20"/>
        </w:rPr>
        <w:t xml:space="preserve"/>
      </w:r>
    </w:p>
    <w:p>
      <w:r>
        <w:br w:type="page"/>
      </w:r>
    </w:p>
    <w:p>
      <w:pPr>
        <w:pStyle w:val="Titulo1"/>
      </w:pPr>
      <w:r>
        <w:rPr>
          <w:b/>
          <w:color w:val="262626"/>
          <w:sz w:val="20"/>
          <w:szCs w:val="20"/>
        </w:rPr>
        <w:t xml:space="preserve">4. Funnel comercial</w:t>
      </w:r>
    </w:p>
    <w:p>
      <w:pPr>
        <w:jc w:val="both"/>
        <w:spacing w:after="120" w:line="264" w:lineRule="auto"/>
      </w:pPr>
      <w:r>
        <w:rPr>
          <w:color w:val="262626"/>
          <w:sz w:val="20"/>
          <w:szCs w:val="20"/>
        </w:rPr>
        <w:t xml:space="preserve">El embudo completo, de la impresión publicitaria a la inscripción. Las cantidades de las dos primeras etapas provienen de Meta Ads y las tres últimas de las bases internas; por eso la conversión entre impresiones y conversaciones debe leerse como indicador de entrega, no de venta.</w:t>
      </w:r>
    </w:p>
    <w:tbl>
      <w:tblPr>
        <w:tblW w:w="9360" w:type="dxa"/>
        <w:tblBorders>
          <w:insideH w:val="single" w:sz="12" w:color="FFFFFF"/>
          <w:insideV w:val="single" w:sz="8" w:color="FFFFFF"/>
        </w:tblBorders>
        <w:tblLayout w:type="fixed"/>
      </w:tblPr>
      <w:tblGrid>
        <w:gridCol w:w="2000"/>
        <w:gridCol w:w="6200"/>
        <w:gridCol w:w="1160"/>
      </w:tblGrid>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Impresiones</w:t>
            </w:r>
          </w:p>
        </w:tc>
        <w:tc>
          <w:tcPr>
            <w:tcW w:w="6200"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241,265</w:t>
            </w: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Alcance</w:t>
            </w:r>
          </w:p>
        </w:tc>
        <w:tc>
          <w:tcPr>
            <w:tcW w:w="2604"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 75,110</w:t>
            </w:r>
          </w:p>
        </w:tc>
        <w:tc>
          <w:tcPr>
            <w:tcW w:w="3596"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cota mín.</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Conversaciones</w:t>
            </w:r>
          </w:p>
        </w:tc>
        <w:tc>
          <w:tcPr>
            <w:tcW w:w="1054"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565</w:t>
            </w:r>
          </w:p>
        </w:tc>
        <w:tc>
          <w:tcPr>
            <w:tcW w:w="5146"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0.8%</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Leads (personas)</w:t>
            </w:r>
          </w:p>
        </w:tc>
        <w:tc>
          <w:tcPr>
            <w:tcW w:w="898"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477</w:t>
            </w:r>
          </w:p>
        </w:tc>
        <w:tc>
          <w:tcPr>
            <w:tcW w:w="5302"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84.4%</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CM agendadas</w:t>
            </w:r>
          </w:p>
        </w:tc>
        <w:tc>
          <w:tcPr>
            <w:tcW w:w="341"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91</w:t>
            </w:r>
          </w:p>
        </w:tc>
        <w:tc>
          <w:tcPr>
            <w:tcW w:w="5859"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19.1%</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CM realizadas</w:t>
            </w:r>
          </w:p>
        </w:tc>
        <w:tc>
          <w:tcPr>
            <w:tcW w:w="260"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67</w:t>
            </w:r>
          </w:p>
        </w:tc>
        <w:tc>
          <w:tcPr>
            <w:tcW w:w="5940"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73.6%</w:t>
            </w:r>
          </w:p>
        </w:tc>
      </w:tr>
      <w:tr>
        <w:trPr>
          <w:trHeight w:val="300"/>
        </w:trPr>
        <w:tc>
          <w:tcPr>
            <w:tcW w:w="2000" w:type="dxa"/>
            <w:tcMar>
              <w:top w:w="60" w:type="dxa"/>
              <w:bottom w:w="60" w:type="dxa"/>
              <w:left w:w="90" w:type="dxa"/>
              <w:right w:w="90" w:type="dxa"/>
            </w:tcMar>
            <w:vAlign w:val="center"/>
          </w:tcPr>
          <w:p>
            <w:pPr>
              <w:spacing w:after="0" w:line="240" w:lineRule="auto"/>
              <w:jc w:val="left"/>
            </w:pPr>
            <w:r>
              <w:rPr>
                <w:b/>
                <w:color w:val="1F3864"/>
                <w:sz w:val="17"/>
                <w:szCs w:val="17"/>
              </w:rPr>
              <w:t xml:space="preserve">Inscripciones</w:t>
            </w:r>
          </w:p>
        </w:tc>
        <w:tc>
          <w:tcPr>
            <w:tcW w:w="136" w:type="dxa"/>
            <w:shd w:val="clear" w:color="auto" w:fill="2E5C9A"/>
            <w:tcMar>
              <w:top w:w="60" w:type="dxa"/>
              <w:bottom w:w="60" w:type="dxa"/>
              <w:left w:w="90" w:type="dxa"/>
              <w:right w:w="90" w:type="dxa"/>
            </w:tcMar>
            <w:vAlign w:val="center"/>
          </w:tcPr>
          <w:p>
            <w:pPr>
              <w:spacing w:after="0" w:line="240" w:lineRule="auto"/>
              <w:jc w:val="center"/>
            </w:pPr>
            <w:r>
              <w:rPr>
                <w:b/>
                <w:color w:val="FFFFFF"/>
                <w:sz w:val="18"/>
                <w:szCs w:val="18"/>
              </w:rPr>
              <w:t xml:space="preserve">30</w:t>
            </w:r>
          </w:p>
        </w:tc>
        <w:tc>
          <w:tcPr>
            <w:tcW w:w="6064" w:type="dxa"/>
            <w:shd w:val="clear" w:color="auto" w:fill="F0F2F6"/>
            <w:tcMar>
              <w:top w:w="60" w:type="dxa"/>
              <w:bottom w:w="60" w:type="dxa"/>
              <w:left w:w="90" w:type="dxa"/>
              <w:right w:w="90" w:type="dxa"/>
            </w:tcMar>
            <w:vAlign w:val="center"/>
          </w:tcPr>
          <w:p>
            <w:pPr>
              <w:spacing w:after="0" w:line="240" w:lineRule="auto"/>
              <w:jc w:val="left"/>
            </w:pPr>
          </w:p>
        </w:tc>
        <w:tc>
          <w:tcPr>
            <w:tcW w:w="1160" w:type="dxa"/>
            <w:tcMar>
              <w:top w:w="60" w:type="dxa"/>
              <w:bottom w:w="60" w:type="dxa"/>
              <w:left w:w="90" w:type="dxa"/>
              <w:right w:w="90" w:type="dxa"/>
            </w:tcMar>
            <w:vAlign w:val="center"/>
          </w:tcPr>
          <w:p>
            <w:pPr>
              <w:spacing w:after="0" w:line="240" w:lineRule="auto"/>
              <w:jc w:val="left"/>
            </w:pPr>
            <w:r>
              <w:rPr>
                <w:color w:val="595959"/>
                <w:sz w:val="15"/>
                <w:szCs w:val="15"/>
              </w:rPr>
              <w:t xml:space="preserve">46.2%</w:t>
            </w:r>
          </w:p>
        </w:tc>
      </w:tr>
    </w:tbl>
    <w:p>
      <w:pPr>
        <w:jc w:val="both"/>
        <w:spacing w:after="120" w:line="264" w:lineRule="auto"/>
      </w:pPr>
      <w:r>
        <w:rPr>
          <w:color w:val="262626"/>
          <w:sz w:val="20"/>
          <w:szCs w:val="20"/>
        </w:rPr>
        <w:t xml:space="preserve"/>
      </w:r>
    </w:p>
    <w:p>
      <w:pPr>
        <w:spacing w:before="80" w:after="60"/>
      </w:pPr>
      <w:r>
        <w:rPr>
          <w:b/>
          <w:color w:val="2E5C9A"/>
          <w:sz w:val="18"/>
          <w:szCs w:val="18"/>
        </w:rPr>
        <w:t xml:space="preserve">Tabla 6. Funnel completo con pérdida por etapa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100"/>
        <w:gridCol w:w="1150"/>
        <w:gridCol w:w="1250"/>
        <w:gridCol w:w="1150"/>
        <w:gridCol w:w="900"/>
        <w:gridCol w:w="2810"/>
      </w:tblGrid>
      <w:tr>
        <w:trPr>
          <w:tblHeader/>
          <w:cantSplit/>
        </w:trPr>
        <w:tc>
          <w:tcPr>
            <w:tcW w:w="2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Etapa</w:t>
            </w:r>
          </w:p>
        </w:tc>
        <w:tc>
          <w:tcPr>
            <w:tcW w:w="115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Cantidad</w:t>
            </w:r>
          </w:p>
        </w:tc>
        <w:tc>
          <w:tcPr>
            <w:tcW w:w="125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Conv. vs etapa previa</w:t>
            </w:r>
          </w:p>
        </w:tc>
        <w:tc>
          <w:tcPr>
            <w:tcW w:w="115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Pérdida absoluta</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Pérdida %</w:t>
            </w:r>
          </w:p>
        </w:tc>
        <w:tc>
          <w:tcPr>
            <w:tcW w:w="281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Fuente</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Impresiones</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241,265</w:t>
            </w:r>
          </w:p>
        </w:tc>
        <w:tc>
          <w:tcPr>
            <w:tcW w:w="1250" w:type="dxa"/>
            <w:tcMar>
              <w:top w:w="60" w:type="dxa"/>
              <w:bottom w:w="60" w:type="dxa"/>
              <w:left w:w="90" w:type="dxa"/>
              <w:right w:w="90" w:type="dxa"/>
            </w:tcMar>
            <w:vAlign w:val="center"/>
          </w:tcPr>
          <w:p>
            <w:pPr>
              <w:spacing w:after="0" w:line="240" w:lineRule="auto"/>
              <w:jc w:val="right"/>
            </w:pPr>
            <w:r>
              <w:rPr>
                <w:color w:val="262626"/>
                <w:sz w:val="18"/>
                <w:szCs w:val="18"/>
              </w:rPr>
              <w:t xml:space="preserve">—</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w:t>
            </w:r>
          </w:p>
        </w:tc>
        <w:tc>
          <w:tcPr>
            <w:tcW w:w="2810" w:type="dxa"/>
            <w:tcMar>
              <w:top w:w="60" w:type="dxa"/>
              <w:bottom w:w="60" w:type="dxa"/>
              <w:left w:w="90" w:type="dxa"/>
              <w:right w:w="90" w:type="dxa"/>
            </w:tcMar>
            <w:vAlign w:val="center"/>
          </w:tcPr>
          <w:p>
            <w:pPr>
              <w:spacing w:after="0" w:line="240" w:lineRule="auto"/>
              <w:jc w:val="left"/>
            </w:pPr>
            <w:r>
              <w:rPr>
                <w:color w:val="262626"/>
                <w:sz w:val="18"/>
                <w:szCs w:val="18"/>
              </w:rPr>
              <w:t xml:space="preserve">Meta Ads</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Alcance (personas)</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75,110</w:t>
            </w:r>
          </w:p>
        </w:tc>
        <w:tc>
          <w:tcPr>
            <w:tcW w:w="12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31.1%</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166,155</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68.9%</w:t>
            </w:r>
          </w:p>
        </w:tc>
        <w:tc>
          <w:tcPr>
            <w:tcW w:w="281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Meta Ads – cota mínima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Conversaciones iniciadas</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565</w:t>
            </w:r>
          </w:p>
        </w:tc>
        <w:tc>
          <w:tcPr>
            <w:tcW w:w="1250" w:type="dxa"/>
            <w:tcMar>
              <w:top w:w="60" w:type="dxa"/>
              <w:bottom w:w="60" w:type="dxa"/>
              <w:left w:w="90" w:type="dxa"/>
              <w:right w:w="90" w:type="dxa"/>
            </w:tcMar>
            <w:vAlign w:val="center"/>
          </w:tcPr>
          <w:p>
            <w:pPr>
              <w:spacing w:after="0" w:line="240" w:lineRule="auto"/>
              <w:jc w:val="right"/>
            </w:pPr>
            <w:r>
              <w:rPr>
                <w:color w:val="262626"/>
                <w:sz w:val="18"/>
                <w:szCs w:val="18"/>
              </w:rPr>
              <w:t xml:space="preserve">0.8%</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74,545</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99.2%</w:t>
            </w:r>
          </w:p>
        </w:tc>
        <w:tc>
          <w:tcPr>
            <w:tcW w:w="2810" w:type="dxa"/>
            <w:tcMar>
              <w:top w:w="60" w:type="dxa"/>
              <w:bottom w:w="60" w:type="dxa"/>
              <w:left w:w="90" w:type="dxa"/>
              <w:right w:w="90" w:type="dxa"/>
            </w:tcMar>
            <w:vAlign w:val="center"/>
          </w:tcPr>
          <w:p>
            <w:pPr>
              <w:spacing w:after="0" w:line="240" w:lineRule="auto"/>
              <w:jc w:val="left"/>
            </w:pPr>
            <w:r>
              <w:rPr>
                <w:color w:val="262626"/>
                <w:sz w:val="18"/>
                <w:szCs w:val="18"/>
              </w:rPr>
              <w:t xml:space="preserve">Meta Ads</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Leads / prospectos (personas)</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477</w:t>
            </w:r>
          </w:p>
        </w:tc>
        <w:tc>
          <w:tcPr>
            <w:tcW w:w="12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84.4%</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88</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15.6%</w:t>
            </w:r>
          </w:p>
        </w:tc>
        <w:tc>
          <w:tcPr>
            <w:tcW w:w="281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CRM campaña, deduplicado</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CM agendadas</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91</w:t>
            </w:r>
          </w:p>
        </w:tc>
        <w:tc>
          <w:tcPr>
            <w:tcW w:w="1250" w:type="dxa"/>
            <w:tcMar>
              <w:top w:w="60" w:type="dxa"/>
              <w:bottom w:w="60" w:type="dxa"/>
              <w:left w:w="90" w:type="dxa"/>
              <w:right w:w="90" w:type="dxa"/>
            </w:tcMar>
            <w:vAlign w:val="center"/>
          </w:tcPr>
          <w:p>
            <w:pPr>
              <w:spacing w:after="0" w:line="240" w:lineRule="auto"/>
              <w:jc w:val="right"/>
            </w:pPr>
            <w:r>
              <w:rPr>
                <w:color w:val="262626"/>
                <w:sz w:val="18"/>
                <w:szCs w:val="18"/>
              </w:rPr>
              <w:t xml:space="preserve">19.1%</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386</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80.9%</w:t>
            </w:r>
          </w:p>
        </w:tc>
        <w:tc>
          <w:tcPr>
            <w:tcW w:w="281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clases muestra</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realizadas</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67</w:t>
            </w:r>
          </w:p>
        </w:tc>
        <w:tc>
          <w:tcPr>
            <w:tcW w:w="12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73.6%</w:t>
            </w:r>
          </w:p>
        </w:tc>
        <w:tc>
          <w:tcPr>
            <w:tcW w:w="115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24</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26.4%</w:t>
            </w:r>
          </w:p>
        </w:tc>
        <w:tc>
          <w:tcPr>
            <w:tcW w:w="281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clases muestra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30</w:t>
            </w:r>
          </w:p>
        </w:tc>
        <w:tc>
          <w:tcPr>
            <w:tcW w:w="1250" w:type="dxa"/>
            <w:tcMar>
              <w:top w:w="60" w:type="dxa"/>
              <w:bottom w:w="60" w:type="dxa"/>
              <w:left w:w="90" w:type="dxa"/>
              <w:right w:w="90" w:type="dxa"/>
            </w:tcMar>
            <w:vAlign w:val="center"/>
          </w:tcPr>
          <w:p>
            <w:pPr>
              <w:spacing w:after="0" w:line="240" w:lineRule="auto"/>
              <w:jc w:val="right"/>
            </w:pPr>
            <w:r>
              <w:rPr>
                <w:color w:val="262626"/>
                <w:sz w:val="18"/>
                <w:szCs w:val="18"/>
              </w:rPr>
              <w:t xml:space="preserve">44.8%</w:t>
            </w:r>
          </w:p>
        </w:tc>
        <w:tc>
          <w:tcPr>
            <w:tcW w:w="1150" w:type="dxa"/>
            <w:tcMar>
              <w:top w:w="60" w:type="dxa"/>
              <w:bottom w:w="60" w:type="dxa"/>
              <w:left w:w="90" w:type="dxa"/>
              <w:right w:w="90" w:type="dxa"/>
            </w:tcMar>
            <w:vAlign w:val="center"/>
          </w:tcPr>
          <w:p>
            <w:pPr>
              <w:spacing w:after="0" w:line="240" w:lineRule="auto"/>
              <w:jc w:val="right"/>
            </w:pPr>
            <w:r>
              <w:rPr>
                <w:color w:val="262626"/>
                <w:sz w:val="18"/>
                <w:szCs w:val="18"/>
              </w:rPr>
              <w:t xml:space="preserve">37</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55.2%</w:t>
            </w:r>
          </w:p>
        </w:tc>
        <w:tc>
          <w:tcPr>
            <w:tcW w:w="281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 CRM + padrón</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736000"/>
            <wp:effectExtent l="0" t="0" r="0" b="0"/>
            <wp:docPr id="10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1"/>
              </a:graphicData>
            </a:graphic>
          </wp:inline>
        </w:drawing>
      </w:r>
    </w:p>
    <w:p>
      <w:pPr>
        <w:pStyle w:val="Titulo2"/>
      </w:pPr>
      <w:r>
        <w:rPr>
          <w:b/>
          <w:color w:val="262626"/>
          <w:sz w:val="20"/>
          <w:szCs w:val="20"/>
        </w:rPr>
        <w:t xml:space="preserve">4.1 Tasas clave</w:t>
      </w:r>
    </w:p>
    <w:p>
      <w:pPr>
        <w:spacing w:before="80" w:after="60"/>
      </w:pPr>
      <w:r>
        <w:rPr>
          <w:b/>
          <w:color w:val="2E5C9A"/>
          <w:sz w:val="18"/>
          <w:szCs w:val="18"/>
        </w:rPr>
        <w:t xml:space="preserve">Tabla 7. Tasas de conversión del embudo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900"/>
        <w:gridCol w:w="2100"/>
        <w:gridCol w:w="900"/>
        <w:gridCol w:w="4460"/>
      </w:tblGrid>
      <w:tr>
        <w:trPr>
          <w:tblHeader/>
          <w:cantSplit/>
        </w:trPr>
        <w:tc>
          <w:tcPr>
            <w:tcW w:w="1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Indicador</w:t>
            </w:r>
          </w:p>
        </w:tc>
        <w:tc>
          <w:tcPr>
            <w:tcW w:w="2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Fórmula</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Resultado</w:t>
            </w:r>
          </w:p>
        </w:tc>
        <w:tc>
          <w:tcPr>
            <w:tcW w:w="44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Lectura comercial</w:t>
            </w:r>
          </w:p>
        </w:tc>
      </w:tr>
      <w:tr>
        <w:tc>
          <w:tcPr>
            <w:tcW w:w="1900" w:type="dxa"/>
            <w:tcMar>
              <w:top w:w="60" w:type="dxa"/>
              <w:bottom w:w="60" w:type="dxa"/>
              <w:left w:w="90" w:type="dxa"/>
              <w:right w:w="90" w:type="dxa"/>
            </w:tcMar>
            <w:vAlign w:val="center"/>
          </w:tcPr>
          <w:p>
            <w:pPr>
              <w:spacing w:after="0" w:line="240" w:lineRule="auto"/>
              <w:jc w:val="left"/>
            </w:pPr>
            <w:r>
              <w:rPr>
                <w:color w:val="262626"/>
                <w:sz w:val="18"/>
                <w:szCs w:val="18"/>
              </w:rPr>
              <w:t xml:space="preserve">Lead → CM agendada</w:t>
            </w:r>
          </w:p>
        </w:tc>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CM agendadas / leads</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19.1%</w:t>
            </w:r>
          </w:p>
        </w:tc>
        <w:tc>
          <w:tcPr>
            <w:tcW w:w="4460" w:type="dxa"/>
            <w:tcMar>
              <w:top w:w="60" w:type="dxa"/>
              <w:bottom w:w="60" w:type="dxa"/>
              <w:left w:w="90" w:type="dxa"/>
              <w:right w:w="90" w:type="dxa"/>
            </w:tcMar>
            <w:vAlign w:val="center"/>
          </w:tcPr>
          <w:p>
            <w:pPr>
              <w:spacing w:after="0" w:line="240" w:lineRule="auto"/>
              <w:jc w:val="left"/>
            </w:pPr>
            <w:r>
              <w:rPr>
                <w:color w:val="262626"/>
                <w:sz w:val="18"/>
                <w:szCs w:val="18"/>
              </w:rPr>
              <w:t xml:space="preserve">De cada 100 interesados, solo 19 llegaron a una clase muestra.</w:t>
            </w:r>
          </w:p>
        </w:tc>
      </w:tr>
      <w:tr>
        <w:tc>
          <w:tcPr>
            <w:tcW w:w="1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agendada → realizada</w:t>
            </w:r>
          </w:p>
        </w:tc>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realizadas / CM agendadas</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73.6%</w:t>
            </w:r>
          </w:p>
        </w:tc>
        <w:tc>
          <w:tcPr>
            <w:tcW w:w="44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Buena asistencia: 3 de cada 4 clases agendadas se dieron.</w:t>
            </w:r>
          </w:p>
        </w:tc>
      </w:tr>
      <w:tr>
        <w:tc>
          <w:tcPr>
            <w:tcW w:w="1900" w:type="dxa"/>
            <w:tcMar>
              <w:top w:w="60" w:type="dxa"/>
              <w:bottom w:w="60" w:type="dxa"/>
              <w:left w:w="90" w:type="dxa"/>
              <w:right w:w="90" w:type="dxa"/>
            </w:tcMar>
            <w:vAlign w:val="center"/>
          </w:tcPr>
          <w:p>
            <w:pPr>
              <w:spacing w:after="0" w:line="240" w:lineRule="auto"/>
              <w:jc w:val="left"/>
            </w:pPr>
            <w:r>
              <w:rPr>
                <w:color w:val="262626"/>
                <w:sz w:val="18"/>
                <w:szCs w:val="18"/>
              </w:rPr>
              <w:t xml:space="preserve">CM realizada → inscripción</w:t>
            </w:r>
          </w:p>
        </w:tc>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 / personas con CM realizada</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46.2%</w:t>
            </w:r>
          </w:p>
        </w:tc>
        <w:tc>
          <w:tcPr>
            <w:tcW w:w="4460" w:type="dxa"/>
            <w:tcMar>
              <w:top w:w="60" w:type="dxa"/>
              <w:bottom w:w="60" w:type="dxa"/>
              <w:left w:w="90" w:type="dxa"/>
              <w:right w:w="90" w:type="dxa"/>
            </w:tcMar>
            <w:vAlign w:val="center"/>
          </w:tcPr>
          <w:p>
            <w:pPr>
              <w:spacing w:after="0" w:line="240" w:lineRule="auto"/>
              <w:jc w:val="left"/>
            </w:pPr>
            <w:r>
              <w:rPr>
                <w:color w:val="262626"/>
                <w:sz w:val="18"/>
                <w:szCs w:val="18"/>
              </w:rPr>
              <w:t xml:space="preserve">Casi una de cada dos personas que asistió se inscribió.</w:t>
            </w:r>
          </w:p>
        </w:tc>
      </w:tr>
      <w:tr>
        <w:tc>
          <w:tcPr>
            <w:tcW w:w="1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 → inscripción</w:t>
            </w:r>
          </w:p>
        </w:tc>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Inscripciones / leads</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6.3%</w:t>
            </w:r>
          </w:p>
        </w:tc>
        <w:tc>
          <w:tcPr>
            <w:tcW w:w="44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Conversión global del periodo.</w:t>
            </w:r>
          </w:p>
        </w:tc>
      </w:tr>
      <w:tr>
        <w:tc>
          <w:tcPr>
            <w:tcW w:w="1900" w:type="dxa"/>
            <w:tcMar>
              <w:top w:w="60" w:type="dxa"/>
              <w:bottom w:w="60" w:type="dxa"/>
              <w:left w:w="90" w:type="dxa"/>
              <w:right w:w="90" w:type="dxa"/>
            </w:tcMar>
            <w:vAlign w:val="center"/>
          </w:tcPr>
          <w:p>
            <w:pPr>
              <w:spacing w:after="0" w:line="240" w:lineRule="auto"/>
              <w:jc w:val="left"/>
            </w:pPr>
            <w:r>
              <w:rPr>
                <w:color w:val="262626"/>
                <w:sz w:val="18"/>
                <w:szCs w:val="18"/>
              </w:rPr>
              <w:t xml:space="preserve">Lead → inscripción (atribuible)</w:t>
            </w:r>
          </w:p>
        </w:tc>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 atribuibles / leads</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4.8%</w:t>
            </w:r>
          </w:p>
        </w:tc>
        <w:tc>
          <w:tcPr>
            <w:tcW w:w="4460" w:type="dxa"/>
            <w:tcMar>
              <w:top w:w="60" w:type="dxa"/>
              <w:bottom w:w="60" w:type="dxa"/>
              <w:left w:w="90" w:type="dxa"/>
              <w:right w:w="90" w:type="dxa"/>
            </w:tcMar>
            <w:vAlign w:val="center"/>
          </w:tcPr>
          <w:p>
            <w:pPr>
              <w:spacing w:after="0" w:line="240" w:lineRule="auto"/>
              <w:jc w:val="left"/>
            </w:pPr>
            <w:r>
              <w:rPr>
                <w:color w:val="262626"/>
                <w:sz w:val="18"/>
                <w:szCs w:val="18"/>
              </w:rPr>
              <w:t xml:space="preserve">Conversión imputable exclusivamente a la pauta.</w:t>
            </w:r>
          </w:p>
        </w:tc>
      </w:tr>
      <w:tr>
        <w:tc>
          <w:tcPr>
            <w:tcW w:w="19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show</w:t>
            </w:r>
          </w:p>
        </w:tc>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show / CM agendadas</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22.0%</w:t>
            </w:r>
          </w:p>
        </w:tc>
        <w:tc>
          <w:tcPr>
            <w:tcW w:w="44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20 clases perdidas por inasistencia.</w:t>
            </w:r>
          </w:p>
        </w:tc>
      </w:tr>
      <w:tr>
        <w:tc>
          <w:tcPr>
            <w:tcW w:w="19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Reprogramación</w:t>
            </w:r>
          </w:p>
        </w:tc>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Reprogramadas / CM agendadas</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4460" w:type="dxa"/>
            <w:tcMar>
              <w:top w:w="60" w:type="dxa"/>
              <w:bottom w:w="60" w:type="dxa"/>
              <w:left w:w="90" w:type="dxa"/>
              <w:right w:w="90" w:type="dxa"/>
            </w:tcMar>
            <w:vAlign w:val="center"/>
          </w:tcPr>
          <w:p>
            <w:pPr>
              <w:spacing w:after="0" w:line="240" w:lineRule="auto"/>
              <w:jc w:val="left"/>
            </w:pPr>
            <w:r>
              <w:rPr>
                <w:color w:val="262626"/>
                <w:sz w:val="18"/>
                <w:szCs w:val="18"/>
              </w:rPr>
              <w:t xml:space="preserve">Solo 1 caso: la reprogramación no es un problema.</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592000"/>
            <wp:effectExtent l="0" t="0" r="0" b="0"/>
            <wp:docPr id="10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2"/>
              </a:graphicData>
            </a:graphic>
          </wp:inline>
        </w:drawing>
      </w:r>
    </w:p>
    <w:p>
      <w:pPr>
        <w:pStyle w:val="Titulo2"/>
      </w:pPr>
      <w:r>
        <w:rPr>
          <w:b/>
          <w:color w:val="262626"/>
          <w:sz w:val="20"/>
          <w:szCs w:val="20"/>
        </w:rPr>
        <w:t xml:space="preserve">4.2 Dónde se pierde el embudo</w:t>
      </w:r>
    </w:p>
    <w:p>
      <w:pPr>
        <w:spacing w:before="80" w:after="60"/>
      </w:pPr>
      <w:r>
        <w:rPr>
          <w:b/>
          <w:color w:val="2E5C9A"/>
          <w:sz w:val="18"/>
          <w:szCs w:val="18"/>
        </w:rPr>
        <w:t xml:space="preserve">Tabla 8. Pérdida del embudo por punto de fuga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300"/>
        <w:gridCol w:w="900"/>
        <w:gridCol w:w="900"/>
        <w:gridCol w:w="5260"/>
      </w:tblGrid>
      <w:tr>
        <w:trPr>
          <w:tblHeader/>
          <w:cantSplit/>
        </w:trPr>
        <w:tc>
          <w:tcPr>
            <w:tcW w:w="23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Punto de pérdida</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Personas</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 leads</w:t>
            </w:r>
          </w:p>
        </w:tc>
        <w:tc>
          <w:tcPr>
            <w:tcW w:w="52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Diagnóstico sustentado en datos</w:t>
            </w:r>
          </w:p>
        </w:tc>
      </w:tr>
      <w:tr>
        <w:tc>
          <w:tcPr>
            <w:tcW w:w="2300" w:type="dxa"/>
            <w:tcMar>
              <w:top w:w="60" w:type="dxa"/>
              <w:bottom w:w="60" w:type="dxa"/>
              <w:left w:w="90" w:type="dxa"/>
              <w:right w:w="90" w:type="dxa"/>
            </w:tcMar>
            <w:vAlign w:val="center"/>
          </w:tcPr>
          <w:p>
            <w:pPr>
              <w:spacing w:after="0" w:line="240" w:lineRule="auto"/>
              <w:jc w:val="left"/>
            </w:pPr>
            <w:r>
              <w:rPr>
                <w:b/>
                <w:color w:val="262626"/>
                <w:sz w:val="18"/>
                <w:szCs w:val="18"/>
              </w:rPr>
              <w:t xml:space="preserve">Lead que nunca agenda clase muestra</w:t>
            </w:r>
          </w:p>
        </w:tc>
        <w:tc>
          <w:tcPr>
            <w:tcW w:w="900" w:type="dxa"/>
            <w:tcMar>
              <w:top w:w="60" w:type="dxa"/>
              <w:bottom w:w="60" w:type="dxa"/>
              <w:left w:w="90" w:type="dxa"/>
              <w:right w:w="90" w:type="dxa"/>
            </w:tcMar>
            <w:vAlign w:val="center"/>
          </w:tcPr>
          <w:p>
            <w:pPr>
              <w:spacing w:after="0" w:line="240" w:lineRule="auto"/>
              <w:jc w:val="right"/>
            </w:pPr>
            <w:r>
              <w:rPr>
                <w:b/>
                <w:color w:val="262626"/>
                <w:sz w:val="18"/>
                <w:szCs w:val="18"/>
              </w:rPr>
              <w:t xml:space="preserve">390</w:t>
            </w:r>
          </w:p>
        </w:tc>
        <w:tc>
          <w:tcPr>
            <w:tcW w:w="900" w:type="dxa"/>
            <w:tcMar>
              <w:top w:w="60" w:type="dxa"/>
              <w:bottom w:w="60" w:type="dxa"/>
              <w:left w:w="90" w:type="dxa"/>
              <w:right w:w="90" w:type="dxa"/>
            </w:tcMar>
            <w:vAlign w:val="center"/>
          </w:tcPr>
          <w:p>
            <w:pPr>
              <w:spacing w:after="0" w:line="240" w:lineRule="auto"/>
              <w:jc w:val="right"/>
            </w:pPr>
            <w:r>
              <w:rPr>
                <w:b/>
                <w:color w:val="262626"/>
                <w:sz w:val="18"/>
                <w:szCs w:val="18"/>
              </w:rPr>
              <w:t xml:space="preserve">81.8%</w:t>
            </w:r>
          </w:p>
        </w:tc>
        <w:tc>
          <w:tcPr>
            <w:tcW w:w="5260" w:type="dxa"/>
            <w:tcMar>
              <w:top w:w="60" w:type="dxa"/>
              <w:bottom w:w="60" w:type="dxa"/>
              <w:left w:w="90" w:type="dxa"/>
              <w:right w:w="90" w:type="dxa"/>
            </w:tcMar>
            <w:vAlign w:val="center"/>
          </w:tcPr>
          <w:p>
            <w:pPr>
              <w:spacing w:after="0" w:line="240" w:lineRule="auto"/>
              <w:jc w:val="left"/>
            </w:pPr>
            <w:r>
              <w:rPr>
                <w:b/>
                <w:color w:val="262626"/>
                <w:sz w:val="18"/>
                <w:szCs w:val="18"/>
              </w:rPr>
              <w:t xml:space="preserve">CUELLO DE BOTELLA PRINCIPAL. 408 de 499 registros del CRM (81.8%) se quedaron en «Información enviada» o «Contactado», sin avanzar a ninguna etapa posterior.</w:t>
            </w:r>
          </w:p>
        </w:tc>
      </w:tr>
      <w:tr>
        <w:tc>
          <w:tcPr>
            <w:tcW w:w="2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Clase agendada a la que no asiste</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20</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4.2%</w:t>
            </w:r>
          </w:p>
        </w:tc>
        <w:tc>
          <w:tcPr>
            <w:tcW w:w="52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Pérdida secundaria y manejable: 22.0% de no show, sin recordatorios ni confirmación registrados en las fuentes.</w:t>
            </w:r>
          </w:p>
        </w:tc>
      </w:tr>
      <w:tr>
        <w:tc>
          <w:tcPr>
            <w:tcW w:w="2300" w:type="dxa"/>
            <w:tcMar>
              <w:top w:w="60" w:type="dxa"/>
              <w:bottom w:w="60" w:type="dxa"/>
              <w:left w:w="90" w:type="dxa"/>
              <w:right w:w="90" w:type="dxa"/>
            </w:tcMar>
            <w:vAlign w:val="center"/>
          </w:tcPr>
          <w:p>
            <w:pPr>
              <w:spacing w:after="0" w:line="240" w:lineRule="auto"/>
              <w:jc w:val="left"/>
            </w:pPr>
            <w:r>
              <w:rPr>
                <w:color w:val="262626"/>
                <w:sz w:val="18"/>
                <w:szCs w:val="18"/>
              </w:rPr>
              <w:t xml:space="preserve">Clase realizada sin inscripción</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35</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7.3%</w:t>
            </w:r>
          </w:p>
        </w:tc>
        <w:tc>
          <w:tcPr>
            <w:tcW w:w="5260" w:type="dxa"/>
            <w:tcMar>
              <w:top w:w="60" w:type="dxa"/>
              <w:bottom w:w="60" w:type="dxa"/>
              <w:left w:w="90" w:type="dxa"/>
              <w:right w:w="90" w:type="dxa"/>
            </w:tcMar>
            <w:vAlign w:val="center"/>
          </w:tcPr>
          <w:p>
            <w:pPr>
              <w:spacing w:after="0" w:line="240" w:lineRule="auto"/>
              <w:jc w:val="left"/>
            </w:pPr>
            <w:r>
              <w:rPr>
                <w:color w:val="262626"/>
                <w:sz w:val="18"/>
                <w:szCs w:val="18"/>
              </w:rPr>
              <w:t xml:space="preserve">La tasa de cierre (46.2%) es el eslabón más sano del embudo; no es donde hay que intervenir primero.</w:t>
            </w:r>
          </w:p>
        </w:tc>
      </w:tr>
    </w:tbl>
    <w:p>
      <w:pPr>
        <w:jc w:val="both"/>
        <w:spacing w:after="60" w:line="264" w:lineRule="auto"/>
      </w:pPr>
      <w:r>
        <w:rPr>
          <w:color w:val="262626"/>
          <w:sz w:val="20"/>
          <w:szCs w:val="20"/>
        </w:rPr>
        <w:t xml:space="preserve"/>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El problema no está en marketing</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Los datos descartan generación (565 conversaciones a $12.39 cada una), asistencia (73.6%) y cierre (46.2%) como el problema principal. El 87.6% de la pérdida total ocurre antes de que exista una clase muestra agendada, es decir, en la conversión de la conversación en cita. Es un problema de operación comercial y de cadencia de seguimiento.</w:t>
            </w:r>
          </w:p>
        </w:tc>
      </w:tr>
    </w:tbl>
    <w:p>
      <w:pPr>
        <w:jc w:val="both"/>
        <w:spacing w:after="0" w:line="264" w:lineRule="auto"/>
      </w:pPr>
      <w:r>
        <w:rPr>
          <w:color w:val="262626"/>
          <w:sz w:val="20"/>
          <w:szCs w:val="20"/>
        </w:rPr>
        <w:t xml:space="preserve"/>
      </w:r>
    </w:p>
    <w:p>
      <w:r>
        <w:br w:type="page"/>
      </w:r>
    </w:p>
    <w:p>
      <w:pPr>
        <w:pStyle w:val="Titulo1"/>
      </w:pPr>
      <w:r>
        <w:rPr>
          <w:b/>
          <w:color w:val="262626"/>
          <w:sz w:val="20"/>
          <w:szCs w:val="20"/>
        </w:rPr>
        <w:t xml:space="preserve">5. Clases muestra</w:t>
      </w:r>
    </w:p>
    <w:p>
      <w:pPr>
        <w:jc w:val="both"/>
        <w:spacing w:after="120" w:line="264" w:lineRule="auto"/>
      </w:pPr>
      <w:r>
        <w:rPr>
          <w:color w:val="262626"/>
          <w:sz w:val="20"/>
          <w:szCs w:val="20"/>
        </w:rPr>
        <w:t xml:space="preserve">Se analizaron las 91 clases muestra con fecha dentro del periodo, correspondientes a 87 personas distintas. La bitácora es la única fuente que registra el cierre, por lo que es también la fuente de la inscripción.</w:t>
      </w:r>
    </w:p>
    <w:p>
      <w:pPr>
        <w:spacing w:before="80" w:after="60"/>
      </w:pPr>
      <w:r>
        <w:rPr>
          <w:b/>
          <w:color w:val="2E5C9A"/>
          <w:sz w:val="18"/>
          <w:szCs w:val="18"/>
        </w:rPr>
        <w:t xml:space="preserve">Tabla 9. Resultado de las clases muestra del periodo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500"/>
        <w:gridCol w:w="900"/>
        <w:gridCol w:w="1100"/>
        <w:gridCol w:w="4860"/>
      </w:tblGrid>
      <w:tr>
        <w:trPr>
          <w:tblHeader/>
          <w:cantSplit/>
        </w:trPr>
        <w:tc>
          <w:tcPr>
            <w:tcW w:w="25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Estado de la clase muestra</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w:t>
            </w:r>
          </w:p>
        </w:tc>
        <w:tc>
          <w:tcPr>
            <w:tcW w:w="1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 agendadas</w:t>
            </w:r>
          </w:p>
        </w:tc>
        <w:tc>
          <w:tcPr>
            <w:tcW w:w="48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Qué significa</w:t>
            </w:r>
          </w:p>
        </w:tc>
      </w:tr>
      <w:tr>
        <w:tc>
          <w:tcPr>
            <w:tcW w:w="2500" w:type="dxa"/>
            <w:tcMar>
              <w:top w:w="60" w:type="dxa"/>
              <w:bottom w:w="60" w:type="dxa"/>
              <w:left w:w="90" w:type="dxa"/>
              <w:right w:w="90" w:type="dxa"/>
            </w:tcMar>
            <w:vAlign w:val="center"/>
          </w:tcPr>
          <w:p>
            <w:pPr>
              <w:spacing w:after="0" w:line="240" w:lineRule="auto"/>
              <w:jc w:val="left"/>
            </w:pPr>
            <w:r>
              <w:rPr>
                <w:color w:val="262626"/>
                <w:sz w:val="18"/>
                <w:szCs w:val="18"/>
              </w:rPr>
              <w:t xml:space="preserve">Realizadas con inscripción</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31</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34.1%</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La clase terminó en alta</w:t>
            </w:r>
          </w:p>
        </w:tc>
      </w:tr>
      <w:tr>
        <w:tc>
          <w:tcPr>
            <w:tcW w:w="2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Realizadas sin cierre</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36</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39.6%</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Asistió pero aún no decide: oportunidad abierta</w:t>
            </w:r>
          </w:p>
        </w:tc>
      </w:tr>
      <w:tr>
        <w:tc>
          <w:tcPr>
            <w:tcW w:w="2500" w:type="dxa"/>
            <w:tcMar>
              <w:top w:w="60" w:type="dxa"/>
              <w:bottom w:w="60" w:type="dxa"/>
              <w:left w:w="90" w:type="dxa"/>
              <w:right w:w="90" w:type="dxa"/>
            </w:tcMar>
            <w:vAlign w:val="center"/>
          </w:tcPr>
          <w:p>
            <w:pPr>
              <w:spacing w:after="0" w:line="240" w:lineRule="auto"/>
              <w:jc w:val="left"/>
            </w:pPr>
            <w:r>
              <w:rPr>
                <w:color w:val="262626"/>
                <w:sz w:val="18"/>
                <w:szCs w:val="18"/>
              </w:rPr>
              <w:t xml:space="preserve">No show</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20</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22.0%</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Agendada y no asistió</w:t>
            </w:r>
          </w:p>
        </w:tc>
      </w:tr>
      <w:tr>
        <w:tc>
          <w:tcPr>
            <w:tcW w:w="25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Pendientes al 4 de octubre</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3.3%</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Cita vigente al cierre del periodo</w:t>
            </w:r>
          </w:p>
        </w:tc>
      </w:tr>
      <w:tr>
        <w:tc>
          <w:tcPr>
            <w:tcW w:w="25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Reprogramadas</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Cita pospuesta a nueva fecha</w:t>
            </w:r>
          </w:p>
        </w:tc>
      </w:tr>
      <w:tr>
        <w:tc>
          <w:tcPr>
            <w:tcW w:w="2500" w:type="dxa"/>
            <w:shd w:val="clear" w:color="auto" w:fill="DCE4F2"/>
            <w:tcMar>
              <w:top w:w="60" w:type="dxa"/>
              <w:bottom w:w="60" w:type="dxa"/>
              <w:left w:w="90" w:type="dxa"/>
              <w:right w:w="90" w:type="dxa"/>
            </w:tcMar>
            <w:vAlign w:val="center"/>
          </w:tcPr>
          <w:p>
            <w:pPr>
              <w:spacing w:after="0" w:line="240" w:lineRule="auto"/>
              <w:jc w:val="left"/>
            </w:pPr>
            <w:r>
              <w:rPr>
                <w:b/>
                <w:color w:val="262626"/>
                <w:sz w:val="18"/>
                <w:szCs w:val="18"/>
              </w:rPr>
              <w:t xml:space="preserve">Total agendadas</w:t>
            </w:r>
          </w:p>
        </w:tc>
        <w:tc>
          <w:tcPr>
            <w:tcW w:w="9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91</w:t>
            </w:r>
          </w:p>
        </w:tc>
        <w:tc>
          <w:tcPr>
            <w:tcW w:w="11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100.0%</w:t>
            </w:r>
          </w:p>
        </w:tc>
        <w:tc>
          <w:tcPr>
            <w:tcW w:w="4860" w:type="dxa"/>
            <w:shd w:val="clear" w:color="auto" w:fill="DCE4F2"/>
            <w:tcMar>
              <w:top w:w="60" w:type="dxa"/>
              <w:bottom w:w="60" w:type="dxa"/>
              <w:left w:w="90" w:type="dxa"/>
              <w:right w:w="90" w:type="dxa"/>
            </w:tcMar>
            <w:vAlign w:val="center"/>
          </w:tcPr>
          <w:p>
            <w:pPr>
              <w:spacing w:after="0" w:line="240" w:lineRule="auto"/>
              <w:jc w:val="left"/>
            </w:pPr>
            <w:r>
              <w:rPr>
                <w:b/>
                <w:color w:val="262626"/>
                <w:sz w:val="18"/>
                <w:szCs w:val="18"/>
              </w:rPr>
              <w:t xml:space="preserve"/>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592000"/>
            <wp:effectExtent l="0" t="0" r="0" b="0"/>
            <wp:docPr id="10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3"/>
              </a:graphicData>
            </a:graphic>
          </wp:inline>
        </w:drawing>
      </w:r>
    </w:p>
    <w:p>
      <w:pPr>
        <w:jc w:val="both"/>
        <w:spacing w:after="120" w:line="264" w:lineRule="auto"/>
      </w:pPr>
      <w:r>
        <w:rPr>
          <w:color w:val="262626"/>
          <w:sz w:val="20"/>
          <w:szCs w:val="20"/>
        </w:rPr>
        <w:t xml:space="preserve">Canceladas: las fuentes no registran un estado de cancelación; los casos que no se concretaron aparecen como «NO ASISTIÓ» o «Cita pospuesta». No es posible separar cancelación de no show con los datos disponibles.</w:t>
      </w:r>
    </w:p>
    <w:p>
      <w:pPr>
        <w:pStyle w:val="Titulo2"/>
      </w:pPr>
      <w:r>
        <w:rPr>
          <w:b/>
          <w:color w:val="262626"/>
          <w:sz w:val="20"/>
          <w:szCs w:val="20"/>
        </w:rPr>
        <w:t xml:space="preserve">5.1 ¿Agendamiento, asistencia, reprogramación o cierre?</w:t>
      </w:r>
    </w:p>
    <w:p>
      <w:pPr>
        <w:spacing w:before="80" w:after="60"/>
      </w:pPr>
      <w:r>
        <w:rPr>
          <w:b/>
          <w:color w:val="2E5C9A"/>
          <w:sz w:val="18"/>
          <w:szCs w:val="18"/>
        </w:rPr>
        <w:t xml:space="preserve">Tabla 10. Diagnóstico del proceso de clase muestra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700"/>
        <w:gridCol w:w="4200"/>
        <w:gridCol w:w="3460"/>
      </w:tblGrid>
      <w:tr>
        <w:trPr>
          <w:tblHeader/>
          <w:cantSplit/>
        </w:trPr>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Posible problema</w:t>
            </w:r>
          </w:p>
        </w:tc>
        <w:tc>
          <w:tcPr>
            <w:tcW w:w="42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Dato observado</w:t>
            </w:r>
          </w:p>
        </w:tc>
        <w:tc>
          <w:tcPr>
            <w:tcW w:w="34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Veredicto</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Agendamiento</w:t>
            </w:r>
          </w:p>
        </w:tc>
        <w:tc>
          <w:tcPr>
            <w:tcW w:w="4200" w:type="dxa"/>
            <w:tcMar>
              <w:top w:w="60" w:type="dxa"/>
              <w:bottom w:w="60" w:type="dxa"/>
              <w:left w:w="90" w:type="dxa"/>
              <w:right w:w="90" w:type="dxa"/>
            </w:tcMar>
            <w:vAlign w:val="center"/>
          </w:tcPr>
          <w:p>
            <w:pPr>
              <w:spacing w:after="0" w:line="240" w:lineRule="auto"/>
              <w:jc w:val="left"/>
            </w:pPr>
            <w:r>
              <w:rPr>
                <w:color w:val="262626"/>
                <w:sz w:val="18"/>
                <w:szCs w:val="18"/>
              </w:rPr>
              <w:t xml:space="preserve">Lead → CM agendada = 19.1% (87 de 477 personas)</w:t>
            </w:r>
          </w:p>
        </w:tc>
        <w:tc>
          <w:tcPr>
            <w:tcW w:w="3460" w:type="dxa"/>
            <w:tcMar>
              <w:top w:w="60" w:type="dxa"/>
              <w:bottom w:w="60" w:type="dxa"/>
              <w:left w:w="90" w:type="dxa"/>
              <w:right w:w="90" w:type="dxa"/>
            </w:tcMar>
            <w:vAlign w:val="center"/>
          </w:tcPr>
          <w:p>
            <w:pPr>
              <w:spacing w:after="0" w:line="240" w:lineRule="auto"/>
              <w:jc w:val="left"/>
            </w:pPr>
            <w:r>
              <w:rPr>
                <w:b/>
                <w:color w:val="B23A33"/>
                <w:sz w:val="18"/>
                <w:szCs w:val="18"/>
              </w:rPr>
              <w:t xml:space="preserve">SÍ — es el problema principal</w:t>
            </w:r>
          </w:p>
        </w:tc>
      </w:tr>
      <w:tr>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Asistencia</w:t>
            </w:r>
          </w:p>
        </w:tc>
        <w:tc>
          <w:tcPr>
            <w:tcW w:w="4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realizadas / agendadas = 73.6%</w:t>
            </w:r>
          </w:p>
        </w:tc>
        <w:tc>
          <w:tcPr>
            <w:tcW w:w="3460" w:type="dxa"/>
            <w:shd w:val="clear" w:color="auto" w:fill="F4F4F4"/>
            <w:tcMar>
              <w:top w:w="60" w:type="dxa"/>
              <w:bottom w:w="60" w:type="dxa"/>
              <w:left w:w="90" w:type="dxa"/>
              <w:right w:w="90" w:type="dxa"/>
            </w:tcMar>
            <w:vAlign w:val="center"/>
          </w:tcPr>
          <w:p>
            <w:pPr>
              <w:spacing w:after="0" w:line="240" w:lineRule="auto"/>
              <w:jc w:val="left"/>
            </w:pPr>
            <w:r>
              <w:rPr>
                <w:color w:val="2E7D5B"/>
                <w:sz w:val="18"/>
                <w:szCs w:val="18"/>
              </w:rPr>
              <w:t xml:space="preserve">No — está en nivel saludable</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Reprogramación</w:t>
            </w:r>
          </w:p>
        </w:tc>
        <w:tc>
          <w:tcPr>
            <w:tcW w:w="4200" w:type="dxa"/>
            <w:tcMar>
              <w:top w:w="60" w:type="dxa"/>
              <w:bottom w:w="60" w:type="dxa"/>
              <w:left w:w="90" w:type="dxa"/>
              <w:right w:w="90" w:type="dxa"/>
            </w:tcMar>
            <w:vAlign w:val="center"/>
          </w:tcPr>
          <w:p>
            <w:pPr>
              <w:spacing w:after="0" w:line="240" w:lineRule="auto"/>
              <w:jc w:val="left"/>
            </w:pPr>
            <w:r>
              <w:rPr>
                <w:color w:val="262626"/>
                <w:sz w:val="18"/>
                <w:szCs w:val="18"/>
              </w:rPr>
              <w:t xml:space="preserve">1 caso de 91 clases (1.1%)</w:t>
            </w:r>
          </w:p>
        </w:tc>
        <w:tc>
          <w:tcPr>
            <w:tcW w:w="3460" w:type="dxa"/>
            <w:tcMar>
              <w:top w:w="60" w:type="dxa"/>
              <w:bottom w:w="60" w:type="dxa"/>
              <w:left w:w="90" w:type="dxa"/>
              <w:right w:w="90" w:type="dxa"/>
            </w:tcMar>
            <w:vAlign w:val="center"/>
          </w:tcPr>
          <w:p>
            <w:pPr>
              <w:spacing w:after="0" w:line="240" w:lineRule="auto"/>
              <w:jc w:val="left"/>
            </w:pPr>
            <w:r>
              <w:rPr>
                <w:color w:val="2E7D5B"/>
                <w:sz w:val="18"/>
                <w:szCs w:val="18"/>
              </w:rPr>
              <w:t xml:space="preserve">No — irrelevante</w:t>
            </w:r>
          </w:p>
        </w:tc>
      </w:tr>
      <w:tr>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show</w:t>
            </w:r>
          </w:p>
        </w:tc>
        <w:tc>
          <w:tcPr>
            <w:tcW w:w="4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20 de 91 clases (22.0%)</w:t>
            </w:r>
          </w:p>
        </w:tc>
        <w:tc>
          <w:tcPr>
            <w:tcW w:w="3460" w:type="dxa"/>
            <w:shd w:val="clear" w:color="auto" w:fill="F4F4F4"/>
            <w:tcMar>
              <w:top w:w="60" w:type="dxa"/>
              <w:bottom w:w="60" w:type="dxa"/>
              <w:left w:w="90" w:type="dxa"/>
              <w:right w:w="90" w:type="dxa"/>
            </w:tcMar>
            <w:vAlign w:val="center"/>
          </w:tcPr>
          <w:p>
            <w:pPr>
              <w:spacing w:after="0" w:line="240" w:lineRule="auto"/>
              <w:jc w:val="left"/>
            </w:pPr>
            <w:r>
              <w:rPr>
                <w:color w:val="B07A12"/>
                <w:sz w:val="18"/>
                <w:szCs w:val="18"/>
              </w:rPr>
              <w:t xml:space="preserve">Parcial — mejorable con confirmación</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Cierre</w:t>
            </w:r>
          </w:p>
        </w:tc>
        <w:tc>
          <w:tcPr>
            <w:tcW w:w="42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 / personas con CM realizada = 46.2%</w:t>
            </w:r>
          </w:p>
        </w:tc>
        <w:tc>
          <w:tcPr>
            <w:tcW w:w="3460" w:type="dxa"/>
            <w:tcMar>
              <w:top w:w="60" w:type="dxa"/>
              <w:bottom w:w="60" w:type="dxa"/>
              <w:left w:w="90" w:type="dxa"/>
              <w:right w:w="90" w:type="dxa"/>
            </w:tcMar>
            <w:vAlign w:val="center"/>
          </w:tcPr>
          <w:p>
            <w:pPr>
              <w:spacing w:after="0" w:line="240" w:lineRule="auto"/>
              <w:jc w:val="left"/>
            </w:pPr>
            <w:r>
              <w:rPr>
                <w:color w:val="2E7D5B"/>
                <w:sz w:val="18"/>
                <w:szCs w:val="18"/>
              </w:rPr>
              <w:t xml:space="preserve">No — es la fortaleza del proceso</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5.2 Horarios y canal de agenda</w:t>
      </w:r>
    </w:p>
    <w:p>
      <w:pPr>
        <w:spacing w:before="80" w:after="60"/>
      </w:pPr>
      <w:r>
        <w:rPr>
          <w:b/>
          <w:color w:val="2E5C9A"/>
          <w:sz w:val="18"/>
          <w:szCs w:val="18"/>
        </w:rPr>
        <w:t xml:space="preserve">Tabla 11. Horarios más demandados para clase muestra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4195"/>
        <w:gridCol w:w="2582"/>
        <w:gridCol w:w="2582"/>
      </w:tblGrid>
      <w:tr>
        <w:trPr>
          <w:tblHeader/>
          <w:cantSplit/>
        </w:trPr>
        <w:tc>
          <w:tcPr>
            <w:tcW w:w="4195"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Horario de la clase</w:t>
            </w:r>
          </w:p>
        </w:tc>
        <w:tc>
          <w:tcPr>
            <w:tcW w:w="2582"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 muestra</w:t>
            </w:r>
          </w:p>
        </w:tc>
        <w:tc>
          <w:tcPr>
            <w:tcW w:w="2582"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del total</w:t>
            </w:r>
          </w:p>
        </w:tc>
      </w:tr>
      <w:tr>
        <w:tc>
          <w:tcPr>
            <w:tcW w:w="4195" w:type="dxa"/>
            <w:tcMar>
              <w:top w:w="60" w:type="dxa"/>
              <w:bottom w:w="60" w:type="dxa"/>
              <w:left w:w="90" w:type="dxa"/>
              <w:right w:w="90" w:type="dxa"/>
            </w:tcMar>
            <w:vAlign w:val="center"/>
          </w:tcPr>
          <w:p>
            <w:pPr>
              <w:spacing w:after="0" w:line="240" w:lineRule="auto"/>
              <w:jc w:val="left"/>
            </w:pPr>
            <w:r>
              <w:rPr>
                <w:color w:val="262626"/>
                <w:sz w:val="18"/>
                <w:szCs w:val="18"/>
              </w:rPr>
              <w:t xml:space="preserve">4:00pm</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23</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25.3%</w:t>
            </w:r>
          </w:p>
        </w:tc>
      </w:tr>
      <w:tr>
        <w:tc>
          <w:tcPr>
            <w:tcW w:w="4195"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6:00pm</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15</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16.5%</w:t>
            </w:r>
          </w:p>
        </w:tc>
      </w:tr>
      <w:tr>
        <w:tc>
          <w:tcPr>
            <w:tcW w:w="4195" w:type="dxa"/>
            <w:tcMar>
              <w:top w:w="60" w:type="dxa"/>
              <w:bottom w:w="60" w:type="dxa"/>
              <w:left w:w="90" w:type="dxa"/>
              <w:right w:w="90" w:type="dxa"/>
            </w:tcMar>
            <w:vAlign w:val="center"/>
          </w:tcPr>
          <w:p>
            <w:pPr>
              <w:spacing w:after="0" w:line="240" w:lineRule="auto"/>
              <w:jc w:val="left"/>
            </w:pPr>
            <w:r>
              <w:rPr>
                <w:color w:val="262626"/>
                <w:sz w:val="18"/>
                <w:szCs w:val="18"/>
              </w:rPr>
              <w:t xml:space="preserve">9:00am</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13</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14.3%</w:t>
            </w:r>
          </w:p>
        </w:tc>
      </w:tr>
      <w:tr>
        <w:tc>
          <w:tcPr>
            <w:tcW w:w="4195"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5:00pm</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12.1%</w:t>
            </w:r>
          </w:p>
        </w:tc>
      </w:tr>
      <w:tr>
        <w:tc>
          <w:tcPr>
            <w:tcW w:w="4195" w:type="dxa"/>
            <w:tcMar>
              <w:top w:w="60" w:type="dxa"/>
              <w:bottom w:w="60" w:type="dxa"/>
              <w:left w:w="90" w:type="dxa"/>
              <w:right w:w="90" w:type="dxa"/>
            </w:tcMar>
            <w:vAlign w:val="center"/>
          </w:tcPr>
          <w:p>
            <w:pPr>
              <w:spacing w:after="0" w:line="240" w:lineRule="auto"/>
              <w:jc w:val="left"/>
            </w:pPr>
            <w:r>
              <w:rPr>
                <w:color w:val="262626"/>
                <w:sz w:val="18"/>
                <w:szCs w:val="18"/>
              </w:rPr>
              <w:t xml:space="preserve">10:00am</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9</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9.9%</w:t>
            </w:r>
          </w:p>
        </w:tc>
      </w:tr>
      <w:tr>
        <w:tc>
          <w:tcPr>
            <w:tcW w:w="4195"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7:00pm</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7.7%</w:t>
            </w:r>
          </w:p>
        </w:tc>
      </w:tr>
      <w:tr>
        <w:tc>
          <w:tcPr>
            <w:tcW w:w="4195" w:type="dxa"/>
            <w:tcMar>
              <w:top w:w="60" w:type="dxa"/>
              <w:bottom w:w="60" w:type="dxa"/>
              <w:left w:w="90" w:type="dxa"/>
              <w:right w:w="90" w:type="dxa"/>
            </w:tcMar>
            <w:vAlign w:val="center"/>
          </w:tcPr>
          <w:p>
            <w:pPr>
              <w:spacing w:after="0" w:line="240" w:lineRule="auto"/>
              <w:jc w:val="left"/>
            </w:pPr>
            <w:r>
              <w:rPr>
                <w:color w:val="262626"/>
                <w:sz w:val="18"/>
                <w:szCs w:val="18"/>
              </w:rPr>
              <w:t xml:space="preserve">12:00pm</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7.7%</w:t>
            </w:r>
          </w:p>
        </w:tc>
      </w:tr>
      <w:tr>
        <w:tc>
          <w:tcPr>
            <w:tcW w:w="4195"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11:00am</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5.5%</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Las 16:00 h concentran 25.3% de las clases muestra y el bloque de 16:00 a 19:00 h agrupa 61.5% del total. Es información directamente útil para dimensionar la disponibilidad de docentes.</w:t>
      </w:r>
    </w:p>
    <w:p>
      <w:pPr>
        <w:spacing w:before="80" w:after="60"/>
      </w:pPr>
      <w:r>
        <w:rPr>
          <w:b/>
          <w:color w:val="2E5C9A"/>
          <w:sz w:val="18"/>
          <w:szCs w:val="18"/>
        </w:rPr>
        <w:t xml:space="preserve">Tabla 12. Canal de agenda y su tasa de cierre</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3578"/>
        <w:gridCol w:w="1927"/>
        <w:gridCol w:w="1927"/>
        <w:gridCol w:w="1927"/>
      </w:tblGrid>
      <w:tr>
        <w:trPr>
          <w:tblHeader/>
          <w:cantSplit/>
        </w:trPr>
        <w:tc>
          <w:tcPr>
            <w:tcW w:w="3578"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Canal usado para agendar</w:t>
            </w:r>
          </w:p>
        </w:tc>
        <w:tc>
          <w:tcPr>
            <w:tcW w:w="1927"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 muestra</w:t>
            </w:r>
          </w:p>
        </w:tc>
        <w:tc>
          <w:tcPr>
            <w:tcW w:w="1927"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c>
          <w:tcPr>
            <w:tcW w:w="1927"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Cierre</w:t>
            </w:r>
          </w:p>
        </w:tc>
      </w:tr>
      <w:tr>
        <w:tc>
          <w:tcPr>
            <w:tcW w:w="3578" w:type="dxa"/>
            <w:tcMar>
              <w:top w:w="60" w:type="dxa"/>
              <w:bottom w:w="60" w:type="dxa"/>
              <w:left w:w="90" w:type="dxa"/>
              <w:right w:w="90" w:type="dxa"/>
            </w:tcMar>
            <w:vAlign w:val="center"/>
          </w:tcPr>
          <w:p>
            <w:pPr>
              <w:spacing w:after="0" w:line="240" w:lineRule="auto"/>
              <w:jc w:val="left"/>
            </w:pPr>
            <w:r>
              <w:rPr>
                <w:color w:val="262626"/>
                <w:sz w:val="18"/>
                <w:szCs w:val="18"/>
              </w:rPr>
              <w:t xml:space="preserve">Whatsaap</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71</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26.8%</w:t>
            </w:r>
          </w:p>
        </w:tc>
      </w:tr>
      <w:tr>
        <w:tc>
          <w:tcPr>
            <w:tcW w:w="3578"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Facebook</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72.7%</w:t>
            </w:r>
          </w:p>
        </w:tc>
      </w:tr>
      <w:tr>
        <w:tc>
          <w:tcPr>
            <w:tcW w:w="3578" w:type="dxa"/>
            <w:tcMar>
              <w:top w:w="60" w:type="dxa"/>
              <w:bottom w:w="60" w:type="dxa"/>
              <w:left w:w="90" w:type="dxa"/>
              <w:right w:w="90" w:type="dxa"/>
            </w:tcMar>
            <w:vAlign w:val="center"/>
          </w:tcPr>
          <w:p>
            <w:pPr>
              <w:spacing w:after="0" w:line="240" w:lineRule="auto"/>
              <w:jc w:val="left"/>
            </w:pPr>
            <w:r>
              <w:rPr>
                <w:color w:val="262626"/>
                <w:sz w:val="18"/>
                <w:szCs w:val="18"/>
              </w:rPr>
              <w:t xml:space="preserve">Sitio</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50.0%</w:t>
            </w:r>
          </w:p>
        </w:tc>
      </w:tr>
      <w:tr>
        <w:tc>
          <w:tcPr>
            <w:tcW w:w="3578"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Instagram</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927"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50.0%</w:t>
            </w:r>
          </w:p>
        </w:tc>
      </w:tr>
      <w:tr>
        <w:tc>
          <w:tcPr>
            <w:tcW w:w="3578" w:type="dxa"/>
            <w:tcMar>
              <w:top w:w="60" w:type="dxa"/>
              <w:bottom w:w="60" w:type="dxa"/>
              <w:left w:w="90" w:type="dxa"/>
              <w:right w:w="90" w:type="dxa"/>
            </w:tcMar>
            <w:vAlign w:val="center"/>
          </w:tcPr>
          <w:p>
            <w:pPr>
              <w:spacing w:after="0" w:line="240" w:lineRule="auto"/>
              <w:jc w:val="left"/>
            </w:pPr>
            <w:r>
              <w:rPr>
                <w:color w:val="262626"/>
                <w:sz w:val="18"/>
                <w:szCs w:val="18"/>
              </w:rPr>
              <w:t xml:space="preserve">Recomendación</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927" w:type="dxa"/>
            <w:tcMar>
              <w:top w:w="60" w:type="dxa"/>
              <w:bottom w:w="60" w:type="dxa"/>
              <w:left w:w="90" w:type="dxa"/>
              <w:right w:w="90" w:type="dxa"/>
            </w:tcMar>
            <w:vAlign w:val="center"/>
          </w:tcPr>
          <w:p>
            <w:pPr>
              <w:spacing w:after="0" w:line="240" w:lineRule="auto"/>
              <w:jc w:val="right"/>
            </w:pPr>
            <w:r>
              <w:rPr>
                <w:color w:val="262626"/>
                <w:sz w:val="18"/>
                <w:szCs w:val="18"/>
              </w:rPr>
              <w:t xml:space="preserve">100.0%</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WhatsApp es el canal operativo real: 78.0% de las clases muestra se agendaron por ahí. Facebook aparece con una tasa de cierre superior (72.7% frente a 26.8% de WhatsApp), aunque sobre una base pequeña (11 clases), por lo que debe leerse como indicio y no como conclusión.</w:t>
      </w:r>
    </w:p>
    <w:p>
      <w:r>
        <w:br w:type="page"/>
      </w:r>
    </w:p>
    <w:p>
      <w:pPr>
        <w:pStyle w:val="Titulo1"/>
      </w:pPr>
      <w:r>
        <w:rPr>
          <w:b/>
          <w:color w:val="262626"/>
          <w:sz w:val="20"/>
          <w:szCs w:val="20"/>
        </w:rPr>
        <w:t xml:space="preserve">6. Resultados de pauta</w:t>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Presupuesto asignado frente a gasto real</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Presupuesto asignado: $7,000 MXN. Gasto real reportado por Meta: $6,999.91 MXN (100.0%). Todos los indicadores de eficiencia de este reporte se calculan sobre el GASTO REAL, no sobre el presupuesto. El remanente fue de $0.09.</w:t>
            </w:r>
          </w:p>
        </w:tc>
      </w:tr>
    </w:tbl>
    <w:p>
      <w:pPr>
        <w:jc w:val="both"/>
        <w:spacing w:after="0" w:line="264" w:lineRule="auto"/>
      </w:pPr>
      <w:r>
        <w:rPr>
          <w:color w:val="262626"/>
          <w:sz w:val="20"/>
          <w:szCs w:val="20"/>
        </w:rPr>
        <w:t xml:space="preserve"/>
      </w:r>
    </w:p>
    <w:p>
      <w:pPr>
        <w:spacing w:before="80" w:after="60"/>
      </w:pPr>
      <w:r>
        <w:rPr>
          <w:b/>
          <w:color w:val="2E5C9A"/>
          <w:sz w:val="18"/>
          <w:szCs w:val="18"/>
        </w:rPr>
        <w:t xml:space="preserve">Tabla 13. Indicadores de pauta y eficiencia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800"/>
        <w:gridCol w:w="1700"/>
        <w:gridCol w:w="4860"/>
      </w:tblGrid>
      <w:tr>
        <w:trPr>
          <w:tblHeader/>
          <w:cantSplit/>
        </w:trPr>
        <w:tc>
          <w:tcPr>
            <w:tcW w:w="2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Indicador de pauta</w:t>
            </w:r>
          </w:p>
        </w:tc>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Valor</w:t>
            </w:r>
          </w:p>
        </w:tc>
        <w:tc>
          <w:tcPr>
            <w:tcW w:w="48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Observación</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Gasto real</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$6,999.91</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Suma de los 8 anuncios</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Impresiones</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241,265</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Suma por anuncio</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Alcance</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75,110 – 97,823</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Meta no exportó alcance único de campaña</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Frecuencia</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2.47 – 3.21</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Impresiones / alcance, según la cota usada</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Conversaciones iniciadas</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565</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Resultado optimizado del objetivo</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CPM</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$29.01</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impresiones × 1,000</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Costo por conversación</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$12.39</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conversaciones</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Costo por lead (persona única)</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$14.67</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477 leads</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Costo por CM agendada</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$76.92</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91 clases</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Costo por CM realizada</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$104.48</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67 clases</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CAC (atribuibles)</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$304.34</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Gasto / 23 inscripciones atribuibles</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CAC (todas las inscripciones)</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$233.33</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Gasto / 30 inscripciones</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CTR</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No calculable</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La exportación no incluye clics</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CPC</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No calculable</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La exportación no incluye clics</w:t>
            </w:r>
          </w:p>
        </w:tc>
      </w:tr>
    </w:tbl>
    <w:p>
      <w:pPr>
        <w:jc w:val="both"/>
        <w:spacing w:after="60" w:line="264" w:lineRule="auto"/>
      </w:pPr>
      <w:r>
        <w:rPr>
          <w:color w:val="262626"/>
          <w:sz w:val="20"/>
          <w:szCs w:val="20"/>
        </w:rPr>
        <w:t xml:space="preserve"/>
      </w:r>
    </w:p>
    <w:p>
      <w:pPr>
        <w:jc w:val="both"/>
        <w:spacing w:after="100" w:line="264" w:lineRule="auto"/>
      </w:pPr>
      <w:r>
        <w:rPr>
          <w:color w:val="595959"/>
          <w:sz w:val="16"/>
          <w:szCs w:val="16"/>
        </w:rPr>
        <w:t xml:space="preserve">Nota sobre el alcance: sumar el alcance de los 8 anuncios da 97,823 personas, pero esa cifra contiene duplicación porque una misma persona pudo ver varios anuncios. El alcance único real de la campaña está entre 75,110 (el alcance del anuncio de mayor entrega) y 97,823. No se reporta un número único porque la fuente no lo permite.</w:t>
      </w:r>
    </w:p>
    <w:p>
      <w:r>
        <w:br w:type="page"/>
      </w:r>
    </w:p>
    <w:p>
      <w:pPr>
        <w:pStyle w:val="Titulo1"/>
      </w:pPr>
      <w:r>
        <w:rPr>
          <w:b/>
          <w:color w:val="262626"/>
          <w:sz w:val="20"/>
          <w:szCs w:val="20"/>
        </w:rPr>
        <w:t xml:space="preserve">7. Anuncios y creativos: volumen frente a eficiencia</w:t>
      </w:r>
    </w:p>
    <w:p>
      <w:pPr>
        <w:jc w:val="both"/>
        <w:spacing w:after="120" w:line="264" w:lineRule="auto"/>
      </w:pPr>
      <w:r>
        <w:rPr>
          <w:color w:val="262626"/>
          <w:sz w:val="20"/>
          <w:szCs w:val="20"/>
        </w:rPr>
        <w:t xml:space="preserve">Los ocho anuncios compartieron un solo conjunto con presupuesto a nivel campaña, de modo que el reparto del gasto lo decidió el algoritmo de entrega y no una asignación manual. Eso explica la enorme concentración observada.</w:t>
      </w:r>
    </w:p>
    <w:p>
      <w:pPr>
        <w:spacing w:before="80" w:after="60"/>
      </w:pPr>
      <w:r>
        <w:rPr>
          <w:b/>
          <w:color w:val="2E5C9A"/>
          <w:sz w:val="18"/>
          <w:szCs w:val="18"/>
        </w:rPr>
        <w:t xml:space="preserve">Tabla 14. Desempeño por anuncio (ordenado por gasto)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500"/>
        <w:gridCol w:w="1000"/>
        <w:gridCol w:w="1050"/>
        <w:gridCol w:w="750"/>
        <w:gridCol w:w="650"/>
        <w:gridCol w:w="1000"/>
        <w:gridCol w:w="1200"/>
        <w:gridCol w:w="1050"/>
        <w:gridCol w:w="1160"/>
      </w:tblGrid>
      <w:tr>
        <w:trPr>
          <w:tblHeader/>
          <w:cantSplit/>
        </w:trPr>
        <w:tc>
          <w:tcPr>
            <w:tcW w:w="150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Anuncio</w:t>
            </w:r>
          </w:p>
        </w:tc>
        <w:tc>
          <w:tcPr>
            <w:tcW w:w="100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Formato</w:t>
            </w:r>
          </w:p>
        </w:tc>
        <w:tc>
          <w:tcPr>
            <w:tcW w:w="105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Gasto</w:t>
            </w:r>
          </w:p>
        </w:tc>
        <w:tc>
          <w:tcPr>
            <w:tcW w:w="75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 gasto</w:t>
            </w:r>
          </w:p>
        </w:tc>
        <w:tc>
          <w:tcPr>
            <w:tcW w:w="65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Conv.</w:t>
            </w:r>
          </w:p>
        </w:tc>
        <w:tc>
          <w:tcPr>
            <w:tcW w:w="100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Costo/conv.</w:t>
            </w:r>
          </w:p>
        </w:tc>
        <w:tc>
          <w:tcPr>
            <w:tcW w:w="120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Impresiones</w:t>
            </w:r>
          </w:p>
        </w:tc>
        <w:tc>
          <w:tcPr>
            <w:tcW w:w="105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Alcance</w:t>
            </w:r>
          </w:p>
        </w:tc>
        <w:tc>
          <w:tcPr>
            <w:tcW w:w="1160" w:type="dxa"/>
            <w:shd w:val="clear" w:color="auto" w:fill="1F3864"/>
            <w:tcMar>
              <w:top w:w="60" w:type="dxa"/>
              <w:bottom w:w="60" w:type="dxa"/>
              <w:left w:w="90" w:type="dxa"/>
              <w:right w:w="90" w:type="dxa"/>
            </w:tcMar>
            <w:vAlign w:val="center"/>
          </w:tcPr>
          <w:p>
            <w:pPr>
              <w:spacing w:after="0" w:line="240" w:lineRule="auto"/>
              <w:jc w:val="center"/>
            </w:pPr>
            <w:r>
              <w:rPr>
                <w:b/>
                <w:color w:val="FFFFFF"/>
                <w:sz w:val="16"/>
                <w:szCs w:val="16"/>
              </w:rPr>
              <w:t xml:space="preserve">CPM</w:t>
            </w:r>
          </w:p>
        </w:tc>
      </w:tr>
      <w:tr>
        <w:tc>
          <w:tcPr>
            <w:tcW w:w="1500" w:type="dxa"/>
            <w:tcMar>
              <w:top w:w="60" w:type="dxa"/>
              <w:bottom w:w="60" w:type="dxa"/>
              <w:left w:w="90" w:type="dxa"/>
              <w:right w:w="90" w:type="dxa"/>
            </w:tcMar>
            <w:vAlign w:val="center"/>
          </w:tcPr>
          <w:p>
            <w:pPr>
              <w:spacing w:after="0" w:line="240" w:lineRule="auto"/>
              <w:jc w:val="left"/>
            </w:pPr>
            <w:r>
              <w:rPr>
                <w:color w:val="262626"/>
                <w:sz w:val="16"/>
                <w:szCs w:val="16"/>
              </w:rPr>
              <w:t xml:space="preserve">video villas</w:t>
            </w:r>
          </w:p>
        </w:tc>
        <w:tc>
          <w:tcPr>
            <w:tcW w:w="1000" w:type="dxa"/>
            <w:tcMar>
              <w:top w:w="60" w:type="dxa"/>
              <w:bottom w:w="60" w:type="dxa"/>
              <w:left w:w="90" w:type="dxa"/>
              <w:right w:w="90" w:type="dxa"/>
            </w:tcMar>
            <w:vAlign w:val="center"/>
          </w:tcPr>
          <w:p>
            <w:pPr>
              <w:spacing w:after="0" w:line="240" w:lineRule="auto"/>
              <w:jc w:val="left"/>
            </w:pPr>
            <w:r>
              <w:rPr>
                <w:color w:val="262626"/>
                <w:sz w:val="16"/>
                <w:szCs w:val="16"/>
              </w:rPr>
              <w:t xml:space="preserve">Video / Reel</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$4,901.80</w:t>
            </w:r>
          </w:p>
        </w:tc>
        <w:tc>
          <w:tcPr>
            <w:tcW w:w="750" w:type="dxa"/>
            <w:tcMar>
              <w:top w:w="60" w:type="dxa"/>
              <w:bottom w:w="60" w:type="dxa"/>
              <w:left w:w="90" w:type="dxa"/>
              <w:right w:w="90" w:type="dxa"/>
            </w:tcMar>
            <w:vAlign w:val="center"/>
          </w:tcPr>
          <w:p>
            <w:pPr>
              <w:spacing w:after="0" w:line="240" w:lineRule="auto"/>
              <w:jc w:val="right"/>
            </w:pPr>
            <w:r>
              <w:rPr>
                <w:color w:val="262626"/>
                <w:sz w:val="16"/>
                <w:szCs w:val="16"/>
              </w:rPr>
              <w:t xml:space="preserve">70.0%</w:t>
            </w:r>
          </w:p>
        </w:tc>
        <w:tc>
          <w:tcPr>
            <w:tcW w:w="650" w:type="dxa"/>
            <w:tcMar>
              <w:top w:w="60" w:type="dxa"/>
              <w:bottom w:w="60" w:type="dxa"/>
              <w:left w:w="90" w:type="dxa"/>
              <w:right w:w="90" w:type="dxa"/>
            </w:tcMar>
            <w:vAlign w:val="center"/>
          </w:tcPr>
          <w:p>
            <w:pPr>
              <w:spacing w:after="0" w:line="240" w:lineRule="auto"/>
              <w:jc w:val="right"/>
            </w:pPr>
            <w:r>
              <w:rPr>
                <w:color w:val="262626"/>
                <w:sz w:val="16"/>
                <w:szCs w:val="16"/>
              </w:rPr>
              <w:t xml:space="preserve">491</w:t>
            </w:r>
          </w:p>
        </w:tc>
        <w:tc>
          <w:tcPr>
            <w:tcW w:w="1000" w:type="dxa"/>
            <w:tcMar>
              <w:top w:w="60" w:type="dxa"/>
              <w:bottom w:w="60" w:type="dxa"/>
              <w:left w:w="90" w:type="dxa"/>
              <w:right w:w="90" w:type="dxa"/>
            </w:tcMar>
            <w:vAlign w:val="center"/>
          </w:tcPr>
          <w:p>
            <w:pPr>
              <w:spacing w:after="0" w:line="240" w:lineRule="auto"/>
              <w:jc w:val="right"/>
            </w:pPr>
            <w:r>
              <w:rPr>
                <w:color w:val="262626"/>
                <w:sz w:val="16"/>
                <w:szCs w:val="16"/>
              </w:rPr>
              <w:t xml:space="preserve">$9.98</w:t>
            </w:r>
          </w:p>
        </w:tc>
        <w:tc>
          <w:tcPr>
            <w:tcW w:w="1200" w:type="dxa"/>
            <w:tcMar>
              <w:top w:w="60" w:type="dxa"/>
              <w:bottom w:w="60" w:type="dxa"/>
              <w:left w:w="90" w:type="dxa"/>
              <w:right w:w="90" w:type="dxa"/>
            </w:tcMar>
            <w:vAlign w:val="center"/>
          </w:tcPr>
          <w:p>
            <w:pPr>
              <w:spacing w:after="0" w:line="240" w:lineRule="auto"/>
              <w:jc w:val="right"/>
            </w:pPr>
            <w:r>
              <w:rPr>
                <w:color w:val="262626"/>
                <w:sz w:val="16"/>
                <w:szCs w:val="16"/>
              </w:rPr>
              <w:t xml:space="preserve">200,179</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75,110</w:t>
            </w:r>
          </w:p>
        </w:tc>
        <w:tc>
          <w:tcPr>
            <w:tcW w:w="1160" w:type="dxa"/>
            <w:tcMar>
              <w:top w:w="60" w:type="dxa"/>
              <w:bottom w:w="60" w:type="dxa"/>
              <w:left w:w="90" w:type="dxa"/>
              <w:right w:w="90" w:type="dxa"/>
            </w:tcMar>
            <w:vAlign w:val="center"/>
          </w:tcPr>
          <w:p>
            <w:pPr>
              <w:spacing w:after="0" w:line="240" w:lineRule="auto"/>
              <w:jc w:val="right"/>
            </w:pPr>
            <w:r>
              <w:rPr>
                <w:color w:val="262626"/>
                <w:sz w:val="16"/>
                <w:szCs w:val="16"/>
              </w:rPr>
              <w:t xml:space="preserve">$24.49</w:t>
            </w:r>
          </w:p>
        </w:tc>
      </w:tr>
      <w:tr>
        <w:tc>
          <w:tcPr>
            <w:tcW w:w="15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video sin libros</w:t>
            </w:r>
          </w:p>
        </w:tc>
        <w:tc>
          <w:tcPr>
            <w:tcW w:w="10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Video / Reel</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$744.50</w:t>
            </w:r>
          </w:p>
        </w:tc>
        <w:tc>
          <w:tcPr>
            <w:tcW w:w="7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10.6%</w:t>
            </w:r>
          </w:p>
        </w:tc>
        <w:tc>
          <w:tcPr>
            <w:tcW w:w="6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39</w:t>
            </w:r>
          </w:p>
        </w:tc>
        <w:tc>
          <w:tcPr>
            <w:tcW w:w="10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$19.09</w:t>
            </w:r>
          </w:p>
        </w:tc>
        <w:tc>
          <w:tcPr>
            <w:tcW w:w="12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15,514</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7,563</w:t>
            </w:r>
          </w:p>
        </w:tc>
        <w:tc>
          <w:tcPr>
            <w:tcW w:w="116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$47.99</w:t>
            </w:r>
          </w:p>
        </w:tc>
      </w:tr>
      <w:tr>
        <w:tc>
          <w:tcPr>
            <w:tcW w:w="1500" w:type="dxa"/>
            <w:tcMar>
              <w:top w:w="60" w:type="dxa"/>
              <w:bottom w:w="60" w:type="dxa"/>
              <w:left w:w="90" w:type="dxa"/>
              <w:right w:w="90" w:type="dxa"/>
            </w:tcMar>
            <w:vAlign w:val="center"/>
          </w:tcPr>
          <w:p>
            <w:pPr>
              <w:spacing w:after="0" w:line="240" w:lineRule="auto"/>
              <w:jc w:val="left"/>
            </w:pPr>
            <w:r>
              <w:rPr>
                <w:color w:val="262626"/>
                <w:sz w:val="16"/>
                <w:szCs w:val="16"/>
              </w:rPr>
              <w:t xml:space="preserve">video clases</w:t>
            </w:r>
          </w:p>
        </w:tc>
        <w:tc>
          <w:tcPr>
            <w:tcW w:w="1000" w:type="dxa"/>
            <w:tcMar>
              <w:top w:w="60" w:type="dxa"/>
              <w:bottom w:w="60" w:type="dxa"/>
              <w:left w:w="90" w:type="dxa"/>
              <w:right w:w="90" w:type="dxa"/>
            </w:tcMar>
            <w:vAlign w:val="center"/>
          </w:tcPr>
          <w:p>
            <w:pPr>
              <w:spacing w:after="0" w:line="240" w:lineRule="auto"/>
              <w:jc w:val="left"/>
            </w:pPr>
            <w:r>
              <w:rPr>
                <w:color w:val="262626"/>
                <w:sz w:val="16"/>
                <w:szCs w:val="16"/>
              </w:rPr>
              <w:t xml:space="preserve">Video / Reel</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$417.57</w:t>
            </w:r>
          </w:p>
        </w:tc>
        <w:tc>
          <w:tcPr>
            <w:tcW w:w="750" w:type="dxa"/>
            <w:tcMar>
              <w:top w:w="60" w:type="dxa"/>
              <w:bottom w:w="60" w:type="dxa"/>
              <w:left w:w="90" w:type="dxa"/>
              <w:right w:w="90" w:type="dxa"/>
            </w:tcMar>
            <w:vAlign w:val="center"/>
          </w:tcPr>
          <w:p>
            <w:pPr>
              <w:spacing w:after="0" w:line="240" w:lineRule="auto"/>
              <w:jc w:val="right"/>
            </w:pPr>
            <w:r>
              <w:rPr>
                <w:color w:val="262626"/>
                <w:sz w:val="16"/>
                <w:szCs w:val="16"/>
              </w:rPr>
              <w:t xml:space="preserve">6.0%</w:t>
            </w:r>
          </w:p>
        </w:tc>
        <w:tc>
          <w:tcPr>
            <w:tcW w:w="650" w:type="dxa"/>
            <w:tcMar>
              <w:top w:w="60" w:type="dxa"/>
              <w:bottom w:w="60" w:type="dxa"/>
              <w:left w:w="90" w:type="dxa"/>
              <w:right w:w="90" w:type="dxa"/>
            </w:tcMar>
            <w:vAlign w:val="center"/>
          </w:tcPr>
          <w:p>
            <w:pPr>
              <w:spacing w:after="0" w:line="240" w:lineRule="auto"/>
              <w:jc w:val="right"/>
            </w:pPr>
            <w:r>
              <w:rPr>
                <w:color w:val="262626"/>
                <w:sz w:val="16"/>
                <w:szCs w:val="16"/>
              </w:rPr>
              <w:t xml:space="preserve">7</w:t>
            </w:r>
          </w:p>
        </w:tc>
        <w:tc>
          <w:tcPr>
            <w:tcW w:w="1000" w:type="dxa"/>
            <w:tcMar>
              <w:top w:w="60" w:type="dxa"/>
              <w:bottom w:w="60" w:type="dxa"/>
              <w:left w:w="90" w:type="dxa"/>
              <w:right w:w="90" w:type="dxa"/>
            </w:tcMar>
            <w:vAlign w:val="center"/>
          </w:tcPr>
          <w:p>
            <w:pPr>
              <w:spacing w:after="0" w:line="240" w:lineRule="auto"/>
              <w:jc w:val="right"/>
            </w:pPr>
            <w:r>
              <w:rPr>
                <w:color w:val="262626"/>
                <w:sz w:val="16"/>
                <w:szCs w:val="16"/>
              </w:rPr>
              <w:t xml:space="preserve">$59.65</w:t>
            </w:r>
          </w:p>
        </w:tc>
        <w:tc>
          <w:tcPr>
            <w:tcW w:w="1200" w:type="dxa"/>
            <w:tcMar>
              <w:top w:w="60" w:type="dxa"/>
              <w:bottom w:w="60" w:type="dxa"/>
              <w:left w:w="90" w:type="dxa"/>
              <w:right w:w="90" w:type="dxa"/>
            </w:tcMar>
            <w:vAlign w:val="center"/>
          </w:tcPr>
          <w:p>
            <w:pPr>
              <w:spacing w:after="0" w:line="240" w:lineRule="auto"/>
              <w:jc w:val="right"/>
            </w:pPr>
            <w:r>
              <w:rPr>
                <w:color w:val="262626"/>
                <w:sz w:val="16"/>
                <w:szCs w:val="16"/>
              </w:rPr>
              <w:t xml:space="preserve">6,867</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4,166</w:t>
            </w:r>
          </w:p>
        </w:tc>
        <w:tc>
          <w:tcPr>
            <w:tcW w:w="1160" w:type="dxa"/>
            <w:tcMar>
              <w:top w:w="60" w:type="dxa"/>
              <w:bottom w:w="60" w:type="dxa"/>
              <w:left w:w="90" w:type="dxa"/>
              <w:right w:w="90" w:type="dxa"/>
            </w:tcMar>
            <w:vAlign w:val="center"/>
          </w:tcPr>
          <w:p>
            <w:pPr>
              <w:spacing w:after="0" w:line="240" w:lineRule="auto"/>
              <w:jc w:val="right"/>
            </w:pPr>
            <w:r>
              <w:rPr>
                <w:color w:val="262626"/>
                <w:sz w:val="16"/>
                <w:szCs w:val="16"/>
              </w:rPr>
              <w:t xml:space="preserve">$60.81</w:t>
            </w:r>
          </w:p>
        </w:tc>
      </w:tr>
      <w:tr>
        <w:tc>
          <w:tcPr>
            <w:tcW w:w="15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post grupos</w:t>
            </w:r>
          </w:p>
        </w:tc>
        <w:tc>
          <w:tcPr>
            <w:tcW w:w="10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Imagen / Post</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$402.73</w:t>
            </w:r>
          </w:p>
        </w:tc>
        <w:tc>
          <w:tcPr>
            <w:tcW w:w="7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5.8%</w:t>
            </w:r>
          </w:p>
        </w:tc>
        <w:tc>
          <w:tcPr>
            <w:tcW w:w="6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11</w:t>
            </w:r>
          </w:p>
        </w:tc>
        <w:tc>
          <w:tcPr>
            <w:tcW w:w="10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$36.61</w:t>
            </w:r>
          </w:p>
        </w:tc>
        <w:tc>
          <w:tcPr>
            <w:tcW w:w="12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10,004</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5,484</w:t>
            </w:r>
          </w:p>
        </w:tc>
        <w:tc>
          <w:tcPr>
            <w:tcW w:w="116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$40.26</w:t>
            </w:r>
          </w:p>
        </w:tc>
      </w:tr>
      <w:tr>
        <w:tc>
          <w:tcPr>
            <w:tcW w:w="1500" w:type="dxa"/>
            <w:tcMar>
              <w:top w:w="60" w:type="dxa"/>
              <w:bottom w:w="60" w:type="dxa"/>
              <w:left w:w="90" w:type="dxa"/>
              <w:right w:w="90" w:type="dxa"/>
            </w:tcMar>
            <w:vAlign w:val="center"/>
          </w:tcPr>
          <w:p>
            <w:pPr>
              <w:spacing w:after="0" w:line="240" w:lineRule="auto"/>
              <w:jc w:val="left"/>
            </w:pPr>
            <w:r>
              <w:rPr>
                <w:color w:val="262626"/>
                <w:sz w:val="16"/>
                <w:szCs w:val="16"/>
              </w:rPr>
              <w:t xml:space="preserve">video testimoniales</w:t>
            </w:r>
          </w:p>
        </w:tc>
        <w:tc>
          <w:tcPr>
            <w:tcW w:w="1000" w:type="dxa"/>
            <w:tcMar>
              <w:top w:w="60" w:type="dxa"/>
              <w:bottom w:w="60" w:type="dxa"/>
              <w:left w:w="90" w:type="dxa"/>
              <w:right w:w="90" w:type="dxa"/>
            </w:tcMar>
            <w:vAlign w:val="center"/>
          </w:tcPr>
          <w:p>
            <w:pPr>
              <w:spacing w:after="0" w:line="240" w:lineRule="auto"/>
              <w:jc w:val="left"/>
            </w:pPr>
            <w:r>
              <w:rPr>
                <w:color w:val="262626"/>
                <w:sz w:val="16"/>
                <w:szCs w:val="16"/>
              </w:rPr>
              <w:t xml:space="preserve">Video / Reel</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$309.01</w:t>
            </w:r>
          </w:p>
        </w:tc>
        <w:tc>
          <w:tcPr>
            <w:tcW w:w="750" w:type="dxa"/>
            <w:tcMar>
              <w:top w:w="60" w:type="dxa"/>
              <w:bottom w:w="60" w:type="dxa"/>
              <w:left w:w="90" w:type="dxa"/>
              <w:right w:w="90" w:type="dxa"/>
            </w:tcMar>
            <w:vAlign w:val="center"/>
          </w:tcPr>
          <w:p>
            <w:pPr>
              <w:spacing w:after="0" w:line="240" w:lineRule="auto"/>
              <w:jc w:val="right"/>
            </w:pPr>
            <w:r>
              <w:rPr>
                <w:color w:val="262626"/>
                <w:sz w:val="16"/>
                <w:szCs w:val="16"/>
              </w:rPr>
              <w:t xml:space="preserve">4.4%</w:t>
            </w:r>
          </w:p>
        </w:tc>
        <w:tc>
          <w:tcPr>
            <w:tcW w:w="650" w:type="dxa"/>
            <w:tcMar>
              <w:top w:w="60" w:type="dxa"/>
              <w:bottom w:w="60" w:type="dxa"/>
              <w:left w:w="90" w:type="dxa"/>
              <w:right w:w="90" w:type="dxa"/>
            </w:tcMar>
            <w:vAlign w:val="center"/>
          </w:tcPr>
          <w:p>
            <w:pPr>
              <w:spacing w:after="0" w:line="240" w:lineRule="auto"/>
              <w:jc w:val="right"/>
            </w:pPr>
            <w:r>
              <w:rPr>
                <w:color w:val="262626"/>
                <w:sz w:val="16"/>
                <w:szCs w:val="16"/>
              </w:rPr>
              <w:t xml:space="preserve">11</w:t>
            </w:r>
          </w:p>
        </w:tc>
        <w:tc>
          <w:tcPr>
            <w:tcW w:w="1000" w:type="dxa"/>
            <w:tcMar>
              <w:top w:w="60" w:type="dxa"/>
              <w:bottom w:w="60" w:type="dxa"/>
              <w:left w:w="90" w:type="dxa"/>
              <w:right w:w="90" w:type="dxa"/>
            </w:tcMar>
            <w:vAlign w:val="center"/>
          </w:tcPr>
          <w:p>
            <w:pPr>
              <w:spacing w:after="0" w:line="240" w:lineRule="auto"/>
              <w:jc w:val="right"/>
            </w:pPr>
            <w:r>
              <w:rPr>
                <w:color w:val="262626"/>
                <w:sz w:val="16"/>
                <w:szCs w:val="16"/>
              </w:rPr>
              <w:t xml:space="preserve">$28.09</w:t>
            </w:r>
          </w:p>
        </w:tc>
        <w:tc>
          <w:tcPr>
            <w:tcW w:w="1200" w:type="dxa"/>
            <w:tcMar>
              <w:top w:w="60" w:type="dxa"/>
              <w:bottom w:w="60" w:type="dxa"/>
              <w:left w:w="90" w:type="dxa"/>
              <w:right w:w="90" w:type="dxa"/>
            </w:tcMar>
            <w:vAlign w:val="center"/>
          </w:tcPr>
          <w:p>
            <w:pPr>
              <w:spacing w:after="0" w:line="240" w:lineRule="auto"/>
              <w:jc w:val="right"/>
            </w:pPr>
            <w:r>
              <w:rPr>
                <w:color w:val="262626"/>
                <w:sz w:val="16"/>
                <w:szCs w:val="16"/>
              </w:rPr>
              <w:t xml:space="preserve">6,168</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3,863</w:t>
            </w:r>
          </w:p>
        </w:tc>
        <w:tc>
          <w:tcPr>
            <w:tcW w:w="1160" w:type="dxa"/>
            <w:tcMar>
              <w:top w:w="60" w:type="dxa"/>
              <w:bottom w:w="60" w:type="dxa"/>
              <w:left w:w="90" w:type="dxa"/>
              <w:right w:w="90" w:type="dxa"/>
            </w:tcMar>
            <w:vAlign w:val="center"/>
          </w:tcPr>
          <w:p>
            <w:pPr>
              <w:spacing w:after="0" w:line="240" w:lineRule="auto"/>
              <w:jc w:val="right"/>
            </w:pPr>
            <w:r>
              <w:rPr>
                <w:color w:val="262626"/>
                <w:sz w:val="16"/>
                <w:szCs w:val="16"/>
              </w:rPr>
              <w:t xml:space="preserve">$50.10</w:t>
            </w:r>
          </w:p>
        </w:tc>
      </w:tr>
      <w:tr>
        <w:tc>
          <w:tcPr>
            <w:tcW w:w="15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carrete</w:t>
            </w:r>
          </w:p>
        </w:tc>
        <w:tc>
          <w:tcPr>
            <w:tcW w:w="10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Carrusel</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$179.98</w:t>
            </w:r>
          </w:p>
        </w:tc>
        <w:tc>
          <w:tcPr>
            <w:tcW w:w="7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2.6%</w:t>
            </w:r>
          </w:p>
        </w:tc>
        <w:tc>
          <w:tcPr>
            <w:tcW w:w="6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4</w:t>
            </w:r>
          </w:p>
        </w:tc>
        <w:tc>
          <w:tcPr>
            <w:tcW w:w="10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$44.99</w:t>
            </w:r>
          </w:p>
        </w:tc>
        <w:tc>
          <w:tcPr>
            <w:tcW w:w="12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1,787</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1,063</w:t>
            </w:r>
          </w:p>
        </w:tc>
        <w:tc>
          <w:tcPr>
            <w:tcW w:w="116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$100.72</w:t>
            </w:r>
          </w:p>
        </w:tc>
      </w:tr>
      <w:tr>
        <w:tc>
          <w:tcPr>
            <w:tcW w:w="1500" w:type="dxa"/>
            <w:tcMar>
              <w:top w:w="60" w:type="dxa"/>
              <w:bottom w:w="60" w:type="dxa"/>
              <w:left w:w="90" w:type="dxa"/>
              <w:right w:w="90" w:type="dxa"/>
            </w:tcMar>
            <w:vAlign w:val="center"/>
          </w:tcPr>
          <w:p>
            <w:pPr>
              <w:spacing w:after="0" w:line="240" w:lineRule="auto"/>
              <w:jc w:val="left"/>
            </w:pPr>
            <w:r>
              <w:rPr>
                <w:color w:val="262626"/>
                <w:sz w:val="16"/>
                <w:szCs w:val="16"/>
              </w:rPr>
              <w:t xml:space="preserve">post clase</w:t>
            </w:r>
          </w:p>
        </w:tc>
        <w:tc>
          <w:tcPr>
            <w:tcW w:w="1000" w:type="dxa"/>
            <w:tcMar>
              <w:top w:w="60" w:type="dxa"/>
              <w:bottom w:w="60" w:type="dxa"/>
              <w:left w:w="90" w:type="dxa"/>
              <w:right w:w="90" w:type="dxa"/>
            </w:tcMar>
            <w:vAlign w:val="center"/>
          </w:tcPr>
          <w:p>
            <w:pPr>
              <w:spacing w:after="0" w:line="240" w:lineRule="auto"/>
              <w:jc w:val="left"/>
            </w:pPr>
            <w:r>
              <w:rPr>
                <w:color w:val="262626"/>
                <w:sz w:val="16"/>
                <w:szCs w:val="16"/>
              </w:rPr>
              <w:t xml:space="preserve">Imagen / Post</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$29.13</w:t>
            </w:r>
          </w:p>
        </w:tc>
        <w:tc>
          <w:tcPr>
            <w:tcW w:w="750" w:type="dxa"/>
            <w:tcMar>
              <w:top w:w="60" w:type="dxa"/>
              <w:bottom w:w="60" w:type="dxa"/>
              <w:left w:w="90" w:type="dxa"/>
              <w:right w:w="90" w:type="dxa"/>
            </w:tcMar>
            <w:vAlign w:val="center"/>
          </w:tcPr>
          <w:p>
            <w:pPr>
              <w:spacing w:after="0" w:line="240" w:lineRule="auto"/>
              <w:jc w:val="right"/>
            </w:pPr>
            <w:r>
              <w:rPr>
                <w:color w:val="262626"/>
                <w:sz w:val="16"/>
                <w:szCs w:val="16"/>
              </w:rPr>
              <w:t xml:space="preserve">0.4%</w:t>
            </w:r>
          </w:p>
        </w:tc>
        <w:tc>
          <w:tcPr>
            <w:tcW w:w="650" w:type="dxa"/>
            <w:tcMar>
              <w:top w:w="60" w:type="dxa"/>
              <w:bottom w:w="60" w:type="dxa"/>
              <w:left w:w="90" w:type="dxa"/>
              <w:right w:w="90" w:type="dxa"/>
            </w:tcMar>
            <w:vAlign w:val="center"/>
          </w:tcPr>
          <w:p>
            <w:pPr>
              <w:spacing w:after="0" w:line="240" w:lineRule="auto"/>
              <w:jc w:val="right"/>
            </w:pPr>
            <w:r>
              <w:rPr>
                <w:color w:val="262626"/>
                <w:sz w:val="16"/>
                <w:szCs w:val="16"/>
              </w:rPr>
              <w:t xml:space="preserve">1</w:t>
            </w:r>
          </w:p>
        </w:tc>
        <w:tc>
          <w:tcPr>
            <w:tcW w:w="1000" w:type="dxa"/>
            <w:tcMar>
              <w:top w:w="60" w:type="dxa"/>
              <w:bottom w:w="60" w:type="dxa"/>
              <w:left w:w="90" w:type="dxa"/>
              <w:right w:w="90" w:type="dxa"/>
            </w:tcMar>
            <w:vAlign w:val="center"/>
          </w:tcPr>
          <w:p>
            <w:pPr>
              <w:spacing w:after="0" w:line="240" w:lineRule="auto"/>
              <w:jc w:val="right"/>
            </w:pPr>
            <w:r>
              <w:rPr>
                <w:color w:val="262626"/>
                <w:sz w:val="16"/>
                <w:szCs w:val="16"/>
              </w:rPr>
              <w:t xml:space="preserve">$29.13</w:t>
            </w:r>
          </w:p>
        </w:tc>
        <w:tc>
          <w:tcPr>
            <w:tcW w:w="1200" w:type="dxa"/>
            <w:tcMar>
              <w:top w:w="60" w:type="dxa"/>
              <w:bottom w:w="60" w:type="dxa"/>
              <w:left w:w="90" w:type="dxa"/>
              <w:right w:w="90" w:type="dxa"/>
            </w:tcMar>
            <w:vAlign w:val="center"/>
          </w:tcPr>
          <w:p>
            <w:pPr>
              <w:spacing w:after="0" w:line="240" w:lineRule="auto"/>
              <w:jc w:val="right"/>
            </w:pPr>
            <w:r>
              <w:rPr>
                <w:color w:val="262626"/>
                <w:sz w:val="16"/>
                <w:szCs w:val="16"/>
              </w:rPr>
              <w:t xml:space="preserve">508</w:t>
            </w:r>
          </w:p>
        </w:tc>
        <w:tc>
          <w:tcPr>
            <w:tcW w:w="1050" w:type="dxa"/>
            <w:tcMar>
              <w:top w:w="60" w:type="dxa"/>
              <w:bottom w:w="60" w:type="dxa"/>
              <w:left w:w="90" w:type="dxa"/>
              <w:right w:w="90" w:type="dxa"/>
            </w:tcMar>
            <w:vAlign w:val="center"/>
          </w:tcPr>
          <w:p>
            <w:pPr>
              <w:spacing w:after="0" w:line="240" w:lineRule="auto"/>
              <w:jc w:val="right"/>
            </w:pPr>
            <w:r>
              <w:rPr>
                <w:color w:val="262626"/>
                <w:sz w:val="16"/>
                <w:szCs w:val="16"/>
              </w:rPr>
              <w:t xml:space="preserve">368</w:t>
            </w:r>
          </w:p>
        </w:tc>
        <w:tc>
          <w:tcPr>
            <w:tcW w:w="1160" w:type="dxa"/>
            <w:tcMar>
              <w:top w:w="60" w:type="dxa"/>
              <w:bottom w:w="60" w:type="dxa"/>
              <w:left w:w="90" w:type="dxa"/>
              <w:right w:w="90" w:type="dxa"/>
            </w:tcMar>
            <w:vAlign w:val="center"/>
          </w:tcPr>
          <w:p>
            <w:pPr>
              <w:spacing w:after="0" w:line="240" w:lineRule="auto"/>
              <w:jc w:val="right"/>
            </w:pPr>
            <w:r>
              <w:rPr>
                <w:color w:val="262626"/>
                <w:sz w:val="16"/>
                <w:szCs w:val="16"/>
              </w:rPr>
              <w:t xml:space="preserve">$57.34</w:t>
            </w:r>
          </w:p>
        </w:tc>
      </w:tr>
      <w:tr>
        <w:tc>
          <w:tcPr>
            <w:tcW w:w="15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video switch</w:t>
            </w:r>
          </w:p>
        </w:tc>
        <w:tc>
          <w:tcPr>
            <w:tcW w:w="1000" w:type="dxa"/>
            <w:shd w:val="clear" w:color="auto" w:fill="F4F4F4"/>
            <w:tcMar>
              <w:top w:w="60" w:type="dxa"/>
              <w:bottom w:w="60" w:type="dxa"/>
              <w:left w:w="90" w:type="dxa"/>
              <w:right w:w="90" w:type="dxa"/>
            </w:tcMar>
            <w:vAlign w:val="center"/>
          </w:tcPr>
          <w:p>
            <w:pPr>
              <w:spacing w:after="0" w:line="240" w:lineRule="auto"/>
              <w:jc w:val="left"/>
            </w:pPr>
            <w:r>
              <w:rPr>
                <w:color w:val="262626"/>
                <w:sz w:val="16"/>
                <w:szCs w:val="16"/>
              </w:rPr>
              <w:t xml:space="preserve">Video / Reel</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$15.19</w:t>
            </w:r>
          </w:p>
        </w:tc>
        <w:tc>
          <w:tcPr>
            <w:tcW w:w="7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0.2%</w:t>
            </w:r>
          </w:p>
        </w:tc>
        <w:tc>
          <w:tcPr>
            <w:tcW w:w="6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w:t>
            </w:r>
          </w:p>
        </w:tc>
        <w:tc>
          <w:tcPr>
            <w:tcW w:w="10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$15.19</w:t>
            </w:r>
          </w:p>
        </w:tc>
        <w:tc>
          <w:tcPr>
            <w:tcW w:w="120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238</w:t>
            </w:r>
          </w:p>
        </w:tc>
        <w:tc>
          <w:tcPr>
            <w:tcW w:w="105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206</w:t>
            </w:r>
          </w:p>
        </w:tc>
        <w:tc>
          <w:tcPr>
            <w:tcW w:w="1160" w:type="dxa"/>
            <w:shd w:val="clear" w:color="auto" w:fill="F4F4F4"/>
            <w:tcMar>
              <w:top w:w="60" w:type="dxa"/>
              <w:bottom w:w="60" w:type="dxa"/>
              <w:left w:w="90" w:type="dxa"/>
              <w:right w:w="90" w:type="dxa"/>
            </w:tcMar>
            <w:vAlign w:val="center"/>
          </w:tcPr>
          <w:p>
            <w:pPr>
              <w:spacing w:after="0" w:line="240" w:lineRule="auto"/>
              <w:jc w:val="right"/>
            </w:pPr>
            <w:r>
              <w:rPr>
                <w:color w:val="262626"/>
                <w:sz w:val="16"/>
                <w:szCs w:val="16"/>
              </w:rPr>
              <w:t xml:space="preserve">$63.82</w:t>
            </w:r>
          </w:p>
        </w:tc>
      </w:tr>
      <w:tr>
        <w:tc>
          <w:tcPr>
            <w:tcW w:w="1500" w:type="dxa"/>
            <w:shd w:val="clear" w:color="auto" w:fill="DCE4F2"/>
            <w:tcMar>
              <w:top w:w="60" w:type="dxa"/>
              <w:bottom w:w="60" w:type="dxa"/>
              <w:left w:w="90" w:type="dxa"/>
              <w:right w:w="90" w:type="dxa"/>
            </w:tcMar>
            <w:vAlign w:val="center"/>
          </w:tcPr>
          <w:p>
            <w:pPr>
              <w:spacing w:after="0" w:line="240" w:lineRule="auto"/>
              <w:jc w:val="left"/>
            </w:pPr>
            <w:r>
              <w:rPr>
                <w:b/>
                <w:color w:val="262626"/>
                <w:sz w:val="16"/>
                <w:szCs w:val="16"/>
              </w:rPr>
              <w:t xml:space="preserve">TOTAL</w:t>
            </w:r>
          </w:p>
        </w:tc>
        <w:tc>
          <w:tcPr>
            <w:tcW w:w="1000" w:type="dxa"/>
            <w:shd w:val="clear" w:color="auto" w:fill="DCE4F2"/>
            <w:tcMar>
              <w:top w:w="60" w:type="dxa"/>
              <w:bottom w:w="60" w:type="dxa"/>
              <w:left w:w="90" w:type="dxa"/>
              <w:right w:w="90" w:type="dxa"/>
            </w:tcMar>
            <w:vAlign w:val="center"/>
          </w:tcPr>
          <w:p>
            <w:pPr>
              <w:spacing w:after="0" w:line="240" w:lineRule="auto"/>
              <w:jc w:val="left"/>
            </w:pPr>
            <w:r>
              <w:rPr>
                <w:b/>
                <w:color w:val="262626"/>
                <w:sz w:val="16"/>
                <w:szCs w:val="16"/>
              </w:rPr>
              <w:t xml:space="preserve"/>
            </w:r>
          </w:p>
        </w:tc>
        <w:tc>
          <w:tcPr>
            <w:tcW w:w="105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$6,999.91</w:t>
            </w:r>
          </w:p>
        </w:tc>
        <w:tc>
          <w:tcPr>
            <w:tcW w:w="75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100.0%</w:t>
            </w:r>
          </w:p>
        </w:tc>
        <w:tc>
          <w:tcPr>
            <w:tcW w:w="65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565</w:t>
            </w:r>
          </w:p>
        </w:tc>
        <w:tc>
          <w:tcPr>
            <w:tcW w:w="100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$12.39</w:t>
            </w:r>
          </w:p>
        </w:tc>
        <w:tc>
          <w:tcPr>
            <w:tcW w:w="120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241,265</w:t>
            </w:r>
          </w:p>
        </w:tc>
        <w:tc>
          <w:tcPr>
            <w:tcW w:w="105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97,823</w:t>
            </w:r>
          </w:p>
        </w:tc>
        <w:tc>
          <w:tcPr>
            <w:tcW w:w="1160" w:type="dxa"/>
            <w:shd w:val="clear" w:color="auto" w:fill="DCE4F2"/>
            <w:tcMar>
              <w:top w:w="60" w:type="dxa"/>
              <w:bottom w:w="60" w:type="dxa"/>
              <w:left w:w="90" w:type="dxa"/>
              <w:right w:w="90" w:type="dxa"/>
            </w:tcMar>
            <w:vAlign w:val="center"/>
          </w:tcPr>
          <w:p>
            <w:pPr>
              <w:spacing w:after="0" w:line="240" w:lineRule="auto"/>
              <w:jc w:val="right"/>
            </w:pPr>
            <w:r>
              <w:rPr>
                <w:b/>
                <w:color w:val="262626"/>
                <w:sz w:val="16"/>
                <w:szCs w:val="16"/>
              </w:rPr>
              <w:t xml:space="preserve">$29.01</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520000"/>
            <wp:effectExtent l="0" t="0" r="0" b="0"/>
            <wp:docPr id="10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4"/>
              </a:graphicData>
            </a:graphic>
          </wp:inline>
        </w:drawing>
      </w:r>
    </w:p>
    <w:p>
      <w:pPr>
        <w:jc w:val="center"/>
        <w:spacing w:before="60" w:after="120"/>
      </w:pPr>
      <w:r>
        <w:drawing>
          <wp:inline xmlns:wp="http://schemas.openxmlformats.org/drawingml/2006/wordprocessingDrawing" distT="0" distB="0" distL="0" distR="0">
            <wp:extent cx="5760000" cy="2520000"/>
            <wp:effectExtent l="0" t="0" r="0" b="0"/>
            <wp:docPr id="10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5"/>
              </a:graphicData>
            </a:graphic>
          </wp:inline>
        </w:drawing>
      </w:r>
    </w:p>
    <w:p>
      <w:pPr>
        <w:pStyle w:val="Titulo2"/>
      </w:pPr>
      <w:r>
        <w:rPr>
          <w:b/>
          <w:color w:val="262626"/>
          <w:sz w:val="20"/>
          <w:szCs w:val="20"/>
        </w:rPr>
        <w:t xml:space="preserve">7.1 Ganadores y perdedores</w:t>
      </w:r>
    </w:p>
    <w:p>
      <w:pPr>
        <w:spacing w:before="80" w:after="60"/>
      </w:pPr>
      <w:r>
        <w:rPr>
          <w:b/>
          <w:color w:val="2E5C9A"/>
          <w:sz w:val="18"/>
          <w:szCs w:val="18"/>
        </w:rPr>
        <w:t xml:space="preserve">Tabla 15. Lectura de ganadores y perdedores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300"/>
        <w:gridCol w:w="1700"/>
        <w:gridCol w:w="5360"/>
      </w:tblGrid>
      <w:tr>
        <w:trPr>
          <w:tblHeader/>
          <w:cantSplit/>
        </w:trPr>
        <w:tc>
          <w:tcPr>
            <w:tcW w:w="23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Categoría</w:t>
            </w:r>
          </w:p>
        </w:tc>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Anuncio</w:t>
            </w:r>
          </w:p>
        </w:tc>
        <w:tc>
          <w:tcPr>
            <w:tcW w:w="5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Evidencia</w:t>
            </w:r>
          </w:p>
        </w:tc>
      </w:tr>
      <w:tr>
        <w:tc>
          <w:tcPr>
            <w:tcW w:w="2300" w:type="dxa"/>
            <w:tcMar>
              <w:top w:w="60" w:type="dxa"/>
              <w:bottom w:w="60" w:type="dxa"/>
              <w:left w:w="90" w:type="dxa"/>
              <w:right w:w="90" w:type="dxa"/>
            </w:tcMar>
            <w:vAlign w:val="center"/>
          </w:tcPr>
          <w:p>
            <w:pPr>
              <w:spacing w:after="0" w:line="240" w:lineRule="auto"/>
              <w:jc w:val="left"/>
            </w:pPr>
            <w:r>
              <w:rPr>
                <w:color w:val="262626"/>
                <w:sz w:val="18"/>
                <w:szCs w:val="18"/>
              </w:rPr>
              <w:t xml:space="preserve">Mayor volumen de resultados</w:t>
            </w:r>
          </w:p>
        </w:tc>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491 conversaciones (86.9% del total) con 83.0% de las impresiones</w:t>
            </w:r>
          </w:p>
        </w:tc>
      </w:tr>
      <w:tr>
        <w:tc>
          <w:tcPr>
            <w:tcW w:w="2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Más eficiente</w:t>
            </w:r>
          </w:p>
        </w:tc>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$9.98 por conversación, el más bajo entre los anuncios con volumen significativo</w:t>
            </w:r>
          </w:p>
        </w:tc>
      </w:tr>
      <w:tr>
        <w:tc>
          <w:tcPr>
            <w:tcW w:w="2300" w:type="dxa"/>
            <w:tcMar>
              <w:top w:w="60" w:type="dxa"/>
              <w:bottom w:w="60" w:type="dxa"/>
              <w:left w:w="90" w:type="dxa"/>
              <w:right w:w="90" w:type="dxa"/>
            </w:tcMar>
            <w:vAlign w:val="center"/>
          </w:tcPr>
          <w:p>
            <w:pPr>
              <w:spacing w:after="0" w:line="240" w:lineRule="auto"/>
              <w:jc w:val="left"/>
            </w:pPr>
            <w:r>
              <w:rPr>
                <w:color w:val="262626"/>
                <w:sz w:val="18"/>
                <w:szCs w:val="18"/>
              </w:rPr>
              <w:t xml:space="preserve">Mayor alcance</w:t>
            </w:r>
          </w:p>
        </w:tc>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75,110 personas alcanzadas</w:t>
            </w:r>
          </w:p>
        </w:tc>
      </w:tr>
      <w:tr>
        <w:tc>
          <w:tcPr>
            <w:tcW w:w="2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Mejor CPM</w:t>
            </w:r>
          </w:p>
        </w:tc>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$24.49 por mil impresiones</w:t>
            </w:r>
          </w:p>
        </w:tc>
      </w:tr>
      <w:tr>
        <w:tc>
          <w:tcPr>
            <w:tcW w:w="2300" w:type="dxa"/>
            <w:tcMar>
              <w:top w:w="60" w:type="dxa"/>
              <w:bottom w:w="60" w:type="dxa"/>
              <w:left w:w="90" w:type="dxa"/>
              <w:right w:w="90" w:type="dxa"/>
            </w:tcMar>
            <w:vAlign w:val="center"/>
          </w:tcPr>
          <w:p>
            <w:pPr>
              <w:spacing w:after="0" w:line="240" w:lineRule="auto"/>
              <w:jc w:val="left"/>
            </w:pPr>
            <w:r>
              <w:rPr>
                <w:color w:val="262626"/>
                <w:sz w:val="18"/>
                <w:szCs w:val="18"/>
              </w:rPr>
              <w:t xml:space="preserve">Menos eficiente con gasto relevante</w:t>
            </w:r>
          </w:p>
        </w:tc>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video clases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$417.57 de gasto para 7 conversaciones = $59.65 cada una</w:t>
            </w:r>
          </w:p>
        </w:tc>
      </w:tr>
      <w:tr>
        <w:tc>
          <w:tcPr>
            <w:tcW w:w="2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Mejor formato</w:t>
            </w:r>
          </w:p>
        </w:tc>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 Reel</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Los 5 videos concentran 91.3% del gasto y 97.2% de las conversaciones</w:t>
            </w:r>
          </w:p>
        </w:tc>
      </w:tr>
      <w:tr>
        <w:tc>
          <w:tcPr>
            <w:tcW w:w="2300" w:type="dxa"/>
            <w:tcMar>
              <w:top w:w="60" w:type="dxa"/>
              <w:bottom w:w="60" w:type="dxa"/>
              <w:left w:w="90" w:type="dxa"/>
              <w:right w:w="90" w:type="dxa"/>
            </w:tcMar>
            <w:vAlign w:val="center"/>
          </w:tcPr>
          <w:p>
            <w:pPr>
              <w:spacing w:after="0" w:line="240" w:lineRule="auto"/>
              <w:jc w:val="left"/>
            </w:pPr>
            <w:r>
              <w:rPr>
                <w:color w:val="262626"/>
                <w:sz w:val="18"/>
                <w:szCs w:val="18"/>
              </w:rPr>
              <w:t xml:space="preserve">Creativo ganador</w:t>
            </w:r>
          </w:p>
        </w:tc>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Único anuncio con clasificación «Por encima del promedio» en interacción y en conversiones de forma simultánea</w:t>
            </w:r>
          </w:p>
        </w:tc>
      </w:tr>
    </w:tbl>
    <w:p>
      <w:pPr>
        <w:jc w:val="both"/>
        <w:spacing w:after="60" w:line="264" w:lineRule="auto"/>
      </w:pPr>
      <w:r>
        <w:rPr>
          <w:color w:val="262626"/>
          <w:sz w:val="20"/>
          <w:szCs w:val="20"/>
        </w:rPr>
        <w:t xml:space="preserve"/>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Volumen no es eficiencia, pero esta vez coincidieron</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«video villas» es a la vez el de mayor volumen y el más eficiente: $9.98 por conversación frente a $38.67 promedio de los otros seis anuncios de bajo gasto. Los $1,353.61 (19.3% del gasto) repartidos entre esos seis anuncios produjeron solo 35 conversaciones; al costo del anuncio ganador ese mismo dinero habría generado del orden de 136 conversaciones. Es la oportunidad de eficiencia más grande y más fácil de capturar.</w:t>
            </w:r>
          </w:p>
        </w:tc>
      </w:tr>
    </w:tbl>
    <w:p>
      <w:pPr>
        <w:jc w:val="both"/>
        <w:spacing w:after="0" w:line="264" w:lineRule="auto"/>
      </w:pPr>
      <w:r>
        <w:rPr>
          <w:color w:val="262626"/>
          <w:sz w:val="20"/>
          <w:szCs w:val="20"/>
        </w:rPr>
        <w:t xml:space="preserve"/>
      </w:r>
    </w:p>
    <w:p>
      <w:pPr>
        <w:jc w:val="both"/>
        <w:spacing w:after="120" w:line="264" w:lineRule="auto"/>
      </w:pPr>
      <w:r>
        <w:rPr>
          <w:color w:val="262626"/>
          <w:sz w:val="20"/>
          <w:szCs w:val="20"/>
        </w:rPr>
        <w:t xml:space="preserve">Mensaje que mejor funcionó: el creativo ganador es un reel de geolocalización («Villas de Pachuca»), es decir, un mensaje de proximidad física. El segundo mejor («video sin libros», $19.09 por conversación) es un mensaje de propuesta metodológica diferencial. Los creativos de oferta genérica con volumen comparable fueron los más caros: «post grupos» $36.61 y «carrete» $44.99. Los datos no incluyen las piezas creativas, por lo que esta lectura se basa en el nombre del anuncio y en sus métricas, no en el contenido visual.</w:t>
      </w:r>
    </w:p>
    <w:p>
      <w:r>
        <w:br w:type="page"/>
      </w:r>
    </w:p>
    <w:p>
      <w:pPr>
        <w:pStyle w:val="Titulo1"/>
      </w:pPr>
      <w:r>
        <w:rPr>
          <w:b/>
          <w:color w:val="262626"/>
          <w:sz w:val="20"/>
          <w:szCs w:val="20"/>
        </w:rPr>
        <w:t xml:space="preserve">8. Redes sociales</w:t>
      </w:r>
    </w:p>
    <w:tbl>
      <w:tblPr>
        <w:tblW w:w="9360" w:type="dxa"/>
        <w:tblLayout w:type="fixed"/>
      </w:tblPr>
      <w:tblGrid>
        <w:gridCol w:w="9360"/>
      </w:tblGrid>
      <w:tr>
        <w:trPr/>
        <w:tc>
          <w:tcPr>
            <w:tcW w:w="9360" w:type="dxa"/>
            <w:shd w:val="clear" w:color="auto" w:fill="FBE9E7"/>
            <w:tcMar>
              <w:top w:w="80" w:type="dxa"/>
              <w:bottom w:w="80" w:type="dxa"/>
              <w:left w:w="140" w:type="dxa"/>
              <w:right w:w="140" w:type="dxa"/>
            </w:tcMar>
            <w:tcBorders>
              <w:left w:val="single" w:sz="18" w:color="B23A33"/>
            </w:tcBorders>
          </w:tcPr>
          <w:p>
            <w:pPr>
              <w:spacing w:after="0"/>
            </w:pPr>
            <w:r>
              <w:rPr>
                <w:b/>
                <w:color w:val="1F3864"/>
                <w:sz w:val="20"/>
                <w:szCs w:val="20"/>
              </w:rPr>
              <w:t xml:space="preserve">No hay datos orgánicos en el repositorio</w:t>
            </w:r>
          </w:p>
        </w:tc>
      </w:tr>
      <w:tr>
        <w:trPr/>
        <w:tc>
          <w:tcPr>
            <w:tcW w:w="9360" w:type="dxa"/>
            <w:shd w:val="clear" w:color="auto" w:fill="FBE9E7"/>
            <w:tcMar>
              <w:top w:w="80" w:type="dxa"/>
              <w:bottom w:w="80" w:type="dxa"/>
              <w:left w:w="140" w:type="dxa"/>
              <w:right w:w="140" w:type="dxa"/>
            </w:tcMar>
            <w:tcBorders>
              <w:left w:val="single" w:sz="18" w:color="B23A33"/>
            </w:tcBorders>
          </w:tcPr>
          <w:p>
            <w:pPr>
              <w:spacing w:after="0"/>
            </w:pPr>
            <w:r>
              <w:rPr>
                <w:color w:val="262626"/>
                <w:sz w:val="19"/>
                <w:szCs w:val="19"/>
              </w:rPr>
              <w:t xml:space="preserve">El repositorio no contiene ninguna exportación de métricas orgánicas de Facebook, Instagram o TikTok. No es posible analizar alcance orgánico, impresiones orgánicas, visualizaciones, interacciones, comentarios, compartidos, guardados, visitas al perfil, mensajes orgánicos ni crecimiento de seguidores, ni separar resultados orgánicos de pagados. Esta sección se declara NO CALCULABLE con los datos disponibles.</w:t>
            </w:r>
          </w:p>
        </w:tc>
      </w:tr>
    </w:tbl>
    <w:p>
      <w:pPr>
        <w:jc w:val="both"/>
        <w:spacing w:after="0" w:line="264" w:lineRule="auto"/>
      </w:pPr>
      <w:r>
        <w:rPr>
          <w:color w:val="262626"/>
          <w:sz w:val="20"/>
          <w:szCs w:val="20"/>
        </w:rPr>
        <w:t xml:space="preserve"/>
      </w:r>
    </w:p>
    <w:p>
      <w:pPr>
        <w:jc w:val="both"/>
        <w:spacing w:after="120" w:line="264" w:lineRule="auto"/>
      </w:pPr>
      <w:r>
        <w:rPr>
          <w:color w:val="262626"/>
          <w:sz w:val="20"/>
          <w:szCs w:val="20"/>
        </w:rPr>
        <w:t xml:space="preserve">Lo único que las fuentes permiten afirmar sobre canales es por dónde llegó cada conversación, tal como lo capturó el CRM:</w:t>
      </w:r>
    </w:p>
    <w:p>
      <w:pPr>
        <w:spacing w:before="80" w:after="60"/>
      </w:pPr>
      <w:r>
        <w:rPr>
          <w:b/>
          <w:color w:val="2E5C9A"/>
          <w:sz w:val="18"/>
          <w:szCs w:val="18"/>
        </w:rPr>
        <w:t xml:space="preserve">Tabla 16. Medio de contacto de los leads (no es medición orgánica)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200"/>
        <w:gridCol w:w="1100"/>
        <w:gridCol w:w="1100"/>
        <w:gridCol w:w="4960"/>
      </w:tblGrid>
      <w:tr>
        <w:trPr>
          <w:tblHeader/>
          <w:cantSplit/>
        </w:trPr>
        <w:tc>
          <w:tcPr>
            <w:tcW w:w="22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Medio de contacto declarado</w:t>
            </w:r>
          </w:p>
        </w:tc>
        <w:tc>
          <w:tcPr>
            <w:tcW w:w="1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Registros</w:t>
            </w:r>
          </w:p>
        </w:tc>
        <w:tc>
          <w:tcPr>
            <w:tcW w:w="1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del total</w:t>
            </w:r>
          </w:p>
        </w:tc>
        <w:tc>
          <w:tcPr>
            <w:tcW w:w="49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Interpretación</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Facebook</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239</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47.9%</w:t>
            </w:r>
          </w:p>
        </w:tc>
        <w:tc>
          <w:tcPr>
            <w:tcW w:w="496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Conversación iniciada desde Facebook (Messenger o comentarios del anuncio)</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WhatsApp</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218</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43.7%</w:t>
            </w:r>
          </w:p>
        </w:tc>
        <w:tc>
          <w:tcPr>
            <w:tcW w:w="4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Conversación entrante directa a WhatsApp, incluido el clic a WhatsApp del anuncio</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Instagram</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40</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8.0%</w:t>
            </w:r>
          </w:p>
        </w:tc>
        <w:tc>
          <w:tcPr>
            <w:tcW w:w="496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Conversación iniciada desde Instagram Direct</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Sin información</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0.4%</w:t>
            </w:r>
          </w:p>
        </w:tc>
        <w:tc>
          <w:tcPr>
            <w:tcW w:w="4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Medio no capturado</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El 93.0% de los registros del CRM tiene identificado como origen uno de los ocho anuncios pagados, por lo que el volumen observado es esencialmente de pauta. No hay ningún registro cuyo origen esté marcado como publicación orgánica. Para la próxima campaña se requiere un export mensual de Meta Business Suite y de TikTok Analytics si se quiere evaluar el aporte orgánico.</w:t>
      </w:r>
    </w:p>
    <w:p>
      <w:r>
        <w:br w:type="page"/>
      </w:r>
    </w:p>
    <w:p>
      <w:pPr>
        <w:pStyle w:val="Titulo1"/>
      </w:pPr>
      <w:r>
        <w:rPr>
          <w:b/>
          <w:color w:val="262626"/>
          <w:sz w:val="20"/>
          <w:szCs w:val="20"/>
        </w:rPr>
        <w:t xml:space="preserve">9. Inscripciones atribuibles al esfuerzo de campaña</w:t>
      </w:r>
    </w:p>
    <w:p>
      <w:pPr>
        <w:jc w:val="both"/>
        <w:spacing w:after="120" w:line="264" w:lineRule="auto"/>
      </w:pPr>
      <w:r>
        <w:rPr>
          <w:color w:val="262626"/>
          <w:sz w:val="20"/>
          <w:szCs w:val="20"/>
        </w:rPr>
        <w:t xml:space="preserve">Esta sección analiza únicamente las inscripciones del periodo y su origen. No debe confundirse con la base administrativa general de alumnos, que es el Entregable 4 y tiene corte al 3 de octubre.</w:t>
      </w:r>
    </w:p>
    <w:tbl>
      <w:tblPr>
        <w:tblW w:w="9360" w:type="dxa"/>
        <w:tblBorders>
          <w:insideV w:val="single" w:sz="12" w:color="FFFFFF"/>
          <w:insideH w:val="single" w:sz="12" w:color="FFFFFF"/>
          <w:top w:val="single" w:sz="12" w:color="FFFFFF"/>
          <w:bottom w:val="single" w:sz="12" w:color="FFFFFF"/>
          <w:left w:val="single" w:sz="12" w:color="FFFFFF"/>
          <w:right w:val="single" w:sz="12" w:color="FFFFFF"/>
        </w:tblBorders>
        <w:tblLayout w:type="fixed"/>
      </w:tblPr>
      <w:tblGrid>
        <w:gridCol w:w="2340"/>
        <w:gridCol w:w="2340"/>
        <w:gridCol w:w="2340"/>
        <w:gridCol w:w="2340"/>
      </w:tblGrid>
      <w:tr>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INSCRIPCIONES CONFIRMADAS</w:t>
            </w:r>
          </w:p>
          <w:p>
            <w:pPr>
              <w:spacing w:after="0"/>
              <w:jc w:val="left"/>
            </w:pPr>
            <w:r>
              <w:rPr>
                <w:b/>
                <w:color w:val="1F3864"/>
                <w:sz w:val="30"/>
                <w:szCs w:val="30"/>
              </w:rPr>
              <w:t xml:space="preserve">30</w:t>
            </w:r>
          </w:p>
          <w:p>
            <w:pPr>
              <w:spacing w:after="0"/>
            </w:pPr>
            <w:r>
              <w:rPr>
                <w:color w:val="7A7A7A"/>
                <w:sz w:val="13"/>
                <w:szCs w:val="13"/>
              </w:rPr>
              <w:t xml:space="preserve">personas, 32 eventos</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ATRIBUIBLES A CAMPAÑA</w:t>
            </w:r>
          </w:p>
          <w:p>
            <w:pPr>
              <w:spacing w:after="0"/>
              <w:jc w:val="left"/>
            </w:pPr>
            <w:r>
              <w:rPr>
                <w:b/>
                <w:color w:val="1F3864"/>
                <w:sz w:val="30"/>
                <w:szCs w:val="30"/>
              </w:rPr>
              <w:t xml:space="preserve">23</w:t>
            </w:r>
          </w:p>
          <w:p>
            <w:pPr>
              <w:spacing w:after="0"/>
            </w:pPr>
            <w:r>
              <w:rPr>
                <w:color w:val="7A7A7A"/>
                <w:sz w:val="13"/>
                <w:szCs w:val="13"/>
              </w:rPr>
              <w:t xml:space="preserve">76.7% del total</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SIN ORIGEN DE CAMPAÑA</w:t>
            </w:r>
          </w:p>
          <w:p>
            <w:pPr>
              <w:spacing w:after="0"/>
              <w:jc w:val="left"/>
            </w:pPr>
            <w:r>
              <w:rPr>
                <w:b/>
                <w:color w:val="1F3864"/>
                <w:sz w:val="30"/>
                <w:szCs w:val="30"/>
              </w:rPr>
              <w:t xml:space="preserve">7</w:t>
            </w:r>
          </w:p>
          <w:p>
            <w:pPr>
              <w:spacing w:after="0"/>
            </w:pPr>
            <w:r>
              <w:rPr>
                <w:color w:val="7A7A7A"/>
                <w:sz w:val="13"/>
                <w:szCs w:val="13"/>
              </w:rPr>
              <w:t xml:space="preserve">recomendación, sitio o sin registro</w:t>
            </w:r>
          </w:p>
        </w:tc>
        <w:tc>
          <w:tcPr>
            <w:tcW w:w="2340" w:type="dxa"/>
            <w:shd w:val="clear" w:color="auto" w:fill="EDEDED"/>
            <w:tcMar>
              <w:top w:w="60" w:type="dxa"/>
              <w:bottom w:w="60" w:type="dxa"/>
              <w:left w:w="120" w:type="dxa"/>
              <w:right w:w="120" w:type="dxa"/>
            </w:tcMar>
            <w:vAlign w:val="center"/>
          </w:tcPr>
          <w:p>
            <w:pPr>
              <w:spacing w:after="0" w:line="240" w:lineRule="auto"/>
              <w:jc w:val="left"/>
            </w:pPr>
            <w:r>
              <w:rPr>
                <w:b/>
                <w:color w:val="5A5A5A"/>
                <w:sz w:val="14"/>
                <w:szCs w:val="14"/>
              </w:rPr>
              <w:t xml:space="preserve">CAC ATRIBUIBLE</w:t>
            </w:r>
          </w:p>
          <w:p>
            <w:pPr>
              <w:spacing w:after="0"/>
              <w:jc w:val="left"/>
            </w:pPr>
            <w:r>
              <w:rPr>
                <w:b/>
                <w:color w:val="1F3864"/>
                <w:sz w:val="30"/>
                <w:szCs w:val="30"/>
              </w:rPr>
              <w:t xml:space="preserve">$304.34</w:t>
            </w:r>
          </w:p>
          <w:p>
            <w:pPr>
              <w:spacing w:after="0"/>
            </w:pPr>
            <w:r>
              <w:rPr>
                <w:color w:val="7A7A7A"/>
                <w:sz w:val="13"/>
                <w:szCs w:val="13"/>
              </w:rPr>
              <w:t xml:space="preserve">gasto / atribuibles</w:t>
            </w:r>
          </w:p>
        </w:tc>
      </w:tr>
    </w:tbl>
    <w:p>
      <w:pPr>
        <w:jc w:val="both"/>
        <w:spacing w:after="120" w:line="264" w:lineRule="auto"/>
      </w:pPr>
      <w:r>
        <w:rPr>
          <w:color w:val="262626"/>
          <w:sz w:val="20"/>
          <w:szCs w:val="20"/>
        </w:rPr>
        <w:t xml:space="preserve"/>
      </w:r>
    </w:p>
    <w:p>
      <w:pPr>
        <w:pStyle w:val="Titulo2"/>
      </w:pPr>
      <w:r>
        <w:rPr>
          <w:b/>
          <w:color w:val="262626"/>
          <w:sz w:val="20"/>
          <w:szCs w:val="20"/>
        </w:rPr>
        <w:t xml:space="preserve">9.1 Evidencia utilizada para cada inscripción</w:t>
      </w:r>
    </w:p>
    <w:p>
      <w:pPr>
        <w:spacing w:before="80" w:after="60"/>
      </w:pPr>
      <w:r>
        <w:rPr>
          <w:b/>
          <w:color w:val="2E5C9A"/>
          <w:sz w:val="18"/>
          <w:szCs w:val="18"/>
        </w:rPr>
        <w:t xml:space="preserve">Tabla 17. Trazabilidad de las inscripciones del periodo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4300"/>
        <w:gridCol w:w="900"/>
        <w:gridCol w:w="4160"/>
      </w:tblGrid>
      <w:tr>
        <w:trPr>
          <w:tblHeader/>
          <w:cantSplit/>
        </w:trPr>
        <w:tc>
          <w:tcPr>
            <w:tcW w:w="43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Nivel de evidencia</w:t>
            </w:r>
          </w:p>
        </w:tc>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Personas</w:t>
            </w:r>
          </w:p>
        </w:tc>
        <w:tc>
          <w:tcPr>
            <w:tcW w:w="41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Detalle</w:t>
            </w:r>
          </w:p>
        </w:tc>
      </w:tr>
      <w:tr>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Bitácora de clases muestra marcada «Inscrito» y localizada en el padrón</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27</w:t>
            </w:r>
          </w:p>
        </w:tc>
        <w:tc>
          <w:tcPr>
            <w:tcW w:w="4160" w:type="dxa"/>
            <w:tcMar>
              <w:top w:w="60" w:type="dxa"/>
              <w:bottom w:w="60" w:type="dxa"/>
              <w:left w:w="90" w:type="dxa"/>
              <w:right w:w="90" w:type="dxa"/>
            </w:tcMar>
            <w:vAlign w:val="center"/>
          </w:tcPr>
          <w:p>
            <w:pPr>
              <w:spacing w:after="0" w:line="240" w:lineRule="auto"/>
              <w:jc w:val="left"/>
            </w:pPr>
            <w:r>
              <w:rPr>
                <w:color w:val="262626"/>
                <w:sz w:val="18"/>
                <w:szCs w:val="18"/>
              </w:rPr>
              <w:t xml:space="preserve">Doble evidencia</w:t>
            </w:r>
          </w:p>
        </w:tc>
      </w:tr>
      <w:tr>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marcada «Inscrito» pero no localizada en el padrón del 05-oct</w:t>
            </w:r>
          </w:p>
        </w:tc>
        <w:tc>
          <w:tcPr>
            <w:tcW w:w="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41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Citlalli Anahi Torres Diaz, Araceli — requieren validación administrativa</w:t>
            </w:r>
          </w:p>
        </w:tc>
      </w:tr>
      <w:tr>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CRM marcado «Inscrito» y presente en el padrón, aunque la bitácora dice «Show»</w:t>
            </w:r>
          </w:p>
        </w:tc>
        <w:tc>
          <w:tcPr>
            <w:tcW w:w="9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4160" w:type="dxa"/>
            <w:tcMar>
              <w:top w:w="60" w:type="dxa"/>
              <w:bottom w:w="60" w:type="dxa"/>
              <w:left w:w="90" w:type="dxa"/>
              <w:right w:w="90" w:type="dxa"/>
            </w:tcMar>
            <w:vAlign w:val="center"/>
          </w:tcPr>
          <w:p>
            <w:pPr>
              <w:spacing w:after="0" w:line="240" w:lineRule="auto"/>
              <w:jc w:val="left"/>
            </w:pPr>
            <w:r>
              <w:rPr>
                <w:color w:val="262626"/>
                <w:sz w:val="18"/>
                <w:szCs w:val="18"/>
              </w:rPr>
              <w:t xml:space="preserve">Ximena Aguirre — se contabiliza por doble evidencia</w:t>
            </w:r>
          </w:p>
        </w:tc>
      </w:tr>
      <w:tr>
        <w:tc>
          <w:tcPr>
            <w:tcW w:w="4300" w:type="dxa"/>
            <w:shd w:val="clear" w:color="auto" w:fill="DCE4F2"/>
            <w:tcMar>
              <w:top w:w="60" w:type="dxa"/>
              <w:bottom w:w="60" w:type="dxa"/>
              <w:left w:w="90" w:type="dxa"/>
              <w:right w:w="90" w:type="dxa"/>
            </w:tcMar>
            <w:vAlign w:val="center"/>
          </w:tcPr>
          <w:p>
            <w:pPr>
              <w:spacing w:after="0" w:line="240" w:lineRule="auto"/>
              <w:jc w:val="left"/>
            </w:pPr>
            <w:r>
              <w:rPr>
                <w:b/>
                <w:color w:val="262626"/>
                <w:sz w:val="18"/>
                <w:szCs w:val="18"/>
              </w:rPr>
              <w:t xml:space="preserve">Total inscripciones confirmadas</w:t>
            </w:r>
          </w:p>
        </w:tc>
        <w:tc>
          <w:tcPr>
            <w:tcW w:w="9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30</w:t>
            </w:r>
          </w:p>
        </w:tc>
        <w:tc>
          <w:tcPr>
            <w:tcW w:w="4160" w:type="dxa"/>
            <w:shd w:val="clear" w:color="auto" w:fill="DCE4F2"/>
            <w:tcMar>
              <w:top w:w="60" w:type="dxa"/>
              <w:bottom w:w="60" w:type="dxa"/>
              <w:left w:w="90" w:type="dxa"/>
              <w:right w:w="90" w:type="dxa"/>
            </w:tcMar>
            <w:vAlign w:val="center"/>
          </w:tcPr>
          <w:p>
            <w:pPr>
              <w:spacing w:after="0" w:line="240" w:lineRule="auto"/>
              <w:jc w:val="left"/>
            </w:pPr>
            <w:r>
              <w:rPr>
                <w:b/>
                <w:color w:val="262626"/>
                <w:sz w:val="18"/>
                <w:szCs w:val="18"/>
              </w:rPr>
              <w:t xml:space="preserve"/>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Además se detectaron 2 personas que aparecen en el padrón con matrícula reciente y que tomaron clase muestra en el periodo, pero cuya bitácora no las marca inscritas y cuyo CRM no lo confirma: Mara Sanchez (matrícula 1126); Alfredo Castillo (matrícula 1154). NO se contabilizaron como inscripciones; se reportan para validación administrativa. Si se confirmaran, las inscripciones del periodo subirían a 32.</w:t>
      </w:r>
    </w:p>
    <w:p>
      <w:pPr>
        <w:pStyle w:val="Titulo2"/>
      </w:pPr>
      <w:r>
        <w:rPr>
          <w:b/>
          <w:color w:val="262626"/>
          <w:sz w:val="20"/>
          <w:szCs w:val="20"/>
        </w:rPr>
        <w:t xml:space="preserve">9.2 Segmentación de las inscripciones</w:t>
      </w:r>
    </w:p>
    <w:p>
      <w:pPr>
        <w:spacing w:before="80" w:after="60"/>
      </w:pPr>
      <w:r>
        <w:rPr>
          <w:b/>
          <w:color w:val="2E5C9A"/>
          <w:sz w:val="18"/>
          <w:szCs w:val="18"/>
        </w:rPr>
        <w:t xml:space="preserve">Tabla 18. Clases muestra e inscripciones por programa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000"/>
        <w:gridCol w:w="1500"/>
        <w:gridCol w:w="1500"/>
        <w:gridCol w:w="1400"/>
        <w:gridCol w:w="1400"/>
        <w:gridCol w:w="1560"/>
      </w:tblGrid>
      <w:tr>
        <w:trPr>
          <w:tblHeader/>
          <w:cantSplit/>
        </w:trPr>
        <w:tc>
          <w:tcPr>
            <w:tcW w:w="2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Programa</w:t>
            </w:r>
          </w:p>
        </w:tc>
        <w:tc>
          <w:tcPr>
            <w:tcW w:w="15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agendadas</w:t>
            </w:r>
          </w:p>
        </w:tc>
        <w:tc>
          <w:tcPr>
            <w:tcW w:w="15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realizadas</w:t>
            </w:r>
          </w:p>
        </w:tc>
        <w:tc>
          <w:tcPr>
            <w:tcW w:w="1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c>
          <w:tcPr>
            <w:tcW w:w="1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Asistencia</w:t>
            </w:r>
          </w:p>
        </w:tc>
        <w:tc>
          <w:tcPr>
            <w:tcW w:w="15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Cierre tras CM</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College</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35</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25</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10</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71.4%</w:t>
            </w:r>
          </w:p>
        </w:tc>
        <w:tc>
          <w:tcPr>
            <w:tcW w:w="1560" w:type="dxa"/>
            <w:tcMar>
              <w:top w:w="60" w:type="dxa"/>
              <w:bottom w:w="60" w:type="dxa"/>
              <w:left w:w="90" w:type="dxa"/>
              <w:right w:w="90" w:type="dxa"/>
            </w:tcMar>
            <w:vAlign w:val="center"/>
          </w:tcPr>
          <w:p>
            <w:pPr>
              <w:spacing w:after="0" w:line="240" w:lineRule="auto"/>
              <w:jc w:val="right"/>
            </w:pPr>
            <w:r>
              <w:rPr>
                <w:color w:val="262626"/>
                <w:sz w:val="18"/>
                <w:szCs w:val="18"/>
              </w:rPr>
              <w:t xml:space="preserve">40.0%</w:t>
            </w:r>
          </w:p>
        </w:tc>
      </w:tr>
      <w:tr>
        <w:tc>
          <w:tcPr>
            <w:tcW w:w="2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Kids</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26</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17</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9</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65.4%</w:t>
            </w:r>
          </w:p>
        </w:tc>
        <w:tc>
          <w:tcPr>
            <w:tcW w:w="15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52.9%</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Junior</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21</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17</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8</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81.0%</w:t>
            </w:r>
          </w:p>
        </w:tc>
        <w:tc>
          <w:tcPr>
            <w:tcW w:w="1560" w:type="dxa"/>
            <w:tcMar>
              <w:top w:w="60" w:type="dxa"/>
              <w:bottom w:w="60" w:type="dxa"/>
              <w:left w:w="90" w:type="dxa"/>
              <w:right w:w="90" w:type="dxa"/>
            </w:tcMar>
            <w:vAlign w:val="center"/>
          </w:tcPr>
          <w:p>
            <w:pPr>
              <w:spacing w:after="0" w:line="240" w:lineRule="auto"/>
              <w:jc w:val="right"/>
            </w:pPr>
            <w:r>
              <w:rPr>
                <w:color w:val="262626"/>
                <w:sz w:val="18"/>
                <w:szCs w:val="18"/>
              </w:rPr>
              <w:t xml:space="preserve">47.1%</w:t>
            </w:r>
          </w:p>
        </w:tc>
      </w:tr>
      <w:tr>
        <w:tc>
          <w:tcPr>
            <w:tcW w:w="2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Parenthood</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85.7%</w:t>
            </w:r>
          </w:p>
        </w:tc>
        <w:tc>
          <w:tcPr>
            <w:tcW w:w="15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50.0%</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Sin información</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100.0%</w:t>
            </w:r>
          </w:p>
        </w:tc>
        <w:tc>
          <w:tcPr>
            <w:tcW w:w="1560" w:type="dxa"/>
            <w:tcMar>
              <w:top w:w="60" w:type="dxa"/>
              <w:bottom w:w="60" w:type="dxa"/>
              <w:left w:w="90" w:type="dxa"/>
              <w:right w:w="90" w:type="dxa"/>
            </w:tcMar>
            <w:vAlign w:val="center"/>
          </w:tcPr>
          <w:p>
            <w:pPr>
              <w:spacing w:after="0" w:line="240" w:lineRule="auto"/>
              <w:jc w:val="right"/>
            </w:pPr>
            <w:r>
              <w:rPr>
                <w:color w:val="262626"/>
                <w:sz w:val="18"/>
                <w:szCs w:val="18"/>
              </w:rPr>
              <w:t xml:space="preserve">100.0%</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664000"/>
            <wp:effectExtent l="0" t="0" r="0" b="0"/>
            <wp:docPr id="10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6"/>
              </a:graphicData>
            </a:graphic>
          </wp:inline>
        </w:drawing>
      </w:r>
    </w:p>
    <w:p>
      <w:pPr>
        <w:jc w:val="both"/>
        <w:spacing w:after="120" w:line="264" w:lineRule="auto"/>
      </w:pPr>
      <w:r>
        <w:rPr>
          <w:color w:val="262626"/>
          <w:sz w:val="20"/>
          <w:szCs w:val="20"/>
        </w:rPr>
        <w:t xml:space="preserve">College genera el mayor volumen de clases muestra (35) pero tiene la tasa de cierre más baja (40.0%). Kids, Junior y Parenthood cierran entre 47.1% y 52.9%. Es un dato operativo relevante: la demanda adulta es más fácil de atraer y más difícil de cerrar, mientras que la demanda familiar es más escasa pero más rentable por clase muestra.</w:t>
      </w:r>
    </w:p>
    <w:p>
      <w:pPr>
        <w:spacing w:before="80" w:after="60"/>
      </w:pPr>
      <w:r>
        <w:rPr>
          <w:b/>
          <w:color w:val="2E5C9A"/>
          <w:sz w:val="18"/>
          <w:szCs w:val="18"/>
        </w:rPr>
        <w:t xml:space="preserve">Tabla 19. Clases muestra e inscripciones por idioma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4195"/>
        <w:gridCol w:w="2582"/>
        <w:gridCol w:w="2582"/>
      </w:tblGrid>
      <w:tr>
        <w:trPr>
          <w:tblHeader/>
          <w:cantSplit/>
        </w:trPr>
        <w:tc>
          <w:tcPr>
            <w:tcW w:w="4195"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Idioma</w:t>
            </w:r>
          </w:p>
        </w:tc>
        <w:tc>
          <w:tcPr>
            <w:tcW w:w="2582"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agendadas</w:t>
            </w:r>
          </w:p>
        </w:tc>
        <w:tc>
          <w:tcPr>
            <w:tcW w:w="2582"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r>
      <w:tr>
        <w:tc>
          <w:tcPr>
            <w:tcW w:w="4195" w:type="dxa"/>
            <w:tcMar>
              <w:top w:w="60" w:type="dxa"/>
              <w:bottom w:w="60" w:type="dxa"/>
              <w:left w:w="90" w:type="dxa"/>
              <w:right w:w="90" w:type="dxa"/>
            </w:tcMar>
            <w:vAlign w:val="center"/>
          </w:tcPr>
          <w:p>
            <w:pPr>
              <w:spacing w:after="0" w:line="240" w:lineRule="auto"/>
              <w:jc w:val="left"/>
            </w:pPr>
            <w:r>
              <w:rPr>
                <w:color w:val="262626"/>
                <w:sz w:val="18"/>
                <w:szCs w:val="18"/>
              </w:rPr>
              <w:t xml:space="preserve">Inglés</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85</w:t>
            </w:r>
          </w:p>
        </w:tc>
        <w:tc>
          <w:tcPr>
            <w:tcW w:w="2582" w:type="dxa"/>
            <w:tcMar>
              <w:top w:w="60" w:type="dxa"/>
              <w:bottom w:w="60" w:type="dxa"/>
              <w:left w:w="90" w:type="dxa"/>
              <w:right w:w="90" w:type="dxa"/>
            </w:tcMar>
            <w:vAlign w:val="center"/>
          </w:tcPr>
          <w:p>
            <w:pPr>
              <w:spacing w:after="0" w:line="240" w:lineRule="auto"/>
              <w:jc w:val="right"/>
            </w:pPr>
            <w:r>
              <w:rPr>
                <w:color w:val="262626"/>
                <w:sz w:val="18"/>
                <w:szCs w:val="18"/>
              </w:rPr>
              <w:t xml:space="preserve">29</w:t>
            </w:r>
          </w:p>
        </w:tc>
      </w:tr>
      <w:tr>
        <w:tc>
          <w:tcPr>
            <w:tcW w:w="4195"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Francés</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w:t>
            </w:r>
          </w:p>
        </w:tc>
        <w:tc>
          <w:tcPr>
            <w:tcW w:w="2582"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El francés aparece con 6 clases muestra y 3 inscripciones, todas concentradas en el 21 de septiembre y todas de alumnos que ya habían tomado clase muestra de inglés. Es demanda cruzada de familias existentes, no captación nueva: una vía de ingreso adicional que hoy no se promueve en la pauta.</w:t>
      </w:r>
    </w:p>
    <w:p>
      <w:pPr>
        <w:jc w:val="both"/>
        <w:spacing w:after="120" w:line="264" w:lineRule="auto"/>
      </w:pPr>
      <w:r>
        <w:rPr>
          <w:color w:val="262626"/>
          <w:sz w:val="20"/>
          <w:szCs w:val="20"/>
        </w:rPr>
        <w:t xml:space="preserve">Edad de los inscritos: de 5 a 77 años, promedio 20.8. El rango confirma que la academia atiende tanto a niños como a adultos y que la pauta trajo ambos perfiles.</w:t>
      </w:r>
    </w:p>
    <w:p>
      <w:pPr>
        <w:pStyle w:val="Titulo2"/>
      </w:pPr>
      <w:r>
        <w:rPr>
          <w:b/>
          <w:color w:val="262626"/>
          <w:sz w:val="20"/>
          <w:szCs w:val="20"/>
        </w:rPr>
        <w:t xml:space="preserve">9.3 Las inscripciones no atribuibles a la pauta</w:t>
      </w:r>
    </w:p>
    <w:p>
      <w:pPr>
        <w:spacing w:before="80" w:after="60"/>
      </w:pPr>
      <w:r>
        <w:rPr>
          <w:b/>
          <w:color w:val="2E5C9A"/>
          <w:sz w:val="18"/>
          <w:szCs w:val="18"/>
        </w:rPr>
        <w:t xml:space="preserve">Tabla 20. Inscripciones del periodo sin origen de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800"/>
        <w:gridCol w:w="1800"/>
        <w:gridCol w:w="4760"/>
      </w:tblGrid>
      <w:tr>
        <w:trPr>
          <w:tblHeader/>
          <w:cantSplit/>
        </w:trPr>
        <w:tc>
          <w:tcPr>
            <w:tcW w:w="2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Persona</w:t>
            </w:r>
          </w:p>
        </w:tc>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Canal de agenda</w:t>
            </w:r>
          </w:p>
        </w:tc>
        <w:tc>
          <w:tcPr>
            <w:tcW w:w="4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Por qué no es atribuible</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Citlalli Anahi Torres Diaz</w:t>
            </w:r>
          </w:p>
        </w:tc>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Whatsaap</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Agendó por WhatsApp pero no existe registro suyo en el CRM de campaña</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Dego Marquez Pedroza</w:t>
            </w:r>
          </w:p>
        </w:tc>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Facebook</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Agendó por Facebook pero no existe registro suyo en el CRM de campaña</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Dylan Eduardo Martes Pedrosa</w:t>
            </w:r>
          </w:p>
        </w:tc>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Facebook</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Agendó por Facebook pero no existe registro suyo en el CRM de campaña</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JACQUELINE Hernandez Morales</w:t>
            </w:r>
          </w:p>
        </w:tc>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Recomendación</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Registrada explícitamente como recomendación</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Laura Lizet Pedroza</w:t>
            </w:r>
          </w:p>
        </w:tc>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Facebook</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Agendó por Facebook pero no existe registro suyo en el CRM de campaña</w:t>
            </w:r>
          </w:p>
        </w:tc>
      </w:tr>
      <w:tr>
        <w:tc>
          <w:tcPr>
            <w:tcW w:w="2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Matias Gael Montiel Aviles</w:t>
            </w:r>
          </w:p>
        </w:tc>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Whatsaap</w:t>
            </w:r>
          </w:p>
        </w:tc>
        <w:tc>
          <w:tcPr>
            <w:tcW w:w="47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Agendó por WhatsApp pero no existe registro suyo en el CRM de campaña</w:t>
            </w:r>
          </w:p>
        </w:tc>
      </w:tr>
      <w:tr>
        <w:tc>
          <w:tcPr>
            <w:tcW w:w="2800" w:type="dxa"/>
            <w:tcMar>
              <w:top w:w="60" w:type="dxa"/>
              <w:bottom w:w="60" w:type="dxa"/>
              <w:left w:w="90" w:type="dxa"/>
              <w:right w:w="90" w:type="dxa"/>
            </w:tcMar>
            <w:vAlign w:val="center"/>
          </w:tcPr>
          <w:p>
            <w:pPr>
              <w:spacing w:after="0" w:line="240" w:lineRule="auto"/>
              <w:jc w:val="left"/>
            </w:pPr>
            <w:r>
              <w:rPr>
                <w:color w:val="262626"/>
                <w:sz w:val="18"/>
                <w:szCs w:val="18"/>
              </w:rPr>
              <w:t xml:space="preserve">SAMANTHA BAUTISTA RAMIREZ</w:t>
            </w:r>
          </w:p>
        </w:tc>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Whatsaap</w:t>
            </w:r>
          </w:p>
        </w:tc>
        <w:tc>
          <w:tcPr>
            <w:tcW w:w="4760" w:type="dxa"/>
            <w:tcMar>
              <w:top w:w="60" w:type="dxa"/>
              <w:bottom w:w="60" w:type="dxa"/>
              <w:left w:w="90" w:type="dxa"/>
              <w:right w:w="90" w:type="dxa"/>
            </w:tcMar>
            <w:vAlign w:val="center"/>
          </w:tcPr>
          <w:p>
            <w:pPr>
              <w:spacing w:after="0" w:line="240" w:lineRule="auto"/>
              <w:jc w:val="left"/>
            </w:pPr>
            <w:r>
              <w:rPr>
                <w:color w:val="262626"/>
                <w:sz w:val="18"/>
                <w:szCs w:val="18"/>
              </w:rPr>
              <w:t xml:space="preserve">Agendó por WhatsApp pero no existe registro suyo en el CRM de campaña</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Seis de estas siete inscripciones llegaron por canales que la academia no está midiendo. Solo una está explícitamente marcada como recomendación. Esto tiene dos implicaciones: el CAC real de la pauta es $304.34 y no $233.33, y existe un canal de referidos que produce altas sin ningún seguimiento formal.</w:t>
      </w:r>
    </w:p>
    <w:p>
      <w:r>
        <w:br w:type="page"/>
      </w:r>
    </w:p>
    <w:p>
      <w:pPr>
        <w:pStyle w:val="Titulo1"/>
      </w:pPr>
      <w:r>
        <w:rPr>
          <w:b/>
          <w:color w:val="262626"/>
          <w:sz w:val="20"/>
          <w:szCs w:val="20"/>
        </w:rPr>
        <w:t xml:space="preserve">10. Prospectos, estatus y eficiencia comercial</w:t>
      </w:r>
    </w:p>
    <w:p>
      <w:pPr>
        <w:jc w:val="both"/>
        <w:spacing w:after="120" w:line="264" w:lineRule="auto"/>
      </w:pPr>
      <w:r>
        <w:rPr>
          <w:color w:val="262626"/>
          <w:sz w:val="20"/>
          <w:szCs w:val="20"/>
        </w:rPr>
        <w:t xml:space="preserve">Pipeline consolidado al corte del 3 de octubre de 2026: 505 registros de prospecto, resultado de unir el CRM de campaña deduplicado con las personas que solo aparecen en la bitácora de clases muestra. El detalle individual está en el Entregable 5.</w:t>
      </w:r>
    </w:p>
    <w:p>
      <w:pPr>
        <w:spacing w:before="80" w:after="60"/>
      </w:pPr>
      <w:r>
        <w:rPr>
          <w:b/>
          <w:color w:val="2E5C9A"/>
          <w:sz w:val="18"/>
          <w:szCs w:val="18"/>
        </w:rPr>
        <w:t xml:space="preserve">Tabla 21. Pipeline comercial por estatus al 3 de octubre de 2026</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3640"/>
        <w:gridCol w:w="1690"/>
        <w:gridCol w:w="1690"/>
        <w:gridCol w:w="2340"/>
      </w:tblGrid>
      <w:tr>
        <w:trPr>
          <w:tblHeader/>
          <w:cantSplit/>
        </w:trPr>
        <w:tc>
          <w:tcPr>
            <w:tcW w:w="364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Estatus homologado</w:t>
            </w:r>
          </w:p>
        </w:tc>
        <w:tc>
          <w:tcPr>
            <w:tcW w:w="169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Prospectos</w:t>
            </w:r>
          </w:p>
        </w:tc>
        <w:tc>
          <w:tcPr>
            <w:tcW w:w="169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del total</w:t>
            </w:r>
          </w:p>
        </w:tc>
        <w:tc>
          <w:tcPr>
            <w:tcW w:w="234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Oportunidad abierta</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Nuevo</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0.8%</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Descubrimiento</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370</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73.3%</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Clase muestra agendada</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15</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3.0%</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Clase muestra realizada</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31</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6.1%</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Reprogramación</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0.2%</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Seguimiento</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28</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5.5%</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Por cerrar</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2.8%</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Lista de espera</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0.0%</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Sí</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Sin respuesta</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0.4%</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No</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interesado</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0.4%</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No</w:t>
            </w:r>
          </w:p>
        </w:tc>
      </w:tr>
      <w:tr>
        <w:tc>
          <w:tcPr>
            <w:tcW w:w="3640" w:type="dxa"/>
            <w:tcMar>
              <w:top w:w="60" w:type="dxa"/>
              <w:bottom w:w="60" w:type="dxa"/>
              <w:left w:w="90" w:type="dxa"/>
              <w:right w:w="90" w:type="dxa"/>
            </w:tcMar>
            <w:vAlign w:val="center"/>
          </w:tcPr>
          <w:p>
            <w:pPr>
              <w:spacing w:after="0" w:line="240" w:lineRule="auto"/>
              <w:jc w:val="left"/>
            </w:pPr>
            <w:r>
              <w:rPr>
                <w:color w:val="262626"/>
                <w:sz w:val="18"/>
                <w:szCs w:val="18"/>
              </w:rPr>
              <w:t xml:space="preserve">Inscrito / Cerrado</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27</w:t>
            </w:r>
          </w:p>
        </w:tc>
        <w:tc>
          <w:tcPr>
            <w:tcW w:w="1690" w:type="dxa"/>
            <w:tcMar>
              <w:top w:w="60" w:type="dxa"/>
              <w:bottom w:w="60" w:type="dxa"/>
              <w:left w:w="90" w:type="dxa"/>
              <w:right w:w="90" w:type="dxa"/>
            </w:tcMar>
            <w:vAlign w:val="center"/>
          </w:tcPr>
          <w:p>
            <w:pPr>
              <w:spacing w:after="0" w:line="240" w:lineRule="auto"/>
              <w:jc w:val="right"/>
            </w:pPr>
            <w:r>
              <w:rPr>
                <w:color w:val="262626"/>
                <w:sz w:val="18"/>
                <w:szCs w:val="18"/>
              </w:rPr>
              <w:t xml:space="preserve">5.3%</w:t>
            </w:r>
          </w:p>
        </w:tc>
        <w:tc>
          <w:tcPr>
            <w:tcW w:w="2340" w:type="dxa"/>
            <w:tcMar>
              <w:top w:w="60" w:type="dxa"/>
              <w:bottom w:w="60" w:type="dxa"/>
              <w:left w:w="90" w:type="dxa"/>
              <w:right w:w="90" w:type="dxa"/>
            </w:tcMar>
            <w:vAlign w:val="center"/>
          </w:tcPr>
          <w:p>
            <w:pPr>
              <w:spacing w:after="0" w:line="240" w:lineRule="auto"/>
              <w:jc w:val="center"/>
            </w:pPr>
            <w:r>
              <w:rPr>
                <w:color w:val="262626"/>
                <w:sz w:val="18"/>
                <w:szCs w:val="18"/>
              </w:rPr>
              <w:t xml:space="preserve">No</w:t>
            </w:r>
          </w:p>
        </w:tc>
      </w:tr>
      <w:tr>
        <w:tc>
          <w:tcPr>
            <w:tcW w:w="364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Estatus por validar</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169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2.2%</w:t>
            </w:r>
          </w:p>
        </w:tc>
        <w:tc>
          <w:tcPr>
            <w:tcW w:w="2340" w:type="dxa"/>
            <w:shd w:val="clear" w:color="auto" w:fill="F4F4F4"/>
            <w:tcMar>
              <w:top w:w="60" w:type="dxa"/>
              <w:bottom w:w="60" w:type="dxa"/>
              <w:left w:w="90" w:type="dxa"/>
              <w:right w:w="90" w:type="dxa"/>
            </w:tcMar>
            <w:vAlign w:val="center"/>
          </w:tcPr>
          <w:p>
            <w:pPr>
              <w:spacing w:after="0" w:line="240" w:lineRule="auto"/>
              <w:jc w:val="center"/>
            </w:pPr>
            <w:r>
              <w:rPr>
                <w:color w:val="262626"/>
                <w:sz w:val="18"/>
                <w:szCs w:val="18"/>
              </w:rPr>
              <w:t xml:space="preserve">No</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808000"/>
            <wp:effectExtent l="0" t="0" r="0" b="0"/>
            <wp:docPr id="10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7"/>
              </a:graphicData>
            </a:graphic>
          </wp:inline>
        </w:drawing>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El tamaño del pipeline esconde su calidad</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De los 463 registros en estados abiertos, 284 están en «Descubrimiento» con 15 días o más sin ningún movimiento registrado. Son prospectos ya pagados que no están siendo trabajados. A la conversión observada de la propia campaña (6.3% de lead a inscripción), ese inventario representa del orden de 18 inscripciones potenciales. Es una proyección con la tasa histórica de la campaña, no un dato confirmado.</w:t>
            </w:r>
          </w:p>
        </w:tc>
      </w:tr>
    </w:tbl>
    <w:p>
      <w:pPr>
        <w:jc w:val="both"/>
        <w:spacing w:after="0" w:line="264" w:lineRule="auto"/>
      </w:pPr>
      <w:r>
        <w:rPr>
          <w:color w:val="262626"/>
          <w:sz w:val="20"/>
          <w:szCs w:val="20"/>
        </w:rPr>
        <w:t xml:space="preserve"/>
      </w:r>
    </w:p>
    <w:p>
      <w:pPr>
        <w:pStyle w:val="Titulo2"/>
      </w:pPr>
      <w:r>
        <w:rPr>
          <w:b/>
          <w:color w:val="262626"/>
          <w:sz w:val="20"/>
          <w:szCs w:val="20"/>
        </w:rPr>
        <w:t xml:space="preserve">10.1 Eficiencia comercial: dónde estuvo el reto</w:t>
      </w:r>
    </w:p>
    <w:p>
      <w:pPr>
        <w:spacing w:before="80" w:after="60"/>
      </w:pPr>
      <w:r>
        <w:rPr>
          <w:b/>
          <w:color w:val="2E5C9A"/>
          <w:sz w:val="18"/>
          <w:szCs w:val="18"/>
        </w:rPr>
        <w:t xml:space="preserve">Tabla 22. Diagnóstico de eficiencia comercial</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700"/>
        <w:gridCol w:w="4800"/>
        <w:gridCol w:w="2860"/>
      </w:tblGrid>
      <w:tr>
        <w:trPr>
          <w:tblHeader/>
          <w:cantSplit/>
        </w:trPr>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Posible reto</w:t>
            </w:r>
          </w:p>
        </w:tc>
        <w:tc>
          <w:tcPr>
            <w:tcW w:w="4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Dato que lo mide</w:t>
            </w:r>
          </w:p>
        </w:tc>
        <w:tc>
          <w:tcPr>
            <w:tcW w:w="28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Veredicto</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Generación</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565 conversaciones y 477 leads-persona con $6,999.91 de inversión</w:t>
            </w:r>
          </w:p>
        </w:tc>
        <w:tc>
          <w:tcPr>
            <w:tcW w:w="2860" w:type="dxa"/>
            <w:tcMar>
              <w:top w:w="60" w:type="dxa"/>
              <w:bottom w:w="60" w:type="dxa"/>
              <w:left w:w="90" w:type="dxa"/>
              <w:right w:w="90" w:type="dxa"/>
            </w:tcMar>
            <w:vAlign w:val="center"/>
          </w:tcPr>
          <w:p>
            <w:pPr>
              <w:spacing w:after="0" w:line="240" w:lineRule="auto"/>
              <w:jc w:val="left"/>
            </w:pPr>
            <w:r>
              <w:rPr>
                <w:b/>
                <w:color w:val="2E7D5B"/>
                <w:sz w:val="18"/>
                <w:szCs w:val="18"/>
              </w:rPr>
              <w:t xml:space="preserve">Descartado</w:t>
            </w:r>
          </w:p>
        </w:tc>
      </w:tr>
      <w:tr>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Calidad del lead</w:t>
            </w:r>
          </w:p>
        </w:tc>
        <w:tc>
          <w:tcPr>
            <w:tcW w:w="4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73.6% de las personas que llegaron a clase muestra asistieron y 46.2% de ellas se inscribieron</w:t>
            </w:r>
          </w:p>
        </w:tc>
        <w:tc>
          <w:tcPr>
            <w:tcW w:w="2860" w:type="dxa"/>
            <w:shd w:val="clear" w:color="auto" w:fill="F4F4F4"/>
            <w:tcMar>
              <w:top w:w="60" w:type="dxa"/>
              <w:bottom w:w="60" w:type="dxa"/>
              <w:left w:w="90" w:type="dxa"/>
              <w:right w:w="90" w:type="dxa"/>
            </w:tcMar>
            <w:vAlign w:val="center"/>
          </w:tcPr>
          <w:p>
            <w:pPr>
              <w:spacing w:after="0" w:line="240" w:lineRule="auto"/>
              <w:jc w:val="left"/>
            </w:pPr>
            <w:r>
              <w:rPr>
                <w:b/>
                <w:color w:val="2E7D5B"/>
                <w:sz w:val="18"/>
                <w:szCs w:val="18"/>
              </w:rPr>
              <w:t xml:space="preserve">Descartado</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Contacto</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247 de 499 registros sin teléfono; 3 sin nombre ni teléfono</w:t>
            </w:r>
          </w:p>
        </w:tc>
        <w:tc>
          <w:tcPr>
            <w:tcW w:w="2860" w:type="dxa"/>
            <w:tcMar>
              <w:top w:w="60" w:type="dxa"/>
              <w:bottom w:w="60" w:type="dxa"/>
              <w:left w:w="90" w:type="dxa"/>
              <w:right w:w="90" w:type="dxa"/>
            </w:tcMar>
            <w:vAlign w:val="center"/>
          </w:tcPr>
          <w:p>
            <w:pPr>
              <w:spacing w:after="0" w:line="240" w:lineRule="auto"/>
              <w:jc w:val="left"/>
            </w:pPr>
            <w:r>
              <w:rPr>
                <w:b/>
                <w:color w:val="B07A12"/>
                <w:sz w:val="18"/>
                <w:szCs w:val="18"/>
              </w:rPr>
              <w:t xml:space="preserve">Contribuye</w:t>
            </w:r>
          </w:p>
        </w:tc>
      </w:tr>
      <w:tr>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Agendamiento</w:t>
            </w:r>
          </w:p>
        </w:tc>
        <w:tc>
          <w:tcPr>
            <w:tcW w:w="4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Solo 19.1% de los leads llegó a clase muestra: 390 personas perdidas</w:t>
            </w:r>
          </w:p>
        </w:tc>
        <w:tc>
          <w:tcPr>
            <w:tcW w:w="2860" w:type="dxa"/>
            <w:shd w:val="clear" w:color="auto" w:fill="F4F4F4"/>
            <w:tcMar>
              <w:top w:w="60" w:type="dxa"/>
              <w:bottom w:w="60" w:type="dxa"/>
              <w:left w:w="90" w:type="dxa"/>
              <w:right w:w="90" w:type="dxa"/>
            </w:tcMar>
            <w:vAlign w:val="center"/>
          </w:tcPr>
          <w:p>
            <w:pPr>
              <w:spacing w:after="0" w:line="240" w:lineRule="auto"/>
              <w:jc w:val="left"/>
            </w:pPr>
            <w:r>
              <w:rPr>
                <w:b/>
                <w:color w:val="B23A33"/>
                <w:sz w:val="18"/>
                <w:szCs w:val="18"/>
              </w:rPr>
              <w:t xml:space="preserve">RETO PRINCIPAL</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Asistencia</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22.0% de no show (20 clases)</w:t>
            </w:r>
          </w:p>
        </w:tc>
        <w:tc>
          <w:tcPr>
            <w:tcW w:w="2860" w:type="dxa"/>
            <w:tcMar>
              <w:top w:w="60" w:type="dxa"/>
              <w:bottom w:w="60" w:type="dxa"/>
              <w:left w:w="90" w:type="dxa"/>
              <w:right w:w="90" w:type="dxa"/>
            </w:tcMar>
            <w:vAlign w:val="center"/>
          </w:tcPr>
          <w:p>
            <w:pPr>
              <w:spacing w:after="0" w:line="240" w:lineRule="auto"/>
              <w:jc w:val="left"/>
            </w:pPr>
            <w:r>
              <w:rPr>
                <w:b/>
                <w:color w:val="B07A12"/>
                <w:sz w:val="18"/>
                <w:szCs w:val="18"/>
              </w:rPr>
              <w:t xml:space="preserve">Reto secundario</w:t>
            </w:r>
          </w:p>
        </w:tc>
      </w:tr>
      <w:tr>
        <w:tc>
          <w:tcPr>
            <w:tcW w:w="17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Seguimiento</w:t>
            </w:r>
          </w:p>
        </w:tc>
        <w:tc>
          <w:tcPr>
            <w:tcW w:w="4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459 registros sin resultado de seguimiento (92.0%) y 284 prospectos activos con 15+ días sin movimiento</w:t>
            </w:r>
          </w:p>
        </w:tc>
        <w:tc>
          <w:tcPr>
            <w:tcW w:w="2860" w:type="dxa"/>
            <w:shd w:val="clear" w:color="auto" w:fill="F4F4F4"/>
            <w:tcMar>
              <w:top w:w="60" w:type="dxa"/>
              <w:bottom w:w="60" w:type="dxa"/>
              <w:left w:w="90" w:type="dxa"/>
              <w:right w:w="90" w:type="dxa"/>
            </w:tcMar>
            <w:vAlign w:val="center"/>
          </w:tcPr>
          <w:p>
            <w:pPr>
              <w:spacing w:after="0" w:line="240" w:lineRule="auto"/>
              <w:jc w:val="left"/>
            </w:pPr>
            <w:r>
              <w:rPr>
                <w:b/>
                <w:color w:val="B23A33"/>
                <w:sz w:val="18"/>
                <w:szCs w:val="18"/>
              </w:rPr>
              <w:t xml:space="preserve">RETO PRINCIPAL</w:t>
            </w:r>
          </w:p>
        </w:tc>
      </w:tr>
      <w:tr>
        <w:tc>
          <w:tcPr>
            <w:tcW w:w="1700" w:type="dxa"/>
            <w:tcMar>
              <w:top w:w="60" w:type="dxa"/>
              <w:bottom w:w="60" w:type="dxa"/>
              <w:left w:w="90" w:type="dxa"/>
              <w:right w:w="90" w:type="dxa"/>
            </w:tcMar>
            <w:vAlign w:val="center"/>
          </w:tcPr>
          <w:p>
            <w:pPr>
              <w:spacing w:after="0" w:line="240" w:lineRule="auto"/>
              <w:jc w:val="left"/>
            </w:pPr>
            <w:r>
              <w:rPr>
                <w:color w:val="262626"/>
                <w:sz w:val="18"/>
                <w:szCs w:val="18"/>
              </w:rPr>
              <w:t xml:space="preserve">Cierre</w:t>
            </w:r>
          </w:p>
        </w:tc>
        <w:tc>
          <w:tcPr>
            <w:tcW w:w="4800" w:type="dxa"/>
            <w:tcMar>
              <w:top w:w="60" w:type="dxa"/>
              <w:bottom w:w="60" w:type="dxa"/>
              <w:left w:w="90" w:type="dxa"/>
              <w:right w:w="90" w:type="dxa"/>
            </w:tcMar>
            <w:vAlign w:val="center"/>
          </w:tcPr>
          <w:p>
            <w:pPr>
              <w:spacing w:after="0" w:line="240" w:lineRule="auto"/>
              <w:jc w:val="left"/>
            </w:pPr>
            <w:r>
              <w:rPr>
                <w:color w:val="262626"/>
                <w:sz w:val="18"/>
                <w:szCs w:val="18"/>
              </w:rPr>
              <w:t xml:space="preserve">46.2% de las personas con clase muestra realizada se inscribieron</w:t>
            </w:r>
          </w:p>
        </w:tc>
        <w:tc>
          <w:tcPr>
            <w:tcW w:w="2860" w:type="dxa"/>
            <w:tcMar>
              <w:top w:w="60" w:type="dxa"/>
              <w:bottom w:w="60" w:type="dxa"/>
              <w:left w:w="90" w:type="dxa"/>
              <w:right w:w="90" w:type="dxa"/>
            </w:tcMar>
            <w:vAlign w:val="center"/>
          </w:tcPr>
          <w:p>
            <w:pPr>
              <w:spacing w:after="0" w:line="240" w:lineRule="auto"/>
              <w:jc w:val="left"/>
            </w:pPr>
            <w:r>
              <w:rPr>
                <w:b/>
                <w:color w:val="2E7D5B"/>
                <w:sz w:val="18"/>
                <w:szCs w:val="18"/>
              </w:rPr>
              <w:t xml:space="preserve">Descartado — es la fortaleza</w:t>
            </w:r>
          </w:p>
        </w:tc>
      </w:tr>
    </w:tbl>
    <w:p>
      <w:pPr>
        <w:jc w:val="both"/>
        <w:spacing w:after="60" w:line="264" w:lineRule="auto"/>
      </w:pPr>
      <w:r>
        <w:rPr>
          <w:color w:val="262626"/>
          <w:sz w:val="20"/>
          <w:szCs w:val="20"/>
        </w:rPr>
        <w:t xml:space="preserve"/>
      </w:r>
    </w:p>
    <w:p>
      <w:pPr>
        <w:jc w:val="both"/>
        <w:spacing w:after="120" w:line="264" w:lineRule="auto"/>
      </w:pPr>
      <w:r>
        <w:rPr>
          <w:color w:val="262626"/>
          <w:sz w:val="20"/>
          <w:szCs w:val="20"/>
        </w:rPr>
        <w:t xml:space="preserve">La conclusión no es interpretativa: es aritmética. El 87.2% de toda la pérdida del embudo ocurre antes de que exista una clase muestra agendada, y el CRM no registra resultado de seguimiento en el 92.0% de sus registros. Agendamiento y seguimiento son el mismo problema visto desde dos ángulos.</w:t>
      </w:r>
    </w:p>
    <w:p>
      <w:r>
        <w:br w:type="page"/>
      </w:r>
    </w:p>
    <w:p>
      <w:pPr>
        <w:pStyle w:val="Titulo1"/>
      </w:pPr>
      <w:r>
        <w:rPr>
          <w:b/>
          <w:color w:val="262626"/>
          <w:sz w:val="20"/>
          <w:szCs w:val="20"/>
        </w:rPr>
        <w:t xml:space="preserve">11. Análisis temporal</w:t>
      </w:r>
    </w:p>
    <w:p>
      <w:pPr>
        <w:jc w:val="both"/>
        <w:spacing w:after="120" w:line="264" w:lineRule="auto"/>
      </w:pPr>
      <w:r>
        <w:rPr>
          <w:color w:val="262626"/>
          <w:sz w:val="20"/>
          <w:szCs w:val="20"/>
        </w:rPr>
        <w:t xml:space="preserve">Todo pertenece a la misma campaña. Esta sección es secundaria y sirve para entender el comportamiento en el tiempo, no para comparar tres campañas.</w:t>
      </w:r>
    </w:p>
    <w:p>
      <w:pPr>
        <w:spacing w:before="80" w:after="60"/>
      </w:pPr>
      <w:r>
        <w:rPr>
          <w:b/>
          <w:color w:val="2E5C9A"/>
          <w:sz w:val="18"/>
          <w:szCs w:val="18"/>
        </w:rPr>
        <w:t xml:space="preserve">Tabla 23. Resultados por fase de la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400"/>
        <w:gridCol w:w="800"/>
        <w:gridCol w:w="1000"/>
        <w:gridCol w:w="1100"/>
        <w:gridCol w:w="1400"/>
        <w:gridCol w:w="1400"/>
        <w:gridCol w:w="1260"/>
      </w:tblGrid>
      <w:tr>
        <w:trPr>
          <w:tblHeader/>
          <w:cantSplit/>
        </w:trPr>
        <w:tc>
          <w:tcPr>
            <w:tcW w:w="2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Fase</w:t>
            </w:r>
          </w:p>
        </w:tc>
        <w:tc>
          <w:tcPr>
            <w:tcW w:w="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Días</w:t>
            </w:r>
          </w:p>
        </w:tc>
        <w:tc>
          <w:tcPr>
            <w:tcW w:w="1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Leads</w:t>
            </w:r>
          </w:p>
        </w:tc>
        <w:tc>
          <w:tcPr>
            <w:tcW w:w="1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Leads/día</w:t>
            </w:r>
          </w:p>
        </w:tc>
        <w:tc>
          <w:tcPr>
            <w:tcW w:w="1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agendadas</w:t>
            </w:r>
          </w:p>
        </w:tc>
        <w:tc>
          <w:tcPr>
            <w:tcW w:w="1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realizadas</w:t>
            </w:r>
          </w:p>
        </w:tc>
        <w:tc>
          <w:tcPr>
            <w:tcW w:w="12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r>
      <w:tr>
        <w:tc>
          <w:tcPr>
            <w:tcW w:w="2400" w:type="dxa"/>
            <w:tcMar>
              <w:top w:w="60" w:type="dxa"/>
              <w:bottom w:w="60" w:type="dxa"/>
              <w:left w:w="90" w:type="dxa"/>
              <w:right w:w="90" w:type="dxa"/>
            </w:tcMar>
            <w:vAlign w:val="center"/>
          </w:tcPr>
          <w:p>
            <w:pPr>
              <w:spacing w:after="0" w:line="240" w:lineRule="auto"/>
              <w:jc w:val="left"/>
            </w:pPr>
            <w:r>
              <w:rPr>
                <w:color w:val="262626"/>
                <w:sz w:val="18"/>
                <w:szCs w:val="18"/>
              </w:rPr>
              <w:t xml:space="preserve">21–31 ago (arranque)</w:t>
            </w:r>
          </w:p>
        </w:tc>
        <w:tc>
          <w:tcPr>
            <w:tcW w:w="800" w:type="dxa"/>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1000" w:type="dxa"/>
            <w:tcMar>
              <w:top w:w="60" w:type="dxa"/>
              <w:bottom w:w="60" w:type="dxa"/>
              <w:left w:w="90" w:type="dxa"/>
              <w:right w:w="90" w:type="dxa"/>
            </w:tcMar>
            <w:vAlign w:val="center"/>
          </w:tcPr>
          <w:p>
            <w:pPr>
              <w:spacing w:after="0" w:line="240" w:lineRule="auto"/>
              <w:jc w:val="right"/>
            </w:pPr>
            <w:r>
              <w:rPr>
                <w:color w:val="262626"/>
                <w:sz w:val="18"/>
                <w:szCs w:val="18"/>
              </w:rPr>
              <w:t xml:space="preserve">101</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9.2</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6</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5</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3</w:t>
            </w:r>
          </w:p>
        </w:tc>
      </w:tr>
      <w:tr>
        <w:tc>
          <w:tcPr>
            <w:tcW w:w="24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Septiembre (principal)</w:t>
            </w:r>
          </w:p>
        </w:tc>
        <w:tc>
          <w:tcPr>
            <w:tcW w:w="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30</w:t>
            </w:r>
          </w:p>
        </w:tc>
        <w:tc>
          <w:tcPr>
            <w:tcW w:w="10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359</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12.0</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80</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60</w:t>
            </w:r>
          </w:p>
        </w:tc>
        <w:tc>
          <w:tcPr>
            <w:tcW w:w="12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28</w:t>
            </w:r>
          </w:p>
        </w:tc>
      </w:tr>
      <w:tr>
        <w:tc>
          <w:tcPr>
            <w:tcW w:w="2400" w:type="dxa"/>
            <w:tcMar>
              <w:top w:w="60" w:type="dxa"/>
              <w:bottom w:w="60" w:type="dxa"/>
              <w:left w:w="90" w:type="dxa"/>
              <w:right w:w="90" w:type="dxa"/>
            </w:tcMar>
            <w:vAlign w:val="center"/>
          </w:tcPr>
          <w:p>
            <w:pPr>
              <w:spacing w:after="0" w:line="240" w:lineRule="auto"/>
              <w:jc w:val="left"/>
            </w:pPr>
            <w:r>
              <w:rPr>
                <w:color w:val="262626"/>
                <w:sz w:val="18"/>
                <w:szCs w:val="18"/>
              </w:rPr>
              <w:t xml:space="preserve">1–4 oct (cierre)</w:t>
            </w:r>
          </w:p>
        </w:tc>
        <w:tc>
          <w:tcPr>
            <w:tcW w:w="800"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000" w:type="dxa"/>
            <w:tcMar>
              <w:top w:w="60" w:type="dxa"/>
              <w:bottom w:w="60" w:type="dxa"/>
              <w:left w:w="90" w:type="dxa"/>
              <w:right w:w="90" w:type="dxa"/>
            </w:tcMar>
            <w:vAlign w:val="center"/>
          </w:tcPr>
          <w:p>
            <w:pPr>
              <w:spacing w:after="0" w:line="240" w:lineRule="auto"/>
              <w:jc w:val="right"/>
            </w:pPr>
            <w:r>
              <w:rPr>
                <w:color w:val="262626"/>
                <w:sz w:val="18"/>
                <w:szCs w:val="18"/>
              </w:rPr>
              <w:t xml:space="preserve">17</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4.2</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5</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r>
      <w:tr>
        <w:tc>
          <w:tcPr>
            <w:tcW w:w="2400" w:type="dxa"/>
            <w:shd w:val="clear" w:color="auto" w:fill="DCE4F2"/>
            <w:tcMar>
              <w:top w:w="60" w:type="dxa"/>
              <w:bottom w:w="60" w:type="dxa"/>
              <w:left w:w="90" w:type="dxa"/>
              <w:right w:w="90" w:type="dxa"/>
            </w:tcMar>
            <w:vAlign w:val="center"/>
          </w:tcPr>
          <w:p>
            <w:pPr>
              <w:spacing w:after="0" w:line="240" w:lineRule="auto"/>
              <w:jc w:val="left"/>
            </w:pPr>
            <w:r>
              <w:rPr>
                <w:b/>
                <w:color w:val="262626"/>
                <w:sz w:val="18"/>
                <w:szCs w:val="18"/>
              </w:rPr>
              <w:t xml:space="preserve">TOTAL CAMPAÑA</w:t>
            </w:r>
          </w:p>
        </w:tc>
        <w:tc>
          <w:tcPr>
            <w:tcW w:w="8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45</w:t>
            </w:r>
          </w:p>
        </w:tc>
        <w:tc>
          <w:tcPr>
            <w:tcW w:w="10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477</w:t>
            </w:r>
          </w:p>
        </w:tc>
        <w:tc>
          <w:tcPr>
            <w:tcW w:w="11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10.6</w:t>
            </w:r>
          </w:p>
        </w:tc>
        <w:tc>
          <w:tcPr>
            <w:tcW w:w="14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91</w:t>
            </w:r>
          </w:p>
        </w:tc>
        <w:tc>
          <w:tcPr>
            <w:tcW w:w="140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67</w:t>
            </w:r>
          </w:p>
        </w:tc>
        <w:tc>
          <w:tcPr>
            <w:tcW w:w="1260" w:type="dxa"/>
            <w:shd w:val="clear" w:color="auto" w:fill="DCE4F2"/>
            <w:tcMar>
              <w:top w:w="60" w:type="dxa"/>
              <w:bottom w:w="60" w:type="dxa"/>
              <w:left w:w="90" w:type="dxa"/>
              <w:right w:w="90" w:type="dxa"/>
            </w:tcMar>
            <w:vAlign w:val="center"/>
          </w:tcPr>
          <w:p>
            <w:pPr>
              <w:spacing w:after="0" w:line="240" w:lineRule="auto"/>
              <w:jc w:val="right"/>
            </w:pPr>
            <w:r>
              <w:rPr>
                <w:b/>
                <w:color w:val="262626"/>
                <w:sz w:val="18"/>
                <w:szCs w:val="18"/>
              </w:rPr>
              <w:t xml:space="preserve">32</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Tabla 24. Evolución semanal de la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1400"/>
        <w:gridCol w:w="1700"/>
        <w:gridCol w:w="1700"/>
        <w:gridCol w:w="1500"/>
        <w:gridCol w:w="1260"/>
      </w:tblGrid>
      <w:tr>
        <w:trPr>
          <w:tblHeader/>
          <w:cantSplit/>
        </w:trPr>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Semana</w:t>
            </w:r>
          </w:p>
        </w:tc>
        <w:tc>
          <w:tcPr>
            <w:tcW w:w="14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Leads</w:t>
            </w:r>
          </w:p>
        </w:tc>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agendadas</w:t>
            </w:r>
          </w:p>
        </w:tc>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realizadas</w:t>
            </w:r>
          </w:p>
        </w:tc>
        <w:tc>
          <w:tcPr>
            <w:tcW w:w="15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c>
          <w:tcPr>
            <w:tcW w:w="12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 → CM</w:t>
            </w:r>
          </w:p>
        </w:tc>
      </w:tr>
      <w:tr>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21/08–27/08</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35</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3</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8.6%</w:t>
            </w:r>
          </w:p>
        </w:tc>
      </w:tr>
      <w:tr>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28/08–3/09</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126</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9</w:t>
            </w:r>
          </w:p>
        </w:tc>
        <w:tc>
          <w:tcPr>
            <w:tcW w:w="12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15.1%</w:t>
            </w:r>
          </w:p>
        </w:tc>
      </w:tr>
      <w:tr>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4/09–10/09</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122</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8</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15.6%</w:t>
            </w:r>
          </w:p>
        </w:tc>
      </w:tr>
      <w:tr>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11/09–17/09</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c>
          <w:tcPr>
            <w:tcW w:w="12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19.2%</w:t>
            </w:r>
          </w:p>
        </w:tc>
      </w:tr>
      <w:tr>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18/09–24/09</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69</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18</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26.1%</w:t>
            </w:r>
          </w:p>
        </w:tc>
      </w:tr>
      <w:tr>
        <w:tc>
          <w:tcPr>
            <w:tcW w:w="18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25/09–1/10</w:t>
            </w:r>
          </w:p>
        </w:tc>
        <w:tc>
          <w:tcPr>
            <w:tcW w:w="14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43</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10</w:t>
            </w:r>
          </w:p>
        </w:tc>
        <w:tc>
          <w:tcPr>
            <w:tcW w:w="15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2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32.6%</w:t>
            </w:r>
          </w:p>
        </w:tc>
      </w:tr>
      <w:tr>
        <w:tc>
          <w:tcPr>
            <w:tcW w:w="1800" w:type="dxa"/>
            <w:tcMar>
              <w:top w:w="60" w:type="dxa"/>
              <w:bottom w:w="60" w:type="dxa"/>
              <w:left w:w="90" w:type="dxa"/>
              <w:right w:w="90" w:type="dxa"/>
            </w:tcMar>
            <w:vAlign w:val="center"/>
          </w:tcPr>
          <w:p>
            <w:pPr>
              <w:spacing w:after="0" w:line="240" w:lineRule="auto"/>
              <w:jc w:val="left"/>
            </w:pPr>
            <w:r>
              <w:rPr>
                <w:color w:val="262626"/>
                <w:sz w:val="18"/>
                <w:szCs w:val="18"/>
              </w:rPr>
              <w:t xml:space="preserve">2/10–4/10</w:t>
            </w:r>
          </w:p>
        </w:tc>
        <w:tc>
          <w:tcPr>
            <w:tcW w:w="1400" w:type="dxa"/>
            <w:tcMar>
              <w:top w:w="60" w:type="dxa"/>
              <w:bottom w:w="60" w:type="dxa"/>
              <w:left w:w="90" w:type="dxa"/>
              <w:right w:w="90" w:type="dxa"/>
            </w:tcMar>
            <w:vAlign w:val="center"/>
          </w:tcPr>
          <w:p>
            <w:pPr>
              <w:spacing w:after="0" w:line="240" w:lineRule="auto"/>
              <w:jc w:val="right"/>
            </w:pPr>
            <w:r>
              <w:rPr>
                <w:color w:val="262626"/>
                <w:sz w:val="18"/>
                <w:szCs w:val="18"/>
              </w:rPr>
              <w:t xml:space="preserve">9</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50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1260" w:type="dxa"/>
            <w:tcMar>
              <w:top w:w="60" w:type="dxa"/>
              <w:bottom w:w="60" w:type="dxa"/>
              <w:left w:w="90" w:type="dxa"/>
              <w:right w:w="90" w:type="dxa"/>
            </w:tcMar>
            <w:vAlign w:val="center"/>
          </w:tcPr>
          <w:p>
            <w:pPr>
              <w:spacing w:after="0" w:line="240" w:lineRule="auto"/>
              <w:jc w:val="right"/>
            </w:pPr>
            <w:r>
              <w:rPr>
                <w:color w:val="262626"/>
                <w:sz w:val="18"/>
                <w:szCs w:val="18"/>
              </w:rPr>
              <w:t xml:space="preserve">44.4%</w:t>
            </w:r>
          </w:p>
        </w:tc>
      </w:tr>
    </w:tbl>
    <w:p>
      <w:pPr>
        <w:jc w:val="both"/>
        <w:spacing w:after="60" w:line="264" w:lineRule="auto"/>
      </w:pPr>
      <w:r>
        <w:rPr>
          <w:color w:val="262626"/>
          <w:sz w:val="20"/>
          <w:szCs w:val="20"/>
        </w:rPr>
        <w:t xml:space="preserve"/>
      </w:r>
    </w:p>
    <w:p>
      <w:pPr>
        <w:jc w:val="center"/>
        <w:spacing w:before="60" w:after="120"/>
      </w:pPr>
      <w:r>
        <w:drawing>
          <wp:inline xmlns:wp="http://schemas.openxmlformats.org/drawingml/2006/wordprocessingDrawing" distT="0" distB="0" distL="0" distR="0">
            <wp:extent cx="5760000" cy="2664000"/>
            <wp:effectExtent l="0" t="0" r="0" b="0"/>
            <wp:docPr id="10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Chart8"/>
              </a:graphicData>
            </a:graphic>
          </wp:inline>
        </w:drawing>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Patrón relevante: a mayor volumen semanal de leads, menor tasa de agendamiento</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La tasa Lead → CM pasa de 15.1% en la semana de mayor volumen (126 leads) a 32.6% en la de menor volumen (43 leads). La relación es consistente a lo largo de las siete semanas. Se trata de tasas por semana calendario, no por cohorte de lead, por lo que el patrón es indicativo y no una medición causal; aun así apunta a que la capacidad de atención, y no la demanda, fue el factor limitante.</w:t>
            </w:r>
          </w:p>
        </w:tc>
      </w:tr>
    </w:tbl>
    <w:p>
      <w:pPr>
        <w:jc w:val="both"/>
        <w:spacing w:after="0" w:line="264" w:lineRule="auto"/>
      </w:pPr>
      <w:r>
        <w:rPr>
          <w:color w:val="262626"/>
          <w:sz w:val="20"/>
          <w:szCs w:val="20"/>
        </w:rPr>
        <w:t xml:space="preserve"/>
      </w:r>
    </w:p>
    <w:p>
      <w:pPr>
        <w:jc w:val="both"/>
        <w:spacing w:after="120" w:line="264" w:lineRule="auto"/>
      </w:pPr>
      <w:r>
        <w:rPr>
          <w:color w:val="262626"/>
          <w:sz w:val="20"/>
          <w:szCs w:val="20"/>
        </w:rPr>
        <w:t xml:space="preserve">El pico de captación fue el 06 de septiembre de 2026 con 58 registros en un solo día, equivalente al 11.6% de todo el periodo. Ese día no tiene un incremento proporcional de clases muestra en los días siguientes.</w:t>
      </w:r>
    </w:p>
    <w:p>
      <w:r>
        <w:br w:type="page"/>
      </w:r>
    </w:p>
    <w:p>
      <w:pPr>
        <w:pStyle w:val="Titulo1"/>
      </w:pPr>
      <w:r>
        <w:rPr>
          <w:b/>
          <w:color w:val="262626"/>
          <w:sz w:val="20"/>
          <w:szCs w:val="20"/>
        </w:rPr>
        <w:t xml:space="preserve">12. Principales hallazgos</w:t>
      </w:r>
    </w:p>
    <w:p>
      <w:pPr>
        <w:jc w:val="both"/>
        <w:spacing w:after="120" w:line="264" w:lineRule="auto"/>
      </w:pPr>
      <w:r>
        <w:rPr>
          <w:color w:val="262626"/>
          <w:sz w:val="20"/>
          <w:szCs w:val="20"/>
        </w:rPr>
        <w:t xml:space="preserve">Estructura: DATO → INTERPRETACIÓN → IMPACTO COMERCIAL.</w:t>
      </w:r>
    </w:p>
    <w:p>
      <w:pPr>
        <w:pStyle w:val="Titulo2"/>
      </w:pPr>
      <w:r>
        <w:rPr>
          <w:b/>
          <w:color w:val="262626"/>
          <w:sz w:val="20"/>
          <w:szCs w:val="20"/>
        </w:rPr>
        <w:t xml:space="preserve">Hallazgo 1. Un solo creativo sostuvo toda la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El reel «video villas» consumió 70.0% del gasto ($4,901.80), generó 83.0% de las impresiones (200,179) y 86.9% de las conversaciones (491 de 565), a $9.98 por conversación. Es el único anuncio con clasificación «Por encima del promedio» simultáneamente en interacción y en conversiones.</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Con presupuesto a nivel campaña, el algoritmo identificó al ganador y concentró la entrega. La campaña no funcionó porque hubiera ocho buenos anuncios: funcionó porque uno fue muy bueno.</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19 de las 23 inscripciones atribuibles (82.6%) provienen de ese creativo. Es la mayor fortaleza de la campaña y, a la vez, su mayor riesgo: si ese reel se satura, no hay segundo creativo probado que lo sustituya.</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2. El cuello de botella está entre el lead y la clase muestra, no en marketing</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De 477 leads-persona, solo 87 llegaron a tener clase muestra (19.1%). Se perdieron 390 personas (81.8%) antes de agendar. En contraste, la asistencia fue de 73.6% y el cierre tras la clase de 46.2%.</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La generación fue abundante y barata, y el proceso de clase muestra funciona muy bien. El eslabón roto es la conversión de la conversación en cita agendada.</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Con la misma pauta y el mismo gasto, subir Lead → CM de 19.1% a 25% habría producido unas 28 clases muestra adicionales y, a las tasas de asistencia y cierre observadas, del orden de 10 inscripciones más. Sería un incremento del 35.0% sobre el resultado obtenido, sin un peso adicional de inversión.</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3. 463 oportunidades abiertas y 284 de ellas sin movimiento desde hace 15 días o más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Al corte del 3 de octubre hay 463 registros en estados abiertos. De ellos, 284 están en «Descubrimiento» con 15 o más días sin ningún registro nuevo. Además, el CRM no tiene resultado de seguimiento en 459 de 499 registros (92.0%) y la columna de comentarios está vacía en el 100% de la hoja.</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No es un problema de volumen ni de interés del mercado: es un problema de cadencia y de documentación del seguimiento. Un prospecto sin registro de seguimiento es, en la práctica, un prospecto no trabajado.</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Ese inventario ya está pagado. Trabajarlo no requiere inversión publicitaria nueva. A la conversión observada de la propia campaña representa del orden de 18 inscripciones potenciales (proyección con tasa propia, no dato confirmado).</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4. La clase muestra es el activo comercial más rentable de la academia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67 de 91 clases agendadas se realizaron (73.6%) y 30 de las 65 personas que asistieron se inscribieron (46.2%). El no show fue de 22.0% y solo hubo 1 reprogramación.</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Cuando el prospecto entra al salón, cierra casi la mitad de las veces. El proceso pedagógico y comercial de la clase muestra está resuelto.</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Cada clase muestra realizada costó $104.48 de pauta y produjo 0.45 inscripciones. Toda acción que incremente el número de clases muestra tiene retorno casi directo, lo que convierte al agendamiento en la prioridad número uno de inversión de esfuerzo.</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5. 19.3% del gasto se fue en seis anuncios que aportaron 6.2% de los resultados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$1,353.61 (19.3% del gasto) se repartieron entre los seis anuncios distintos de «video villas» y «video sin libros». Produjeron 35 conversaciones (6.2% del total) a $38.67 cada una, frente a $9.98 del anuncio ganador: 3.9 veces más caro.</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El presupuesto a nivel campaña reparte, pero no elimina: los anuncios de bajo rendimiento siguieron consumiendo entrega durante todo el periodo sin aportar resultados.</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Reasignar ese 19.3% al creativo eficiente habría generado del orden de 136 conversaciones en lugar de 35, es decir unas 100 conversaciones adicionales. Al CPL observado equivale a unas 85 personas más en el embudo.</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6. 7 de las 30 inscripciones del periodo no provienen de la pauta y seis no se están midiendo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23 de 30 inscripciones (76.7%) son atribuibles a la campaña. De las 7 restantes, una está marcada explícitamente como «Recomendación», tres corresponden a una familia que agendó por Facebook sin registro en el CRM y tres llegaron por WhatsApp sin registro.</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Existen canales productivos —recomendación y contacto directo— que no tienen ningún registro formal. La atribución subestima lo que la pauta genera y, al mismo tiempo, oculta un canal orgánico que funciona.</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El CAC atribuible es $304.34 frente a $233.33 si se consideran todas las inscripciones. Formalizar el registro de referidos permitiría medir y escalar un canal que hoy produce altas sin costo publicitario.</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7. La demanda adulta atrae más y cierra menos; la demanda familiar es escasa y cierra mejor</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College generó 35 clases muestra (38.5% del total) con un cierre de 40.0%. Kids cerró 52.9%, Parenthood 50.0% y Junior 47.1%.</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El mensaje de la campaña atrajo predominantemente adultos que deciden solos y tardan más en comprometerse. Las familias llegan menos pero deciden en bloque: varios casos inscribieron a dos o tres integrantes.</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Tres contactos del pipeline concretaron dos inscripciones cada uno. Orientar parte del presupuesto a mensajes familiares eleva el valor por clase muestra sin aumentar el CPL.</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Hallazgo 8. Hay demanda cruzada de un segundo idioma que no se está promoviendo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1800"/>
        <w:gridCol w:w="7560"/>
      </w:tblGrid>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DATO</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Las 6 clases muestra de francés y sus 3 inscripciones se concentran en un solo día (21 de septiembre) y todas corresponden a personas que ya habían tomado clase muestra de inglés. Dos alumnos tienen dos matrículas en el padrón, una por idioma.</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INTERPRETACIÓN</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El francés no captó demanda nueva: capitalizó demanda existente. Es venta cruzada, no adquisición.</w:t>
            </w:r>
          </w:p>
        </w:tc>
      </w:tr>
      <w:tr>
        <w:tc>
          <w:tcPr>
            <w:tcW w:w="1800" w:type="dxa"/>
            <w:tcMar>
              <w:top w:w="60" w:type="dxa"/>
              <w:bottom w:w="60" w:type="dxa"/>
              <w:left w:w="90" w:type="dxa"/>
              <w:right w:w="90" w:type="dxa"/>
            </w:tcMar>
            <w:vAlign w:val="center"/>
          </w:tcPr>
          <w:p>
            <w:pPr>
              <w:spacing w:after="0" w:line="240" w:lineRule="auto"/>
              <w:jc w:val="left"/>
            </w:pPr>
            <w:r>
              <w:rPr>
                <w:b/>
                <w:color w:val="1F3864"/>
                <w:sz w:val="18"/>
                <w:szCs w:val="18"/>
              </w:rPr>
              <w:t xml:space="preserve">IMPACTO COMERCIAL</w:t>
            </w:r>
          </w:p>
        </w:tc>
        <w:tc>
          <w:tcPr>
            <w:tcW w:w="7560" w:type="dxa"/>
            <w:tcMar>
              <w:top w:w="60" w:type="dxa"/>
              <w:bottom w:w="60" w:type="dxa"/>
              <w:left w:w="90" w:type="dxa"/>
              <w:right w:w="90" w:type="dxa"/>
            </w:tcMar>
            <w:vAlign w:val="center"/>
          </w:tcPr>
          <w:p>
            <w:pPr>
              <w:spacing w:after="0" w:line="240" w:lineRule="auto"/>
              <w:jc w:val="left"/>
            </w:pPr>
            <w:r>
              <w:rPr>
                <w:color w:val="262626"/>
                <w:sz w:val="18"/>
                <w:szCs w:val="18"/>
              </w:rPr>
              <w:t xml:space="preserve">9.4% de las inscripciones del periodo vinieron de venta cruzada sin inversión publicitaria dedicada. Es el camino más económico para subir ingreso por alumno.</w:t>
            </w:r>
          </w:p>
        </w:tc>
      </w:tr>
    </w:tbl>
    <w:p>
      <w:pPr>
        <w:jc w:val="both"/>
        <w:spacing w:after="60" w:line="264" w:lineRule="auto"/>
      </w:pPr>
      <w:r>
        <w:rPr>
          <w:color w:val="262626"/>
          <w:sz w:val="20"/>
          <w:szCs w:val="20"/>
        </w:rPr>
        <w:t xml:space="preserve"/>
      </w:r>
    </w:p>
    <w:p>
      <w:r>
        <w:br w:type="page"/>
      </w:r>
    </w:p>
    <w:p>
      <w:pPr>
        <w:pStyle w:val="Titulo1"/>
      </w:pPr>
      <w:r>
        <w:rPr>
          <w:b/>
          <w:color w:val="262626"/>
          <w:sz w:val="20"/>
          <w:szCs w:val="20"/>
        </w:rPr>
        <w:t xml:space="preserve">13. Qué funcionó</w:t>
      </w:r>
    </w:p>
    <w:p>
      <w:pPr>
        <w:pStyle w:val="Titulo2"/>
      </w:pPr>
      <w:r>
        <w:rPr>
          <w:b/>
          <w:color w:val="262626"/>
          <w:sz w:val="20"/>
          <w:szCs w:val="20"/>
        </w:rPr>
        <w:t xml:space="preserve">Pauta</w:t>
      </w:r>
    </w:p>
    <w:p>
      <w:pPr>
        <w:pStyle w:val="Vineta"/>
        <w:numPr>
          <w:ilvl w:val="0"/>
          <w:numId w:val="1"/>
        </w:numPr>
        <w:spacing w:after="60" w:line="264" w:lineRule="auto"/>
      </w:pPr>
      <w:r>
        <w:rPr>
          <w:color w:val="262626"/>
          <w:sz w:val="20"/>
          <w:szCs w:val="20"/>
        </w:rPr>
        <w:t xml:space="preserve">Ejecución presupuestal prácticamente perfecta: $6,999.91 de $7,000 (100.0%), sin subejecución.</w:t>
      </w:r>
    </w:p>
    <w:p>
      <w:pPr>
        <w:pStyle w:val="Vineta"/>
        <w:numPr>
          <w:ilvl w:val="0"/>
          <w:numId w:val="1"/>
        </w:numPr>
        <w:spacing w:after="60" w:line="264" w:lineRule="auto"/>
      </w:pPr>
      <w:r>
        <w:rPr>
          <w:color w:val="262626"/>
          <w:sz w:val="20"/>
          <w:szCs w:val="20"/>
        </w:rPr>
        <w:t xml:space="preserve">Costo por conversación de $12.39 y CPM de $29.01: costos de entrada bajos para el sector.</w:t>
      </w:r>
    </w:p>
    <w:p>
      <w:pPr>
        <w:pStyle w:val="Vineta"/>
        <w:numPr>
          <w:ilvl w:val="0"/>
          <w:numId w:val="1"/>
        </w:numPr>
        <w:spacing w:after="60" w:line="264" w:lineRule="auto"/>
      </w:pPr>
      <w:r>
        <w:rPr>
          <w:color w:val="262626"/>
          <w:sz w:val="20"/>
          <w:szCs w:val="20"/>
        </w:rPr>
        <w:t xml:space="preserve">El objetivo de mensajes fue el correcto: 78.0% de las clases muestra se agendaron por WhatsApp, el mismo canal al que llevaba la pauta.</w:t>
      </w:r>
    </w:p>
    <w:p>
      <w:pPr>
        <w:pStyle w:val="Titulo2"/>
      </w:pPr>
      <w:r>
        <w:rPr>
          <w:b/>
          <w:color w:val="262626"/>
          <w:sz w:val="20"/>
          <w:szCs w:val="20"/>
        </w:rPr>
        <w:t xml:space="preserve">Creativos</w:t>
      </w:r>
    </w:p>
    <w:p>
      <w:pPr>
        <w:pStyle w:val="Vineta"/>
        <w:numPr>
          <w:ilvl w:val="0"/>
          <w:numId w:val="1"/>
        </w:numPr>
        <w:spacing w:after="60" w:line="264" w:lineRule="auto"/>
      </w:pPr>
      <w:r>
        <w:rPr>
          <w:color w:val="262626"/>
          <w:sz w:val="20"/>
          <w:szCs w:val="20"/>
        </w:rPr>
        <w:t xml:space="preserve">El formato video/reel concentró 97.2% de las conversaciones.</w:t>
      </w:r>
    </w:p>
    <w:p>
      <w:pPr>
        <w:pStyle w:val="Vineta"/>
        <w:numPr>
          <w:ilvl w:val="0"/>
          <w:numId w:val="1"/>
        </w:numPr>
        <w:spacing w:after="60" w:line="264" w:lineRule="auto"/>
      </w:pPr>
      <w:r>
        <w:rPr>
          <w:color w:val="262626"/>
          <w:sz w:val="20"/>
          <w:szCs w:val="20"/>
        </w:rPr>
        <w:t xml:space="preserve">El mensaje de proximidad geográfica («Villas de Pachuca») fue el más eficiente de la campaña: $9.98 por conversación.</w:t>
      </w:r>
    </w:p>
    <w:p>
      <w:pPr>
        <w:pStyle w:val="Vineta"/>
        <w:numPr>
          <w:ilvl w:val="0"/>
          <w:numId w:val="1"/>
        </w:numPr>
        <w:spacing w:after="60" w:line="264" w:lineRule="auto"/>
      </w:pPr>
      <w:r>
        <w:rPr>
          <w:color w:val="262626"/>
          <w:sz w:val="20"/>
          <w:szCs w:val="20"/>
        </w:rPr>
        <w:t xml:space="preserve">El segundo mejor mensaje fue de diferenciación metodológica («sin libros»), $19.09 por conversación: la propuesta de valor vende mejor que la oferta genérica.</w:t>
      </w:r>
    </w:p>
    <w:p>
      <w:pPr>
        <w:pStyle w:val="Titulo2"/>
      </w:pPr>
      <w:r>
        <w:rPr>
          <w:b/>
          <w:color w:val="262626"/>
          <w:sz w:val="20"/>
          <w:szCs w:val="20"/>
        </w:rPr>
        <w:t xml:space="preserve">Contenido</w:t>
      </w:r>
    </w:p>
    <w:p>
      <w:pPr>
        <w:pStyle w:val="Vineta"/>
        <w:numPr>
          <w:ilvl w:val="0"/>
          <w:numId w:val="1"/>
        </w:numPr>
        <w:spacing w:after="60" w:line="264" w:lineRule="auto"/>
      </w:pPr>
      <w:r>
        <w:rPr>
          <w:color w:val="262626"/>
          <w:sz w:val="20"/>
          <w:szCs w:val="20"/>
        </w:rPr>
        <w:t xml:space="preserve">Los dos creativos ganadores comparten tres características verificables en los datos: formato video, mensaje específico (lugar o método) y clasificación de interacción por encima del promedio.</w:t>
      </w:r>
    </w:p>
    <w:p>
      <w:pPr>
        <w:pStyle w:val="Vineta"/>
        <w:numPr>
          <w:ilvl w:val="0"/>
          <w:numId w:val="1"/>
        </w:numPr>
        <w:spacing w:after="60" w:line="264" w:lineRule="auto"/>
      </w:pPr>
      <w:r>
        <w:rPr>
          <w:color w:val="262626"/>
          <w:sz w:val="20"/>
          <w:szCs w:val="20"/>
        </w:rPr>
        <w:t xml:space="preserve">Los creativos de oferta genérica fueron los más caros por conversación: «post grupos» $36.61 con 11 conversaciones, «carrete» $44.99 con 4 y «video clases» $59.65 con 7. «post clase» y «video switch» registran costos menores pero con una sola conversación cada uno, por lo que no son comparables.</w:t>
      </w:r>
    </w:p>
    <w:p>
      <w:pPr>
        <w:pStyle w:val="Titulo2"/>
      </w:pPr>
      <w:r>
        <w:rPr>
          <w:b/>
          <w:color w:val="262626"/>
          <w:sz w:val="20"/>
          <w:szCs w:val="20"/>
        </w:rPr>
        <w:t xml:space="preserve">Generación de prospectos</w:t>
      </w:r>
    </w:p>
    <w:p>
      <w:pPr>
        <w:pStyle w:val="Vineta"/>
        <w:numPr>
          <w:ilvl w:val="0"/>
          <w:numId w:val="1"/>
        </w:numPr>
        <w:spacing w:after="60" w:line="264" w:lineRule="auto"/>
      </w:pPr>
      <w:r>
        <w:rPr>
          <w:color w:val="262626"/>
          <w:sz w:val="20"/>
          <w:szCs w:val="20"/>
        </w:rPr>
        <w:t xml:space="preserve">565 conversaciones y 477 personas identificables en 45 días.</w:t>
      </w:r>
    </w:p>
    <w:p>
      <w:pPr>
        <w:pStyle w:val="Vineta"/>
        <w:numPr>
          <w:ilvl w:val="0"/>
          <w:numId w:val="1"/>
        </w:numPr>
        <w:spacing w:after="60" w:line="264" w:lineRule="auto"/>
      </w:pPr>
      <w:r>
        <w:rPr>
          <w:color w:val="262626"/>
          <w:sz w:val="20"/>
          <w:szCs w:val="20"/>
        </w:rPr>
        <w:t xml:space="preserve">Costo por lead de $14.67 a nivel persona única.</w:t>
      </w:r>
    </w:p>
    <w:p>
      <w:pPr>
        <w:pStyle w:val="Vineta"/>
        <w:numPr>
          <w:ilvl w:val="0"/>
          <w:numId w:val="1"/>
        </w:numPr>
        <w:spacing w:after="60" w:line="264" w:lineRule="auto"/>
      </w:pPr>
      <w:r>
        <w:rPr>
          <w:color w:val="262626"/>
          <w:sz w:val="20"/>
          <w:szCs w:val="20"/>
        </w:rPr>
        <w:t xml:space="preserve">Captación sostenida: las siete semanas del periodo tuvieron leads, con pico de 58 en un solo día.</w:t>
      </w:r>
    </w:p>
    <w:p>
      <w:pPr>
        <w:pStyle w:val="Titulo2"/>
      </w:pPr>
      <w:r>
        <w:rPr>
          <w:b/>
          <w:color w:val="262626"/>
          <w:sz w:val="20"/>
          <w:szCs w:val="20"/>
        </w:rPr>
        <w:t xml:space="preserve">Seguimiento</w:t>
      </w:r>
    </w:p>
    <w:p>
      <w:pPr>
        <w:pStyle w:val="Vineta"/>
        <w:numPr>
          <w:ilvl w:val="0"/>
          <w:numId w:val="1"/>
        </w:numPr>
        <w:spacing w:after="60" w:line="264" w:lineRule="auto"/>
      </w:pPr>
      <w:r>
        <w:rPr>
          <w:color w:val="262626"/>
          <w:sz w:val="20"/>
          <w:szCs w:val="20"/>
        </w:rPr>
        <w:t xml:space="preserve">El equipo registró el anuncio de origen en 93.0% de los registros, lo que permitió reconstruir la atribución creativo por creativo.</w:t>
      </w:r>
    </w:p>
    <w:p>
      <w:pPr>
        <w:pStyle w:val="Vineta"/>
        <w:numPr>
          <w:ilvl w:val="0"/>
          <w:numId w:val="1"/>
        </w:numPr>
        <w:spacing w:after="60" w:line="264" w:lineRule="auto"/>
      </w:pPr>
      <w:r>
        <w:rPr>
          <w:color w:val="262626"/>
          <w:sz w:val="20"/>
          <w:szCs w:val="20"/>
        </w:rPr>
        <w:t xml:space="preserve">Cuando el seguimiento se concretó en una cita, funcionó: 73.6% de asistencia.</w:t>
      </w:r>
    </w:p>
    <w:p>
      <w:pPr>
        <w:pStyle w:val="Vineta"/>
        <w:numPr>
          <w:ilvl w:val="0"/>
          <w:numId w:val="1"/>
        </w:numPr>
        <w:spacing w:after="60" w:line="264" w:lineRule="auto"/>
      </w:pPr>
      <w:r>
        <w:rPr>
          <w:color w:val="262626"/>
          <w:sz w:val="20"/>
          <w:szCs w:val="20"/>
        </w:rPr>
        <w:t xml:space="preserve">Nota: el seguimiento es también un área de oportunidad grave (sección 14); lo que funcionó fue la ejecución de la cita, no la cadencia previa.</w:t>
      </w:r>
    </w:p>
    <w:p>
      <w:pPr>
        <w:pStyle w:val="Titulo2"/>
      </w:pPr>
      <w:r>
        <w:rPr>
          <w:b/>
          <w:color w:val="262626"/>
          <w:sz w:val="20"/>
          <w:szCs w:val="20"/>
        </w:rPr>
        <w:t xml:space="preserve">Clases muestra</w:t>
      </w:r>
    </w:p>
    <w:p>
      <w:pPr>
        <w:pStyle w:val="Vineta"/>
        <w:numPr>
          <w:ilvl w:val="0"/>
          <w:numId w:val="1"/>
        </w:numPr>
        <w:spacing w:after="60" w:line="264" w:lineRule="auto"/>
      </w:pPr>
      <w:r>
        <w:rPr>
          <w:color w:val="262626"/>
          <w:sz w:val="20"/>
          <w:szCs w:val="20"/>
        </w:rPr>
        <w:t xml:space="preserve">73.6% de asistencia sobre clases agendadas.</w:t>
      </w:r>
    </w:p>
    <w:p>
      <w:pPr>
        <w:pStyle w:val="Vineta"/>
        <w:numPr>
          <w:ilvl w:val="0"/>
          <w:numId w:val="1"/>
        </w:numPr>
        <w:spacing w:after="60" w:line="264" w:lineRule="auto"/>
      </w:pPr>
      <w:r>
        <w:rPr>
          <w:color w:val="262626"/>
          <w:sz w:val="20"/>
          <w:szCs w:val="20"/>
        </w:rPr>
        <w:t xml:space="preserve">Solo 1 reprogramación en todo el periodo (1.1%).</w:t>
      </w:r>
    </w:p>
    <w:p>
      <w:pPr>
        <w:pStyle w:val="Vineta"/>
        <w:numPr>
          <w:ilvl w:val="0"/>
          <w:numId w:val="1"/>
        </w:numPr>
        <w:spacing w:after="60" w:line="264" w:lineRule="auto"/>
      </w:pPr>
      <w:r>
        <w:rPr>
          <w:color w:val="262626"/>
          <w:sz w:val="20"/>
          <w:szCs w:val="20"/>
        </w:rPr>
        <w:t xml:space="preserve">Programación concentrada en los horarios de mayor demanda: 61.5% de las clases entre 16:00 y 19:00 h.</w:t>
      </w:r>
    </w:p>
    <w:p>
      <w:pPr>
        <w:pStyle w:val="Titulo2"/>
      </w:pPr>
      <w:r>
        <w:rPr>
          <w:b/>
          <w:color w:val="262626"/>
          <w:sz w:val="20"/>
          <w:szCs w:val="20"/>
        </w:rPr>
        <w:t xml:space="preserve">Conversión</w:t>
      </w:r>
    </w:p>
    <w:p>
      <w:pPr>
        <w:pStyle w:val="Vineta"/>
        <w:numPr>
          <w:ilvl w:val="0"/>
          <w:numId w:val="1"/>
        </w:numPr>
        <w:spacing w:after="60" w:line="264" w:lineRule="auto"/>
      </w:pPr>
      <w:r>
        <w:rPr>
          <w:color w:val="262626"/>
          <w:sz w:val="20"/>
          <w:szCs w:val="20"/>
        </w:rPr>
        <w:t xml:space="preserve">Cierre tras clase muestra de 46.2%: casi una de cada dos personas que asistió se inscribió.</w:t>
      </w:r>
    </w:p>
    <w:p>
      <w:pPr>
        <w:pStyle w:val="Vineta"/>
        <w:numPr>
          <w:ilvl w:val="0"/>
          <w:numId w:val="1"/>
        </w:numPr>
        <w:spacing w:after="60" w:line="264" w:lineRule="auto"/>
      </w:pPr>
      <w:r>
        <w:rPr>
          <w:color w:val="262626"/>
          <w:sz w:val="20"/>
          <w:szCs w:val="20"/>
        </w:rPr>
        <w:t xml:space="preserve">Tres contactos cerraron dos inscripciones cada uno (hermanos o madre e hijo).</w:t>
      </w:r>
    </w:p>
    <w:p>
      <w:pPr>
        <w:pStyle w:val="Vineta"/>
        <w:numPr>
          <w:ilvl w:val="0"/>
          <w:numId w:val="1"/>
        </w:numPr>
        <w:spacing w:after="60" w:line="264" w:lineRule="auto"/>
      </w:pPr>
      <w:r>
        <w:rPr>
          <w:color w:val="262626"/>
          <w:sz w:val="20"/>
          <w:szCs w:val="20"/>
        </w:rPr>
        <w:t xml:space="preserve">30 inscripciones en el periodo con $6,999.91 de inversión.</w:t>
      </w:r>
    </w:p>
    <w:p>
      <w:r>
        <w:br w:type="page"/>
      </w:r>
    </w:p>
    <w:p>
      <w:pPr>
        <w:pStyle w:val="Titulo1"/>
      </w:pPr>
      <w:r>
        <w:rPr>
          <w:b/>
          <w:color w:val="262626"/>
          <w:sz w:val="20"/>
          <w:szCs w:val="20"/>
        </w:rPr>
        <w:t xml:space="preserve">14. Áreas de oportunidad</w:t>
      </w:r>
    </w:p>
    <w:p>
      <w:pPr>
        <w:jc w:val="both"/>
        <w:spacing w:after="120" w:line="264" w:lineRule="auto"/>
      </w:pPr>
      <w:r>
        <w:rPr>
          <w:color w:val="262626"/>
          <w:sz w:val="20"/>
          <w:szCs w:val="20"/>
        </w:rPr>
        <w:t xml:space="preserve">Cada problema está vinculado al dato que lo evidencia. No se incluye ninguna observación genérica sin soporte.</w:t>
      </w:r>
    </w:p>
    <w:p>
      <w:pPr>
        <w:spacing w:before="80" w:after="60"/>
      </w:pPr>
      <w:r>
        <w:rPr>
          <w:b/>
          <w:color w:val="2E5C9A"/>
          <w:sz w:val="18"/>
          <w:szCs w:val="18"/>
        </w:rPr>
        <w:t xml:space="preserve">Tabla 25. Áreas de oportunidad con su evidencia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100"/>
        <w:gridCol w:w="4300"/>
        <w:gridCol w:w="2960"/>
      </w:tblGrid>
      <w:tr>
        <w:trPr>
          <w:tblHeader/>
          <w:cantSplit/>
        </w:trPr>
        <w:tc>
          <w:tcPr>
            <w:tcW w:w="2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Área de oportunidad</w:t>
            </w:r>
          </w:p>
        </w:tc>
        <w:tc>
          <w:tcPr>
            <w:tcW w:w="43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Dato que lo evidencia</w:t>
            </w:r>
          </w:p>
        </w:tc>
        <w:tc>
          <w:tcPr>
            <w:tcW w:w="29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Por qué importa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Agendamiento bajo</w:t>
            </w:r>
          </w:p>
        </w:tc>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Lead → CM = 19.1%. 390 de 477 personas nunca llegaron a clase muestra.</w:t>
            </w:r>
          </w:p>
        </w:tc>
        <w:tc>
          <w:tcPr>
            <w:tcW w:w="2960" w:type="dxa"/>
            <w:tcMar>
              <w:top w:w="60" w:type="dxa"/>
              <w:bottom w:w="60" w:type="dxa"/>
              <w:left w:w="90" w:type="dxa"/>
              <w:right w:w="90" w:type="dxa"/>
            </w:tcMar>
            <w:vAlign w:val="center"/>
          </w:tcPr>
          <w:p>
            <w:pPr>
              <w:spacing w:after="0" w:line="240" w:lineRule="auto"/>
              <w:jc w:val="left"/>
            </w:pPr>
            <w:r>
              <w:rPr>
                <w:color w:val="262626"/>
                <w:sz w:val="18"/>
                <w:szCs w:val="18"/>
              </w:rPr>
              <w:t xml:space="preserve">Es la pérdida más grande del embudo y la de mayor retorno si se corrige.</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Seguimiento sin cadencia ni registro</w:t>
            </w:r>
          </w:p>
        </w:tc>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459 de 499 registros (92.0%) sin resultado de seguimiento; columna de comentarios vacía en el 100% de la hoja; 284 prospectos activos con 15+ días sin movimiento.</w:t>
            </w:r>
          </w:p>
        </w:tc>
        <w:tc>
          <w:tcPr>
            <w:tcW w:w="2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Imposible saber cuántos toques recibió cada prospecto ni por qué se perdió.</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Gasto concentrado en anuncios ineficientes</w:t>
            </w:r>
          </w:p>
        </w:tc>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$1,353.61 (19.3% del gasto) en seis anuncios que aportaron 35 conversaciones a $38.67 cada una.</w:t>
            </w:r>
          </w:p>
        </w:tc>
        <w:tc>
          <w:tcPr>
            <w:tcW w:w="2960" w:type="dxa"/>
            <w:tcMar>
              <w:top w:w="60" w:type="dxa"/>
              <w:bottom w:w="60" w:type="dxa"/>
              <w:left w:w="90" w:type="dxa"/>
              <w:right w:w="90" w:type="dxa"/>
            </w:tcMar>
            <w:vAlign w:val="center"/>
          </w:tcPr>
          <w:p>
            <w:pPr>
              <w:spacing w:after="0" w:line="240" w:lineRule="auto"/>
              <w:jc w:val="left"/>
            </w:pPr>
            <w:r>
              <w:rPr>
                <w:color w:val="262626"/>
                <w:sz w:val="18"/>
                <w:szCs w:val="18"/>
              </w:rPr>
              <w:t xml:space="preserve">Dinero gastado a 3.9 veces el costo del anuncio ganador.</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show del 22.0%</w:t>
            </w:r>
          </w:p>
        </w:tc>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20 de 91 clases agendadas no se realizaron por inasistencia. Las fuentes no registran recordatorios ni confirmaciones.</w:t>
            </w:r>
          </w:p>
        </w:tc>
        <w:tc>
          <w:tcPr>
            <w:tcW w:w="2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Cada no show consume un espacio de agenda y $76.92 de pauta.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Pérdida de trazabilidad entre Meta y el CRM</w:t>
            </w:r>
          </w:p>
        </w:tc>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Meta reporta 565 conversaciones; el CRM capturó 499 registros. 66 conversaciones no dejaron rastro.</w:t>
            </w:r>
          </w:p>
        </w:tc>
        <w:tc>
          <w:tcPr>
            <w:tcW w:w="2960" w:type="dxa"/>
            <w:tcMar>
              <w:top w:w="60" w:type="dxa"/>
              <w:bottom w:w="60" w:type="dxa"/>
              <w:left w:w="90" w:type="dxa"/>
              <w:right w:w="90" w:type="dxa"/>
            </w:tcMar>
            <w:vAlign w:val="center"/>
          </w:tcPr>
          <w:p>
            <w:pPr>
              <w:spacing w:after="0" w:line="240" w:lineRule="auto"/>
              <w:jc w:val="left"/>
            </w:pPr>
            <w:r>
              <w:rPr>
                <w:color w:val="262626"/>
                <w:sz w:val="18"/>
                <w:szCs w:val="18"/>
              </w:rPr>
              <w:t xml:space="preserve">Hasta el 11.7% de la demanda pagada puede estar perdiéndose antes de entrar al proceso.</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Datos de perfil capturados demasiado tarde</w:t>
            </w:r>
          </w:p>
        </w:tc>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85.0% de los registros sin idioma de interés y 88.6% sin segmento. El perfil solo se conoce cuando el prospecto llega a clase muestra.</w:t>
            </w:r>
          </w:p>
        </w:tc>
        <w:tc>
          <w:tcPr>
            <w:tcW w:w="2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se puede priorizar ni segmentar el seguimiento por valor potencial.</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Baja conversión del segmento College</w:t>
            </w:r>
          </w:p>
        </w:tc>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Cierre tras clase muestra de 40.0% frente a 52.9% de Kids, sobre el segmento de mayor volumen (35 clases).</w:t>
            </w:r>
          </w:p>
        </w:tc>
        <w:tc>
          <w:tcPr>
            <w:tcW w:w="2960" w:type="dxa"/>
            <w:tcMar>
              <w:top w:w="60" w:type="dxa"/>
              <w:bottom w:w="60" w:type="dxa"/>
              <w:left w:w="90" w:type="dxa"/>
              <w:right w:w="90" w:type="dxa"/>
            </w:tcMar>
            <w:vAlign w:val="center"/>
          </w:tcPr>
          <w:p>
            <w:pPr>
              <w:spacing w:after="0" w:line="240" w:lineRule="auto"/>
              <w:jc w:val="left"/>
            </w:pPr>
            <w:r>
              <w:rPr>
                <w:color w:val="262626"/>
                <w:sz w:val="18"/>
                <w:szCs w:val="18"/>
              </w:rPr>
              <w:t xml:space="preserve">El segmento que más cuesta atraer es el que menos cierra.</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Asistencia desigual por segmento</w:t>
            </w:r>
          </w:p>
        </w:tc>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College 71.4% de asistencia y Kids 65.4%, frente a 81.0% de Junior y 85.7% de Parenthood.</w:t>
            </w:r>
          </w:p>
        </w:tc>
        <w:tc>
          <w:tcPr>
            <w:tcW w:w="2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El no show se concentra en los dos segmentos de mayor volumen.</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Padrón de alumnos sin campos de gestión</w:t>
            </w:r>
          </w:p>
        </w:tc>
        <w:tc>
          <w:tcPr>
            <w:tcW w:w="4300" w:type="dxa"/>
            <w:tcMar>
              <w:top w:w="60" w:type="dxa"/>
              <w:bottom w:w="60" w:type="dxa"/>
              <w:left w:w="90" w:type="dxa"/>
              <w:right w:w="90" w:type="dxa"/>
            </w:tcMar>
            <w:vAlign w:val="center"/>
          </w:tcPr>
          <w:p>
            <w:pPr>
              <w:spacing w:after="0" w:line="240" w:lineRule="auto"/>
              <w:jc w:val="left"/>
            </w:pPr>
            <w:r>
              <w:rPr>
                <w:color w:val="262626"/>
                <w:sz w:val="18"/>
                <w:szCs w:val="18"/>
              </w:rPr>
              <w:t xml:space="preserve">El padrón no tiene fecha de inscripción, programa, idioma ni grupo. 4 pares de matrículas con nombre, sexo y edad idénticos.</w:t>
            </w:r>
          </w:p>
        </w:tc>
        <w:tc>
          <w:tcPr>
            <w:tcW w:w="2960" w:type="dxa"/>
            <w:tcMar>
              <w:top w:w="60" w:type="dxa"/>
              <w:bottom w:w="60" w:type="dxa"/>
              <w:left w:w="90" w:type="dxa"/>
              <w:right w:w="90" w:type="dxa"/>
            </w:tcMar>
            <w:vAlign w:val="center"/>
          </w:tcPr>
          <w:p>
            <w:pPr>
              <w:spacing w:after="0" w:line="240" w:lineRule="auto"/>
              <w:jc w:val="left"/>
            </w:pPr>
            <w:r>
              <w:rPr>
                <w:color w:val="262626"/>
                <w:sz w:val="18"/>
                <w:szCs w:val="18"/>
              </w:rPr>
              <w:t xml:space="preserve">No permite cortes por fecha, cohortes ni conciliación con la campaña.</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Sin medición orgánica</w:t>
            </w:r>
          </w:p>
        </w:tc>
        <w:tc>
          <w:tcPr>
            <w:tcW w:w="43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existe ninguna exportación de métricas de Facebook, Instagram o TikTok en el repositorio.</w:t>
            </w:r>
          </w:p>
        </w:tc>
        <w:tc>
          <w:tcPr>
            <w:tcW w:w="29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 desconoce por completo el aporte del contenido no pagado.</w:t>
            </w:r>
          </w:p>
        </w:tc>
      </w:tr>
    </w:tbl>
    <w:p>
      <w:pPr>
        <w:jc w:val="both"/>
        <w:spacing w:after="60" w:line="264" w:lineRule="auto"/>
      </w:pPr>
      <w:r>
        <w:rPr>
          <w:color w:val="262626"/>
          <w:sz w:val="20"/>
          <w:szCs w:val="20"/>
        </w:rPr>
        <w:t xml:space="preserve"/>
      </w:r>
    </w:p>
    <w:p>
      <w:r>
        <w:br w:type="page"/>
      </w:r>
    </w:p>
    <w:p>
      <w:pPr>
        <w:pStyle w:val="Titulo1"/>
      </w:pPr>
      <w:r>
        <w:rPr>
          <w:b/>
          <w:color w:val="262626"/>
          <w:sz w:val="20"/>
          <w:szCs w:val="20"/>
        </w:rPr>
        <w:t xml:space="preserve">15. Recomendaciones para la siguiente campaña</w:t>
      </w:r>
    </w:p>
    <w:p>
      <w:pPr>
        <w:jc w:val="both"/>
        <w:spacing w:after="120" w:line="264" w:lineRule="auto"/>
      </w:pPr>
      <w:r>
        <w:rPr>
          <w:color w:val="262626"/>
          <w:sz w:val="20"/>
          <w:szCs w:val="20"/>
        </w:rPr>
        <w:t xml:space="preserve">Acciones derivadas del comportamiento observado en esta campaña, priorizadas por impacto esperado sobre el embudo.</w:t>
      </w:r>
    </w:p>
    <w:p>
      <w:pPr>
        <w:spacing w:before="80" w:after="60"/>
      </w:pPr>
      <w:r>
        <w:rPr>
          <w:b/>
          <w:color w:val="2E5C9A"/>
          <w:sz w:val="18"/>
          <w:szCs w:val="18"/>
        </w:rPr>
        <w:t xml:space="preserve">Tabla 26. Recomendaciones priorizadas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900"/>
        <w:gridCol w:w="3300"/>
        <w:gridCol w:w="3400"/>
        <w:gridCol w:w="1760"/>
      </w:tblGrid>
      <w:tr>
        <w:trPr>
          <w:tblHeader/>
          <w:cantSplit/>
        </w:trPr>
        <w:tc>
          <w:tcPr>
            <w:tcW w:w="90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Prioridad</w:t>
            </w:r>
          </w:p>
        </w:tc>
        <w:tc>
          <w:tcPr>
            <w:tcW w:w="330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Acción</w:t>
            </w:r>
          </w:p>
        </w:tc>
        <w:tc>
          <w:tcPr>
            <w:tcW w:w="340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Problema que resuelve (dato)</w:t>
            </w:r>
          </w:p>
        </w:tc>
        <w:tc>
          <w:tcPr>
            <w:tcW w:w="176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KPI afectado</w:t>
            </w:r>
          </w:p>
        </w:tc>
      </w:tr>
      <w:tr>
        <w:tc>
          <w:tcPr>
            <w:tcW w:w="900" w:type="dxa"/>
            <w:tcMar>
              <w:top w:w="60" w:type="dxa"/>
              <w:bottom w:w="60" w:type="dxa"/>
              <w:left w:w="90" w:type="dxa"/>
              <w:right w:w="90" w:type="dxa"/>
            </w:tcMar>
            <w:vAlign w:val="center"/>
          </w:tcPr>
          <w:p>
            <w:pPr>
              <w:spacing w:after="0" w:line="240" w:lineRule="auto"/>
              <w:jc w:val="left"/>
            </w:pPr>
            <w:r>
              <w:rPr>
                <w:b/>
                <w:color w:val="B23A33"/>
                <w:sz w:val="17"/>
                <w:szCs w:val="17"/>
              </w:rPr>
              <w:t xml:space="preserve">Alta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Responder y agendar en menos de 30 minutos durante las horas de mayor entrada, con un responsable asignado por turno.</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Lead → CM de 19.1%: 390 personas se perdieron antes de agendar</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Lead → CM agendada</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B23A33"/>
                <w:sz w:val="17"/>
                <w:szCs w:val="17"/>
              </w:rPr>
              <w:t xml:space="preserve">Alta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Cambiar el guion del primer mensaje: proponer dos horarios concretos de clase muestra en lugar de enviar información. Los horarios de mayor demanda observados son 16:00, 18:00 y 09:00 h.</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408 de 499 registros se quedaron en «Información enviada» o «Contactado»</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Lead → CM agendada</w:t>
            </w:r>
          </w:p>
        </w:tc>
      </w:tr>
      <w:tr>
        <w:tc>
          <w:tcPr>
            <w:tcW w:w="900" w:type="dxa"/>
            <w:tcMar>
              <w:top w:w="60" w:type="dxa"/>
              <w:bottom w:w="60" w:type="dxa"/>
              <w:left w:w="90" w:type="dxa"/>
              <w:right w:w="90" w:type="dxa"/>
            </w:tcMar>
            <w:vAlign w:val="center"/>
          </w:tcPr>
          <w:p>
            <w:pPr>
              <w:spacing w:after="0" w:line="240" w:lineRule="auto"/>
              <w:jc w:val="left"/>
            </w:pPr>
            <w:r>
              <w:rPr>
                <w:b/>
                <w:color w:val="B23A33"/>
                <w:sz w:val="17"/>
                <w:szCs w:val="17"/>
              </w:rPr>
              <w:t xml:space="preserve">Alta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Campaña de recuperación sobre los 284 prospectos en «Descubrimiento» sin movimiento, antes de abrir presupuesto nuevo.</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463 oportunidades abiertas de las cuales 284 llevan 15+ días sin registro</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Inscripciones sin costo incremental</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B23A33"/>
                <w:sz w:val="17"/>
                <w:szCs w:val="17"/>
              </w:rPr>
              <w:t xml:space="preserve">Alta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Reasignar el presupuesto de los seis anuncios de bajo rendimiento al creativo ganador y a dos variantes nuevas del mismo concepto (proximidad geográfica).</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19.3% del gasto produjo solo 6.2% de las conversaciones a $38.67 cada una</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CPL y costo por conversación</w:t>
            </w:r>
          </w:p>
        </w:tc>
      </w:tr>
      <w:tr>
        <w:tc>
          <w:tcPr>
            <w:tcW w:w="900" w:type="dxa"/>
            <w:tcMar>
              <w:top w:w="60" w:type="dxa"/>
              <w:bottom w:w="60" w:type="dxa"/>
              <w:left w:w="90" w:type="dxa"/>
              <w:right w:w="90" w:type="dxa"/>
            </w:tcMar>
            <w:vAlign w:val="center"/>
          </w:tcPr>
          <w:p>
            <w:pPr>
              <w:spacing w:after="0" w:line="240" w:lineRule="auto"/>
              <w:jc w:val="left"/>
            </w:pPr>
            <w:r>
              <w:rPr>
                <w:b/>
                <w:color w:val="B23A33"/>
                <w:sz w:val="17"/>
                <w:szCs w:val="17"/>
              </w:rPr>
              <w:t xml:space="preserve">Alta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Hacer obligatorios cuatro campos en el CRM al crear el lead: teléfono a 10 dígitos, idioma, programa/edad y anuncio de origen.</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49.5% de registros sin teléfono, 85.0% sin idioma, 88.6% sin segmento</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Trazabilidad y atribución</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Confirmación de asistencia 24 h y 2 h antes de cada clase muestra, con reagenda inmediata ofrecida en el mismo mensaje.</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No show de 22.0% (20 clases) y ninguna confirmación registrada en las fuentes</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Tasa de asistencia</w:t>
            </w:r>
          </w:p>
        </w:tc>
      </w:tr>
      <w:tr>
        <w:tc>
          <w:tcPr>
            <w:tcW w:w="900" w:type="dxa"/>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Producir dos creativos nuevos de mensaje familiar (hermanos, madre e hijo) para atacar el segmento que mejor cierra.</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Kids 52.9% y Parenthood 50.0% de cierre frente a 40.0% de College; tres contactos inscribieron a dos integrantes cada uno</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Inscripciones por clase muestra</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Guion específico de cierre para College: la objeción del adulto no es la misma que la de un padre de familia.</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College es el segmento de mayor volumen (35 clases) y el de menor cierre (40.0%)</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CM realizada → inscripción</w:t>
            </w:r>
          </w:p>
        </w:tc>
      </w:tr>
      <w:tr>
        <w:tc>
          <w:tcPr>
            <w:tcW w:w="900" w:type="dxa"/>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Registrar formalmente el canal de recomendación con un campo propio y un incentivo de referidos.</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7 de 30 inscripciones del periodo llegaron sin origen de pauta, una marcada explícitamente como recomendación</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CAC</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Remarketing a quienes iniciaron conversación y no agendaron, usando el creativo ganador con mensaje de clase muestra.</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390 personas con conversación y sin clase muestra</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Lead → CM agendada</w:t>
            </w:r>
          </w:p>
        </w:tc>
      </w:tr>
      <w:tr>
        <w:tc>
          <w:tcPr>
            <w:tcW w:w="900" w:type="dxa"/>
            <w:tcMar>
              <w:top w:w="60" w:type="dxa"/>
              <w:bottom w:w="60" w:type="dxa"/>
              <w:left w:w="90" w:type="dxa"/>
              <w:right w:w="90" w:type="dxa"/>
            </w:tcMar>
            <w:vAlign w:val="center"/>
          </w:tcPr>
          <w:p>
            <w:pPr>
              <w:spacing w:after="0" w:line="240" w:lineRule="auto"/>
              <w:jc w:val="left"/>
            </w:pPr>
            <w:r>
              <w:rPr>
                <w:b/>
                <w:color w:val="B07A12"/>
                <w:sz w:val="17"/>
                <w:szCs w:val="17"/>
              </w:rPr>
              <w:t xml:space="preserve">Media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Promover el segundo idioma a la base de alumnos actuales como venta cruzada.</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Las 3 inscripciones de francés vinieron de alumnos de inglés existentes, sin pauta dedicada</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Ingreso por alumno</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595959"/>
                <w:sz w:val="17"/>
                <w:szCs w:val="17"/>
              </w:rPr>
              <w:t xml:space="preserve">Baja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Separar el conjunto de anuncios por segmento (familias / adultos) para controlar el reparto del gasto en lugar de dejarlo al algoritmo.</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Un solo conjunto con presupuesto a nivel campaña concentró 70.0% del gasto en un anuncio</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Control de la inversión</w:t>
            </w:r>
          </w:p>
        </w:tc>
      </w:tr>
      <w:tr>
        <w:tc>
          <w:tcPr>
            <w:tcW w:w="900" w:type="dxa"/>
            <w:tcMar>
              <w:top w:w="60" w:type="dxa"/>
              <w:bottom w:w="60" w:type="dxa"/>
              <w:left w:w="90" w:type="dxa"/>
              <w:right w:w="90" w:type="dxa"/>
            </w:tcMar>
            <w:vAlign w:val="center"/>
          </w:tcPr>
          <w:p>
            <w:pPr>
              <w:spacing w:after="0" w:line="240" w:lineRule="auto"/>
              <w:jc w:val="left"/>
            </w:pPr>
            <w:r>
              <w:rPr>
                <w:b/>
                <w:color w:val="595959"/>
                <w:sz w:val="17"/>
                <w:szCs w:val="17"/>
              </w:rPr>
              <w:t xml:space="preserve">Baja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Exportar cada mes las métricas orgánicas de Facebook, Instagram y TikTok.</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No existe ninguna fuente orgánica en el repositorio</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Medición del aporte orgánico</w:t>
            </w:r>
          </w:p>
        </w:tc>
      </w:tr>
      <w:tr>
        <w:tc>
          <w:tcPr>
            <w:tcW w:w="900" w:type="dxa"/>
            <w:shd w:val="clear" w:color="auto" w:fill="F4F4F4"/>
            <w:tcMar>
              <w:top w:w="60" w:type="dxa"/>
              <w:bottom w:w="60" w:type="dxa"/>
              <w:left w:w="90" w:type="dxa"/>
              <w:right w:w="90" w:type="dxa"/>
            </w:tcMar>
            <w:vAlign w:val="center"/>
          </w:tcPr>
          <w:p>
            <w:pPr>
              <w:spacing w:after="0" w:line="240" w:lineRule="auto"/>
              <w:jc w:val="left"/>
            </w:pPr>
            <w:r>
              <w:rPr>
                <w:b/>
                <w:color w:val="595959"/>
                <w:sz w:val="17"/>
                <w:szCs w:val="17"/>
              </w:rPr>
              <w:t xml:space="preserve">Baja</w:t>
            </w:r>
          </w:p>
        </w:tc>
        <w:tc>
          <w:tcPr>
            <w:tcW w:w="33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Agregar fecha de inscripción, programa y grupo al padrón de alumnos.</w:t>
            </w:r>
          </w:p>
        </w:tc>
        <w:tc>
          <w:tcPr>
            <w:tcW w:w="34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El padrón no permite cortes por fecha ni análisis de cohortes</w:t>
            </w:r>
          </w:p>
        </w:tc>
        <w:tc>
          <w:tcPr>
            <w:tcW w:w="17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Conciliación comercial</w:t>
            </w:r>
          </w:p>
        </w:tc>
      </w:tr>
      <w:tr>
        <w:tc>
          <w:tcPr>
            <w:tcW w:w="900" w:type="dxa"/>
            <w:tcMar>
              <w:top w:w="60" w:type="dxa"/>
              <w:bottom w:w="60" w:type="dxa"/>
              <w:left w:w="90" w:type="dxa"/>
              <w:right w:w="90" w:type="dxa"/>
            </w:tcMar>
            <w:vAlign w:val="center"/>
          </w:tcPr>
          <w:p>
            <w:pPr>
              <w:spacing w:after="0" w:line="240" w:lineRule="auto"/>
              <w:jc w:val="left"/>
            </w:pPr>
            <w:r>
              <w:rPr>
                <w:b/>
                <w:color w:val="595959"/>
                <w:sz w:val="17"/>
                <w:szCs w:val="17"/>
              </w:rPr>
              <w:t xml:space="preserve">Baja</w:t>
            </w:r>
          </w:p>
        </w:tc>
        <w:tc>
          <w:tcPr>
            <w:tcW w:w="3300" w:type="dxa"/>
            <w:tcMar>
              <w:top w:w="60" w:type="dxa"/>
              <w:bottom w:w="60" w:type="dxa"/>
              <w:left w:w="90" w:type="dxa"/>
              <w:right w:w="90" w:type="dxa"/>
            </w:tcMar>
            <w:vAlign w:val="center"/>
          </w:tcPr>
          <w:p>
            <w:pPr>
              <w:spacing w:after="0" w:line="240" w:lineRule="auto"/>
              <w:jc w:val="left"/>
            </w:pPr>
            <w:r>
              <w:rPr>
                <w:color w:val="262626"/>
                <w:sz w:val="17"/>
                <w:szCs w:val="17"/>
              </w:rPr>
              <w:t xml:space="preserve">Resolver los 4 pares de matrículas duplicadas y el registro de prueba del padrón.</w:t>
            </w:r>
          </w:p>
        </w:tc>
        <w:tc>
          <w:tcPr>
            <w:tcW w:w="3400" w:type="dxa"/>
            <w:tcMar>
              <w:top w:w="60" w:type="dxa"/>
              <w:bottom w:w="60" w:type="dxa"/>
              <w:left w:w="90" w:type="dxa"/>
              <w:right w:w="90" w:type="dxa"/>
            </w:tcMar>
            <w:vAlign w:val="center"/>
          </w:tcPr>
          <w:p>
            <w:pPr>
              <w:spacing w:after="0" w:line="240" w:lineRule="auto"/>
              <w:jc w:val="left"/>
            </w:pPr>
            <w:r>
              <w:rPr>
                <w:color w:val="262626"/>
                <w:sz w:val="17"/>
                <w:szCs w:val="17"/>
              </w:rPr>
              <w:t xml:space="preserve">4 pares con nombre, sexo y edad idénticos; matrícula 1063 con apellido «Prueba»</w:t>
            </w:r>
          </w:p>
        </w:tc>
        <w:tc>
          <w:tcPr>
            <w:tcW w:w="1760" w:type="dxa"/>
            <w:tcMar>
              <w:top w:w="60" w:type="dxa"/>
              <w:bottom w:w="60" w:type="dxa"/>
              <w:left w:w="90" w:type="dxa"/>
              <w:right w:w="90" w:type="dxa"/>
            </w:tcMar>
            <w:vAlign w:val="center"/>
          </w:tcPr>
          <w:p>
            <w:pPr>
              <w:spacing w:after="0" w:line="240" w:lineRule="auto"/>
              <w:jc w:val="left"/>
            </w:pPr>
            <w:r>
              <w:rPr>
                <w:color w:val="262626"/>
                <w:sz w:val="17"/>
                <w:szCs w:val="17"/>
              </w:rPr>
              <w:t xml:space="preserve">Calidad del padrón</w:t>
            </w:r>
          </w:p>
        </w:tc>
      </w:tr>
    </w:tbl>
    <w:p>
      <w:pPr>
        <w:jc w:val="both"/>
        <w:spacing w:after="60" w:line="264" w:lineRule="auto"/>
      </w:pPr>
      <w:r>
        <w:rPr>
          <w:color w:val="262626"/>
          <w:sz w:val="20"/>
          <w:szCs w:val="20"/>
        </w:rPr>
        <w:t xml:space="preserve"/>
      </w:r>
    </w:p>
    <w:tbl>
      <w:tblPr>
        <w:tblW w:w="9360" w:type="dxa"/>
        <w:tblLayout w:type="fixed"/>
      </w:tblPr>
      <w:tblGrid>
        <w:gridCol w:w="9360"/>
      </w:tblGrid>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b/>
                <w:color w:val="1F3864"/>
                <w:sz w:val="20"/>
                <w:szCs w:val="20"/>
              </w:rPr>
              <w:t xml:space="preserve">Si solo se puede hacer una cosa</w:t>
            </w:r>
          </w:p>
        </w:tc>
      </w:tr>
      <w:tr>
        <w:trPr/>
        <w:tc>
          <w:tcPr>
            <w:tcW w:w="9360" w:type="dxa"/>
            <w:shd w:val="clear" w:color="auto" w:fill="DCE4F2"/>
            <w:tcMar>
              <w:top w:w="80" w:type="dxa"/>
              <w:bottom w:w="80" w:type="dxa"/>
              <w:left w:w="140" w:type="dxa"/>
              <w:right w:w="140" w:type="dxa"/>
            </w:tcMar>
            <w:tcBorders>
              <w:left w:val="single" w:sz="18" w:color="1F3864"/>
            </w:tcBorders>
          </w:tcPr>
          <w:p>
            <w:pPr>
              <w:spacing w:after="0"/>
            </w:pPr>
            <w:r>
              <w:rPr>
                <w:color w:val="262626"/>
                <w:sz w:val="19"/>
                <w:szCs w:val="19"/>
              </w:rPr>
              <w:t xml:space="preserve">Atacar el agendamiento. Es el punto donde se pierde el 87.2% de todo el embudo y el único donde una mejora se convierte casi linealmente en inscripciones, porque las etapas posteriores ya funcionan: 73.6% de asistencia y 46.2% de cierre. No requiere más presupuesto de pauta.</w:t>
            </w:r>
          </w:p>
        </w:tc>
      </w:tr>
    </w:tbl>
    <w:p>
      <w:pPr>
        <w:jc w:val="both"/>
        <w:spacing w:after="0" w:line="264" w:lineRule="auto"/>
      </w:pPr>
      <w:r>
        <w:rPr>
          <w:color w:val="262626"/>
          <w:sz w:val="20"/>
          <w:szCs w:val="20"/>
        </w:rPr>
        <w:t xml:space="preserve"/>
      </w:r>
    </w:p>
    <w:p>
      <w:r>
        <w:br w:type="page"/>
      </w:r>
    </w:p>
    <w:p>
      <w:pPr>
        <w:pStyle w:val="Titulo1"/>
      </w:pPr>
      <w:r>
        <w:rPr>
          <w:b/>
          <w:color w:val="262626"/>
          <w:sz w:val="20"/>
          <w:szCs w:val="20"/>
        </w:rPr>
        <w:t xml:space="preserve">16. Calidad y limitaciones de los datos</w:t>
      </w:r>
    </w:p>
    <w:p>
      <w:pPr>
        <w:jc w:val="both"/>
        <w:spacing w:after="120" w:line="264" w:lineRule="auto"/>
      </w:pPr>
      <w:r>
        <w:rPr>
          <w:color w:val="262626"/>
          <w:sz w:val="20"/>
          <w:szCs w:val="20"/>
        </w:rPr>
        <w:t xml:space="preserve">Ninguna inconsistencia se corrigió en silencio. Todo lo detectado se documenta aquí y en la pestaña «Calidad de datos» de la Base Maestra.</w:t>
      </w:r>
    </w:p>
    <w:p>
      <w:pPr>
        <w:pStyle w:val="Titulo2"/>
      </w:pPr>
      <w:r>
        <w:rPr>
          <w:b/>
          <w:color w:val="262626"/>
          <w:sz w:val="20"/>
          <w:szCs w:val="20"/>
        </w:rPr>
        <w:t xml:space="preserve">16.1 Campos incompletos</w:t>
      </w:r>
    </w:p>
    <w:p>
      <w:pPr>
        <w:spacing w:before="80" w:after="60"/>
      </w:pPr>
      <w:r>
        <w:rPr>
          <w:b/>
          <w:color w:val="2E5C9A"/>
          <w:sz w:val="18"/>
          <w:szCs w:val="18"/>
        </w:rPr>
        <w:t xml:space="preserve">Tabla 27. Campos incompletos en el CRM de campaña (base: 499 registros)</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100"/>
        <w:gridCol w:w="1300"/>
        <w:gridCol w:w="1100"/>
        <w:gridCol w:w="4860"/>
      </w:tblGrid>
      <w:tr>
        <w:trPr>
          <w:tblHeader/>
          <w:cantSplit/>
        </w:trPr>
        <w:tc>
          <w:tcPr>
            <w:tcW w:w="2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Campo</w:t>
            </w:r>
          </w:p>
        </w:tc>
        <w:tc>
          <w:tcPr>
            <w:tcW w:w="13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Registros sin dato</w:t>
            </w:r>
          </w:p>
        </w:tc>
        <w:tc>
          <w:tcPr>
            <w:tcW w:w="11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 de la base</w:t>
            </w:r>
          </w:p>
        </w:tc>
        <w:tc>
          <w:tcPr>
            <w:tcW w:w="48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Consecuencia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Resultado del seguimiento</w:t>
            </w:r>
          </w:p>
        </w:tc>
        <w:tc>
          <w:tcPr>
            <w:tcW w:w="1300" w:type="dxa"/>
            <w:tcMar>
              <w:top w:w="60" w:type="dxa"/>
              <w:bottom w:w="60" w:type="dxa"/>
              <w:left w:w="90" w:type="dxa"/>
              <w:right w:w="90" w:type="dxa"/>
            </w:tcMar>
            <w:vAlign w:val="center"/>
          </w:tcPr>
          <w:p>
            <w:pPr>
              <w:spacing w:after="0" w:line="240" w:lineRule="auto"/>
              <w:jc w:val="right"/>
            </w:pPr>
            <w:r>
              <w:rPr>
                <w:color w:val="262626"/>
                <w:sz w:val="18"/>
                <w:szCs w:val="18"/>
              </w:rPr>
              <w:t xml:space="preserve">459</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92.0%</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El CRM no cierra el ciclo: el resultado comercial se reconstruyó desde la bitácora y el padrón</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Comentario adicional</w:t>
            </w:r>
          </w:p>
        </w:tc>
        <w:tc>
          <w:tcPr>
            <w:tcW w:w="13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504</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100.0%</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Sin contexto cualitativo ni motivo de pérdida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Segmento / programa</w:t>
            </w:r>
          </w:p>
        </w:tc>
        <w:tc>
          <w:tcPr>
            <w:tcW w:w="1300" w:type="dxa"/>
            <w:tcMar>
              <w:top w:w="60" w:type="dxa"/>
              <w:bottom w:w="60" w:type="dxa"/>
              <w:left w:w="90" w:type="dxa"/>
              <w:right w:w="90" w:type="dxa"/>
            </w:tcMar>
            <w:vAlign w:val="center"/>
          </w:tcPr>
          <w:p>
            <w:pPr>
              <w:spacing w:after="0" w:line="240" w:lineRule="auto"/>
              <w:jc w:val="right"/>
            </w:pPr>
            <w:r>
              <w:rPr>
                <w:color w:val="262626"/>
                <w:sz w:val="18"/>
                <w:szCs w:val="18"/>
              </w:rPr>
              <w:t xml:space="preserve">442</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88.6%</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No se puede segmentar el seguimiento por valor</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Idioma de interés</w:t>
            </w:r>
          </w:p>
        </w:tc>
        <w:tc>
          <w:tcPr>
            <w:tcW w:w="13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424</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85.0%</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se puede dimensionar la demanda por idioma</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Teléfono</w:t>
            </w:r>
          </w:p>
        </w:tc>
        <w:tc>
          <w:tcPr>
            <w:tcW w:w="1300" w:type="dxa"/>
            <w:tcMar>
              <w:top w:w="60" w:type="dxa"/>
              <w:bottom w:w="60" w:type="dxa"/>
              <w:left w:w="90" w:type="dxa"/>
              <w:right w:w="90" w:type="dxa"/>
            </w:tcMar>
            <w:vAlign w:val="center"/>
          </w:tcPr>
          <w:p>
            <w:pPr>
              <w:spacing w:after="0" w:line="240" w:lineRule="auto"/>
              <w:jc w:val="right"/>
            </w:pPr>
            <w:r>
              <w:rPr>
                <w:color w:val="262626"/>
                <w:sz w:val="18"/>
                <w:szCs w:val="18"/>
              </w:rPr>
              <w:t xml:space="preserve">247</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49.5%</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El enlace entre bases depende solo del nombre</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Anuncio de contacto</w:t>
            </w:r>
          </w:p>
        </w:tc>
        <w:tc>
          <w:tcPr>
            <w:tcW w:w="13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35</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7.0%</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Esos leads no se pueden imputar a un creativo</w:t>
            </w:r>
          </w:p>
        </w:tc>
      </w:tr>
      <w:tr>
        <w:tc>
          <w:tcPr>
            <w:tcW w:w="2100" w:type="dxa"/>
            <w:tcMar>
              <w:top w:w="60" w:type="dxa"/>
              <w:bottom w:w="60" w:type="dxa"/>
              <w:left w:w="90" w:type="dxa"/>
              <w:right w:w="90" w:type="dxa"/>
            </w:tcMar>
            <w:vAlign w:val="center"/>
          </w:tcPr>
          <w:p>
            <w:pPr>
              <w:spacing w:after="0" w:line="240" w:lineRule="auto"/>
              <w:jc w:val="left"/>
            </w:pPr>
            <w:r>
              <w:rPr>
                <w:color w:val="262626"/>
                <w:sz w:val="18"/>
                <w:szCs w:val="18"/>
              </w:rPr>
              <w:t xml:space="preserve">Nombre del interesado</w:t>
            </w:r>
          </w:p>
        </w:tc>
        <w:tc>
          <w:tcPr>
            <w:tcW w:w="1300" w:type="dxa"/>
            <w:tcMar>
              <w:top w:w="60" w:type="dxa"/>
              <w:bottom w:w="60" w:type="dxa"/>
              <w:left w:w="90" w:type="dxa"/>
              <w:right w:w="90" w:type="dxa"/>
            </w:tcMar>
            <w:vAlign w:val="center"/>
          </w:tcPr>
          <w:p>
            <w:pPr>
              <w:spacing w:after="0" w:line="240" w:lineRule="auto"/>
              <w:jc w:val="right"/>
            </w:pPr>
            <w:r>
              <w:rPr>
                <w:color w:val="262626"/>
                <w:sz w:val="18"/>
                <w:szCs w:val="18"/>
              </w:rPr>
              <w:t xml:space="preserve">24</w:t>
            </w:r>
          </w:p>
        </w:tc>
        <w:tc>
          <w:tcPr>
            <w:tcW w:w="1100" w:type="dxa"/>
            <w:tcMar>
              <w:top w:w="60" w:type="dxa"/>
              <w:bottom w:w="60" w:type="dxa"/>
              <w:left w:w="90" w:type="dxa"/>
              <w:right w:w="90" w:type="dxa"/>
            </w:tcMar>
            <w:vAlign w:val="center"/>
          </w:tcPr>
          <w:p>
            <w:pPr>
              <w:spacing w:after="0" w:line="240" w:lineRule="auto"/>
              <w:jc w:val="right"/>
            </w:pPr>
            <w:r>
              <w:rPr>
                <w:color w:val="262626"/>
                <w:sz w:val="18"/>
                <w:szCs w:val="18"/>
              </w:rPr>
              <w:t xml:space="preserve">4.8%</w:t>
            </w:r>
          </w:p>
        </w:tc>
        <w:tc>
          <w:tcPr>
            <w:tcW w:w="4860" w:type="dxa"/>
            <w:tcMar>
              <w:top w:w="60" w:type="dxa"/>
              <w:bottom w:w="60" w:type="dxa"/>
              <w:left w:w="90" w:type="dxa"/>
              <w:right w:w="90" w:type="dxa"/>
            </w:tcMar>
            <w:vAlign w:val="center"/>
          </w:tcPr>
          <w:p>
            <w:pPr>
              <w:spacing w:after="0" w:line="240" w:lineRule="auto"/>
              <w:jc w:val="left"/>
            </w:pPr>
            <w:r>
              <w:rPr>
                <w:color w:val="262626"/>
                <w:sz w:val="18"/>
                <w:szCs w:val="18"/>
              </w:rPr>
              <w:t xml:space="preserve">No rastreable en el embudo</w:t>
            </w:r>
          </w:p>
        </w:tc>
      </w:tr>
      <w:tr>
        <w:tc>
          <w:tcPr>
            <w:tcW w:w="21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Etapa del proceso</w:t>
            </w:r>
          </w:p>
        </w:tc>
        <w:tc>
          <w:tcPr>
            <w:tcW w:w="13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w:t>
            </w:r>
          </w:p>
        </w:tc>
        <w:tc>
          <w:tcPr>
            <w:tcW w:w="11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2.4%</w:t>
            </w:r>
          </w:p>
        </w:tc>
        <w:tc>
          <w:tcPr>
            <w:tcW w:w="48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Quedan como «Estatus por validar»</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16.2 Duplicados</w:t>
      </w:r>
    </w:p>
    <w:p>
      <w:pPr>
        <w:pStyle w:val="Vineta"/>
        <w:numPr>
          <w:ilvl w:val="0"/>
          <w:numId w:val="1"/>
        </w:numPr>
        <w:spacing w:after="60" w:line="264" w:lineRule="auto"/>
      </w:pPr>
      <w:r>
        <w:rPr>
          <w:color w:val="262626"/>
          <w:sz w:val="20"/>
          <w:szCs w:val="20"/>
        </w:rPr>
        <w:t xml:space="preserve">22 registros duplicados detectados y fusionados sobre 504 (4.4% de duplicidad). Sin deduplicar, los leads se sobreestimarían en esa proporción.</w:t>
      </w:r>
    </w:p>
    <w:p>
      <w:pPr>
        <w:pStyle w:val="Vineta"/>
        <w:numPr>
          <w:ilvl w:val="0"/>
          <w:numId w:val="1"/>
        </w:numPr>
        <w:spacing w:after="60" w:line="264" w:lineRule="auto"/>
      </w:pPr>
      <w:r>
        <w:rPr>
          <w:color w:val="262626"/>
          <w:sz w:val="20"/>
          <w:szCs w:val="20"/>
        </w:rPr>
        <w:t xml:space="preserve">6 personas quedaron marcadas para revisión en lugar de fusionarse: nombres de una sola palabra repetidos con teléfono distinto o ausente.</w:t>
      </w:r>
    </w:p>
    <w:p>
      <w:pPr>
        <w:pStyle w:val="Vineta"/>
        <w:numPr>
          <w:ilvl w:val="0"/>
          <w:numId w:val="1"/>
        </w:numPr>
        <w:spacing w:after="60" w:line="264" w:lineRule="auto"/>
      </w:pPr>
      <w:r>
        <w:rPr>
          <w:color w:val="262626"/>
          <w:sz w:val="20"/>
          <w:szCs w:val="20"/>
        </w:rPr>
        <w:t xml:space="preserve">3 personas sin ningún identificador (ni nombre ni teléfono): se conservan pero no son rastreables.</w:t>
      </w:r>
    </w:p>
    <w:p>
      <w:pPr>
        <w:pStyle w:val="Vineta"/>
        <w:numPr>
          <w:ilvl w:val="0"/>
          <w:numId w:val="1"/>
        </w:numPr>
        <w:spacing w:after="60" w:line="264" w:lineRule="auto"/>
      </w:pPr>
      <w:r>
        <w:rPr>
          <w:color w:val="262626"/>
          <w:sz w:val="20"/>
          <w:szCs w:val="20"/>
        </w:rPr>
        <w:t xml:space="preserve">Los 5 registros del 30 de septiembre de la hoja «Octubre» son copia exacta de filas ya presentes en «AGOSTOSEPTIEMBRE». Se excluyeron del conteo para no duplicar leads.</w:t>
      </w:r>
    </w:p>
    <w:p>
      <w:pPr>
        <w:pStyle w:val="Vineta"/>
        <w:numPr>
          <w:ilvl w:val="0"/>
          <w:numId w:val="1"/>
        </w:numPr>
        <w:spacing w:after="60" w:line="264" w:lineRule="auto"/>
      </w:pPr>
      <w:r>
        <w:rPr>
          <w:color w:val="262626"/>
          <w:sz w:val="20"/>
          <w:szCs w:val="20"/>
        </w:rPr>
        <w:t xml:space="preserve">El padrón de alumnos tiene 4 pares de matrículas con nombre, sexo y edad idénticos: Dulce Eli Ortega Hernández (1014/1015); Ila Montalvo Sierra (1023/1024); Mateo Garcia Vazquez (1140/1153); Heliana Garcia Vazquez (1141/1152). Dos de ellos se explican por una segunda inscripción en francés; los otros dos requieren validación. No se eliminó ningún registro.</w:t>
      </w:r>
    </w:p>
    <w:p>
      <w:pPr>
        <w:pStyle w:val="Titulo2"/>
      </w:pPr>
      <w:r>
        <w:rPr>
          <w:b/>
          <w:color w:val="262626"/>
          <w:sz w:val="20"/>
          <w:szCs w:val="20"/>
        </w:rPr>
        <w:t xml:space="preserve">16.3 Inconsistencias y conflictos entre fuentes</w:t>
      </w:r>
    </w:p>
    <w:p>
      <w:pPr>
        <w:spacing w:before="80" w:after="60"/>
      </w:pPr>
      <w:r>
        <w:rPr>
          <w:b/>
          <w:color w:val="2E5C9A"/>
          <w:sz w:val="18"/>
          <w:szCs w:val="18"/>
        </w:rPr>
        <w:t xml:space="preserve">Tabla 28. Inconsistencias detectadas y tratamiento documentado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200"/>
        <w:gridCol w:w="3800"/>
        <w:gridCol w:w="3360"/>
      </w:tblGrid>
      <w:tr>
        <w:trPr>
          <w:tblHeader/>
          <w:cantSplit/>
        </w:trPr>
        <w:tc>
          <w:tcPr>
            <w:tcW w:w="220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Inconsistencia</w:t>
            </w:r>
          </w:p>
        </w:tc>
        <w:tc>
          <w:tcPr>
            <w:tcW w:w="380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Detalle</w:t>
            </w:r>
          </w:p>
        </w:tc>
        <w:tc>
          <w:tcPr>
            <w:tcW w:w="3360" w:type="dxa"/>
            <w:shd w:val="clear" w:color="auto" w:fill="1F3864"/>
            <w:tcMar>
              <w:top w:w="60" w:type="dxa"/>
              <w:bottom w:w="60" w:type="dxa"/>
              <w:left w:w="90" w:type="dxa"/>
              <w:right w:w="90" w:type="dxa"/>
            </w:tcMar>
            <w:vAlign w:val="center"/>
          </w:tcPr>
          <w:p>
            <w:pPr>
              <w:spacing w:after="0" w:line="240" w:lineRule="auto"/>
              <w:jc w:val="center"/>
            </w:pPr>
            <w:r>
              <w:rPr>
                <w:b/>
                <w:color w:val="FFFFFF"/>
                <w:sz w:val="17"/>
                <w:szCs w:val="17"/>
              </w:rPr>
              <w:t xml:space="preserve">Tratamiento aplicado</w:t>
            </w:r>
          </w:p>
        </w:tc>
      </w:tr>
      <w:tr>
        <w:tc>
          <w:tcPr>
            <w:tcW w:w="2200" w:type="dxa"/>
            <w:tcMar>
              <w:top w:w="60" w:type="dxa"/>
              <w:bottom w:w="60" w:type="dxa"/>
              <w:left w:w="90" w:type="dxa"/>
              <w:right w:w="90" w:type="dxa"/>
            </w:tcMar>
            <w:vAlign w:val="center"/>
          </w:tcPr>
          <w:p>
            <w:pPr>
              <w:spacing w:after="0" w:line="240" w:lineRule="auto"/>
              <w:jc w:val="left"/>
            </w:pPr>
            <w:r>
              <w:rPr>
                <w:color w:val="262626"/>
                <w:sz w:val="17"/>
                <w:szCs w:val="17"/>
              </w:rPr>
              <w:t xml:space="preserve">Año erróneo en la bitácora de clases muestra</w:t>
            </w:r>
          </w:p>
        </w:tc>
        <w:tc>
          <w:tcPr>
            <w:tcW w:w="3800" w:type="dxa"/>
            <w:tcMar>
              <w:top w:w="60" w:type="dxa"/>
              <w:bottom w:w="60" w:type="dxa"/>
              <w:left w:w="90" w:type="dxa"/>
              <w:right w:w="90" w:type="dxa"/>
            </w:tcMar>
            <w:vAlign w:val="center"/>
          </w:tcPr>
          <w:p>
            <w:pPr>
              <w:spacing w:after="0" w:line="240" w:lineRule="auto"/>
              <w:jc w:val="left"/>
            </w:pPr>
            <w:r>
              <w:rPr>
                <w:color w:val="262626"/>
                <w:sz w:val="17"/>
                <w:szCs w:val="17"/>
              </w:rPr>
              <w:t xml:space="preserve">3 registros de la hoja SEPTIEMBRE traen año 2006 (filas 37, 38, 39)</w:t>
            </w:r>
          </w:p>
        </w:tc>
        <w:tc>
          <w:tcPr>
            <w:tcW w:w="3360" w:type="dxa"/>
            <w:tcMar>
              <w:top w:w="60" w:type="dxa"/>
              <w:bottom w:w="60" w:type="dxa"/>
              <w:left w:w="90" w:type="dxa"/>
              <w:right w:w="90" w:type="dxa"/>
            </w:tcMar>
            <w:vAlign w:val="center"/>
          </w:tcPr>
          <w:p>
            <w:pPr>
              <w:spacing w:after="0" w:line="240" w:lineRule="auto"/>
              <w:jc w:val="left"/>
            </w:pPr>
            <w:r>
              <w:rPr>
                <w:color w:val="262626"/>
                <w:sz w:val="17"/>
                <w:szCs w:val="17"/>
              </w:rPr>
              <w:t xml:space="preserve">Interpretados como 2026. Es una INFERENCIA: el resto de la hoja y el orden de los registros son consistentes con septiembre de 2026</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Inscripción en el CRM no reflejada en la bitácora</w:t>
            </w:r>
          </w:p>
        </w:tc>
        <w:tc>
          <w:tcPr>
            <w:tcW w:w="38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Ximena Aguirre: el CRM la marca «Inscrito» y aparece en el padrón, la bitácora dice «Show»</w:t>
            </w:r>
          </w:p>
        </w:tc>
        <w:tc>
          <w:tcPr>
            <w:tcW w:w="33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Contabilizada como inscripción por tener doble evidencia (CRM y padrón)</w:t>
            </w:r>
          </w:p>
        </w:tc>
      </w:tr>
      <w:tr>
        <w:tc>
          <w:tcPr>
            <w:tcW w:w="2200" w:type="dxa"/>
            <w:tcMar>
              <w:top w:w="60" w:type="dxa"/>
              <w:bottom w:w="60" w:type="dxa"/>
              <w:left w:w="90" w:type="dxa"/>
              <w:right w:w="90" w:type="dxa"/>
            </w:tcMar>
            <w:vAlign w:val="center"/>
          </w:tcPr>
          <w:p>
            <w:pPr>
              <w:spacing w:after="0" w:line="240" w:lineRule="auto"/>
              <w:jc w:val="left"/>
            </w:pPr>
            <w:r>
              <w:rPr>
                <w:color w:val="262626"/>
                <w:sz w:val="17"/>
                <w:szCs w:val="17"/>
              </w:rPr>
              <w:t xml:space="preserve">Alumnos del padrón sin cierre marcado</w:t>
            </w:r>
          </w:p>
        </w:tc>
        <w:tc>
          <w:tcPr>
            <w:tcW w:w="3800" w:type="dxa"/>
            <w:tcMar>
              <w:top w:w="60" w:type="dxa"/>
              <w:bottom w:w="60" w:type="dxa"/>
              <w:left w:w="90" w:type="dxa"/>
              <w:right w:w="90" w:type="dxa"/>
            </w:tcMar>
            <w:vAlign w:val="center"/>
          </w:tcPr>
          <w:p>
            <w:pPr>
              <w:spacing w:after="0" w:line="240" w:lineRule="auto"/>
              <w:jc w:val="left"/>
            </w:pPr>
            <w:r>
              <w:rPr>
                <w:color w:val="262626"/>
                <w:sz w:val="17"/>
                <w:szCs w:val="17"/>
              </w:rPr>
              <w:t xml:space="preserve">Mara Sanchez (mat. 1126); Alfredo Castillo (mat. 1154): matrícula reciente y clase muestra en el periodo, pero la bitácora no los marca inscritos</w:t>
            </w:r>
          </w:p>
        </w:tc>
        <w:tc>
          <w:tcPr>
            <w:tcW w:w="3360" w:type="dxa"/>
            <w:tcMar>
              <w:top w:w="60" w:type="dxa"/>
              <w:bottom w:w="60" w:type="dxa"/>
              <w:left w:w="90" w:type="dxa"/>
              <w:right w:w="90" w:type="dxa"/>
            </w:tcMar>
            <w:vAlign w:val="center"/>
          </w:tcPr>
          <w:p>
            <w:pPr>
              <w:spacing w:after="0" w:line="240" w:lineRule="auto"/>
              <w:jc w:val="left"/>
            </w:pPr>
            <w:r>
              <w:rPr>
                <w:color w:val="262626"/>
                <w:sz w:val="17"/>
                <w:szCs w:val="17"/>
              </w:rPr>
              <w:t xml:space="preserve">NO contabilizados. Reportados para validación administrativa</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Inscripciones de la bitácora sin correspondencia en el padrón</w:t>
            </w:r>
          </w:p>
        </w:tc>
        <w:tc>
          <w:tcPr>
            <w:tcW w:w="38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Citlalli Anahi Torres Diaz, Araceli</w:t>
            </w:r>
          </w:p>
        </w:tc>
        <w:tc>
          <w:tcPr>
            <w:tcW w:w="33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Se conservan como inscripciones (la bitácora es la fuente del cierre) y se señala la discrepancia: puede ser alta no procesada, baja posterior o error de captura</w:t>
            </w:r>
          </w:p>
        </w:tc>
      </w:tr>
      <w:tr>
        <w:tc>
          <w:tcPr>
            <w:tcW w:w="2200" w:type="dxa"/>
            <w:tcMar>
              <w:top w:w="60" w:type="dxa"/>
              <w:bottom w:w="60" w:type="dxa"/>
              <w:left w:w="90" w:type="dxa"/>
              <w:right w:w="90" w:type="dxa"/>
            </w:tcMar>
            <w:vAlign w:val="center"/>
          </w:tcPr>
          <w:p>
            <w:pPr>
              <w:spacing w:after="0" w:line="240" w:lineRule="auto"/>
              <w:jc w:val="left"/>
            </w:pPr>
            <w:r>
              <w:rPr>
                <w:color w:val="262626"/>
                <w:sz w:val="17"/>
                <w:szCs w:val="17"/>
              </w:rPr>
              <w:t xml:space="preserve">Diferencias de edad entre bitácora y padrón</w:t>
            </w:r>
          </w:p>
        </w:tc>
        <w:tc>
          <w:tcPr>
            <w:tcW w:w="3800" w:type="dxa"/>
            <w:tcMar>
              <w:top w:w="60" w:type="dxa"/>
              <w:bottom w:w="60" w:type="dxa"/>
              <w:left w:w="90" w:type="dxa"/>
              <w:right w:w="90" w:type="dxa"/>
            </w:tcMar>
            <w:vAlign w:val="center"/>
          </w:tcPr>
          <w:p>
            <w:pPr>
              <w:spacing w:after="0" w:line="240" w:lineRule="auto"/>
              <w:jc w:val="left"/>
            </w:pPr>
            <w:r>
              <w:rPr>
                <w:color w:val="262626"/>
                <w:sz w:val="17"/>
                <w:szCs w:val="17"/>
              </w:rPr>
              <w:t xml:space="preserve">2 casos con 3 o más años de diferencia: Jose Luis Campa Ortiz (59 vs 64); Irma Luna Lira (77 vs 71)</w:t>
            </w:r>
          </w:p>
        </w:tc>
        <w:tc>
          <w:tcPr>
            <w:tcW w:w="3360" w:type="dxa"/>
            <w:tcMar>
              <w:top w:w="60" w:type="dxa"/>
              <w:bottom w:w="60" w:type="dxa"/>
              <w:left w:w="90" w:type="dxa"/>
              <w:right w:w="90" w:type="dxa"/>
            </w:tcMar>
            <w:vAlign w:val="center"/>
          </w:tcPr>
          <w:p>
            <w:pPr>
              <w:spacing w:after="0" w:line="240" w:lineRule="auto"/>
              <w:jc w:val="left"/>
            </w:pPr>
            <w:r>
              <w:rPr>
                <w:color w:val="262626"/>
                <w:sz w:val="17"/>
                <w:szCs w:val="17"/>
              </w:rPr>
              <w:t xml:space="preserve">No invalidan el enlace (nombre completo coincide); se documenta la captura imprecisa</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Valor no válido en el CRM</w:t>
            </w:r>
          </w:p>
        </w:tc>
        <w:tc>
          <w:tcPr>
            <w:tcW w:w="38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Un registro tiene «1» en «Resultado del seguimiento»</w:t>
            </w:r>
          </w:p>
        </w:tc>
        <w:tc>
          <w:tcPr>
            <w:tcW w:w="33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Tratado como sin información</w:t>
            </w:r>
          </w:p>
        </w:tc>
      </w:tr>
      <w:tr>
        <w:tc>
          <w:tcPr>
            <w:tcW w:w="2200" w:type="dxa"/>
            <w:tcMar>
              <w:top w:w="60" w:type="dxa"/>
              <w:bottom w:w="60" w:type="dxa"/>
              <w:left w:w="90" w:type="dxa"/>
              <w:right w:w="90" w:type="dxa"/>
            </w:tcMar>
            <w:vAlign w:val="center"/>
          </w:tcPr>
          <w:p>
            <w:pPr>
              <w:spacing w:after="0" w:line="240" w:lineRule="auto"/>
              <w:jc w:val="left"/>
            </w:pPr>
            <w:r>
              <w:rPr>
                <w:color w:val="262626"/>
                <w:sz w:val="17"/>
                <w:szCs w:val="17"/>
              </w:rPr>
              <w:t xml:space="preserve">Subregistro del campo «Registrado a clase muestra»</w:t>
            </w:r>
          </w:p>
        </w:tc>
        <w:tc>
          <w:tcPr>
            <w:tcW w:w="3800" w:type="dxa"/>
            <w:tcMar>
              <w:top w:w="60" w:type="dxa"/>
              <w:bottom w:w="60" w:type="dxa"/>
              <w:left w:w="90" w:type="dxa"/>
              <w:right w:w="90" w:type="dxa"/>
            </w:tcMar>
            <w:vAlign w:val="center"/>
          </w:tcPr>
          <w:p>
            <w:pPr>
              <w:spacing w:after="0" w:line="240" w:lineRule="auto"/>
              <w:jc w:val="left"/>
            </w:pPr>
            <w:r>
              <w:rPr>
                <w:color w:val="262626"/>
                <w:sz w:val="17"/>
                <w:szCs w:val="17"/>
              </w:rPr>
              <w:t xml:space="preserve">El CRM marca 35 personas registradas a clase muestra frente a 91 clases en la bitácora</w:t>
            </w:r>
          </w:p>
        </w:tc>
        <w:tc>
          <w:tcPr>
            <w:tcW w:w="3360" w:type="dxa"/>
            <w:tcMar>
              <w:top w:w="60" w:type="dxa"/>
              <w:bottom w:w="60" w:type="dxa"/>
              <w:left w:w="90" w:type="dxa"/>
              <w:right w:w="90" w:type="dxa"/>
            </w:tcMar>
            <w:vAlign w:val="center"/>
          </w:tcPr>
          <w:p>
            <w:pPr>
              <w:spacing w:after="0" w:line="240" w:lineRule="auto"/>
              <w:jc w:val="left"/>
            </w:pPr>
            <w:r>
              <w:rPr>
                <w:color w:val="262626"/>
                <w:sz w:val="17"/>
                <w:szCs w:val="17"/>
              </w:rPr>
              <w:t xml:space="preserve">El campo no se usa como métrica; la bitácora es la fuente única de clases muestra</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Clases muestra sin lead identificado</w:t>
            </w:r>
          </w:p>
        </w:tc>
        <w:tc>
          <w:tcPr>
            <w:tcW w:w="38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24 de 91 clases (26.4%) no se pueden ligar a un lead del CRM</w:t>
            </w:r>
          </w:p>
        </w:tc>
        <w:tc>
          <w:tcPr>
            <w:tcW w:w="33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Incluye recomendaciones y visitas a sitio, pero también fallas de registro. No se atribuyen a la pauta</w:t>
            </w:r>
          </w:p>
        </w:tc>
      </w:tr>
      <w:tr>
        <w:tc>
          <w:tcPr>
            <w:tcW w:w="2200" w:type="dxa"/>
            <w:tcMar>
              <w:top w:w="60" w:type="dxa"/>
              <w:bottom w:w="60" w:type="dxa"/>
              <w:left w:w="90" w:type="dxa"/>
              <w:right w:w="90" w:type="dxa"/>
            </w:tcMar>
            <w:vAlign w:val="center"/>
          </w:tcPr>
          <w:p>
            <w:pPr>
              <w:spacing w:after="0" w:line="240" w:lineRule="auto"/>
              <w:jc w:val="left"/>
            </w:pPr>
            <w:r>
              <w:rPr>
                <w:color w:val="262626"/>
                <w:sz w:val="17"/>
                <w:szCs w:val="17"/>
              </w:rPr>
              <w:t xml:space="preserve">Brecha entre Meta y el CRM</w:t>
            </w:r>
          </w:p>
        </w:tc>
        <w:tc>
          <w:tcPr>
            <w:tcW w:w="3800" w:type="dxa"/>
            <w:tcMar>
              <w:top w:w="60" w:type="dxa"/>
              <w:bottom w:w="60" w:type="dxa"/>
              <w:left w:w="90" w:type="dxa"/>
              <w:right w:w="90" w:type="dxa"/>
            </w:tcMar>
            <w:vAlign w:val="center"/>
          </w:tcPr>
          <w:p>
            <w:pPr>
              <w:spacing w:after="0" w:line="240" w:lineRule="auto"/>
              <w:jc w:val="left"/>
            </w:pPr>
            <w:r>
              <w:rPr>
                <w:color w:val="262626"/>
                <w:sz w:val="17"/>
                <w:szCs w:val="17"/>
              </w:rPr>
              <w:t xml:space="preserve">565 conversaciones en Meta frente a 499 registros en el CRM</w:t>
            </w:r>
          </w:p>
        </w:tc>
        <w:tc>
          <w:tcPr>
            <w:tcW w:w="3360" w:type="dxa"/>
            <w:tcMar>
              <w:top w:w="60" w:type="dxa"/>
              <w:bottom w:w="60" w:type="dxa"/>
              <w:left w:w="90" w:type="dxa"/>
              <w:right w:w="90" w:type="dxa"/>
            </w:tcMar>
            <w:vAlign w:val="center"/>
          </w:tcPr>
          <w:p>
            <w:pPr>
              <w:spacing w:after="0" w:line="240" w:lineRule="auto"/>
              <w:jc w:val="left"/>
            </w:pPr>
            <w:r>
              <w:rPr>
                <w:color w:val="262626"/>
                <w:sz w:val="17"/>
                <w:szCs w:val="17"/>
              </w:rPr>
              <w:t xml:space="preserve">Se reporta como indicador de cobertura de registro (88.3%), no como pérdida confirmada</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Registro de prueba en el padrón</w:t>
            </w:r>
          </w:p>
        </w:tc>
        <w:tc>
          <w:tcPr>
            <w:tcW w:w="380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Matrícula 1063 «Gustavo Martinez Prueba»</w:t>
            </w:r>
          </w:p>
        </w:tc>
        <w:tc>
          <w:tcPr>
            <w:tcW w:w="3360" w:type="dxa"/>
            <w:shd w:val="clear" w:color="auto" w:fill="F4F4F4"/>
            <w:tcMar>
              <w:top w:w="60" w:type="dxa"/>
              <w:bottom w:w="60" w:type="dxa"/>
              <w:left w:w="90" w:type="dxa"/>
              <w:right w:w="90" w:type="dxa"/>
            </w:tcMar>
            <w:vAlign w:val="center"/>
          </w:tcPr>
          <w:p>
            <w:pPr>
              <w:spacing w:after="0" w:line="240" w:lineRule="auto"/>
              <w:jc w:val="left"/>
            </w:pPr>
            <w:r>
              <w:rPr>
                <w:color w:val="262626"/>
                <w:sz w:val="17"/>
                <w:szCs w:val="17"/>
              </w:rPr>
              <w:t xml:space="preserve">Se conserva porque existe en la fuente; se marca para validación</w:t>
            </w:r>
          </w:p>
        </w:tc>
      </w:tr>
    </w:tbl>
    <w:p>
      <w:pPr>
        <w:jc w:val="both"/>
        <w:spacing w:after="60" w:line="264" w:lineRule="auto"/>
      </w:pPr>
      <w:r>
        <w:rPr>
          <w:color w:val="262626"/>
          <w:sz w:val="20"/>
          <w:szCs w:val="20"/>
        </w:rPr>
        <w:t xml:space="preserve"/>
      </w:r>
    </w:p>
    <w:p>
      <w:pPr>
        <w:pStyle w:val="Titulo2"/>
      </w:pPr>
      <w:r>
        <w:rPr>
          <w:b/>
          <w:color w:val="262626"/>
          <w:sz w:val="20"/>
          <w:szCs w:val="20"/>
        </w:rPr>
        <w:t xml:space="preserve">16.4 Información que no existe y que impide calcular indicadores</w:t>
      </w:r>
    </w:p>
    <w:p>
      <w:pPr>
        <w:pStyle w:val="Vineta"/>
        <w:numPr>
          <w:ilvl w:val="0"/>
          <w:numId w:val="1"/>
        </w:numPr>
        <w:spacing w:after="60" w:line="264" w:lineRule="auto"/>
      </w:pPr>
      <w:r>
        <w:rPr>
          <w:color w:val="262626"/>
          <w:sz w:val="20"/>
          <w:szCs w:val="20"/>
        </w:rPr>
        <w:t xml:space="preserve">Métricas orgánicas de Facebook, Instagram y TikTok: la sección de redes sociales orgánicas no es calculable.</w:t>
      </w:r>
    </w:p>
    <w:p>
      <w:pPr>
        <w:pStyle w:val="Vineta"/>
        <w:numPr>
          <w:ilvl w:val="0"/>
          <w:numId w:val="1"/>
        </w:numPr>
        <w:spacing w:after="60" w:line="264" w:lineRule="auto"/>
      </w:pPr>
      <w:r>
        <w:rPr>
          <w:color w:val="262626"/>
          <w:sz w:val="20"/>
          <w:szCs w:val="20"/>
        </w:rPr>
        <w:t xml:space="preserve">Clics de los anuncios: CTR y CPC no son calculables.</w:t>
      </w:r>
    </w:p>
    <w:p>
      <w:pPr>
        <w:pStyle w:val="Vineta"/>
        <w:numPr>
          <w:ilvl w:val="0"/>
          <w:numId w:val="1"/>
        </w:numPr>
        <w:spacing w:after="60" w:line="264" w:lineRule="auto"/>
      </w:pPr>
      <w:r>
        <w:rPr>
          <w:color w:val="262626"/>
          <w:sz w:val="20"/>
          <w:szCs w:val="20"/>
        </w:rPr>
        <w:t xml:space="preserve">Desglose diario del gasto: no se puede cruzar inversión con captación día por día.</w:t>
      </w:r>
    </w:p>
    <w:p>
      <w:pPr>
        <w:pStyle w:val="Vineta"/>
        <w:numPr>
          <w:ilvl w:val="0"/>
          <w:numId w:val="1"/>
        </w:numPr>
        <w:spacing w:after="60" w:line="264" w:lineRule="auto"/>
      </w:pPr>
      <w:r>
        <w:rPr>
          <w:color w:val="262626"/>
          <w:sz w:val="20"/>
          <w:szCs w:val="20"/>
        </w:rPr>
        <w:t xml:space="preserve">Alcance único a nivel campaña: solo se puede reportar un rango.</w:t>
      </w:r>
    </w:p>
    <w:p>
      <w:pPr>
        <w:pStyle w:val="Vineta"/>
        <w:numPr>
          <w:ilvl w:val="0"/>
          <w:numId w:val="1"/>
        </w:numPr>
        <w:spacing w:after="60" w:line="264" w:lineRule="auto"/>
      </w:pPr>
      <w:r>
        <w:rPr>
          <w:color w:val="262626"/>
          <w:sz w:val="20"/>
          <w:szCs w:val="20"/>
        </w:rPr>
        <w:t xml:space="preserve">Hora del lead y hora del primer contacto de vuelta: el tiempo de respuesta no es medible.</w:t>
      </w:r>
    </w:p>
    <w:p>
      <w:pPr>
        <w:pStyle w:val="Vineta"/>
        <w:numPr>
          <w:ilvl w:val="0"/>
          <w:numId w:val="1"/>
        </w:numPr>
        <w:spacing w:after="60" w:line="264" w:lineRule="auto"/>
      </w:pPr>
      <w:r>
        <w:rPr>
          <w:color w:val="262626"/>
          <w:sz w:val="20"/>
          <w:szCs w:val="20"/>
        </w:rPr>
        <w:t xml:space="preserve">Campo de clase muestra «solicitada» distinto de «agendada»: esa etapa del embudo no es reportable.</w:t>
      </w:r>
    </w:p>
    <w:p>
      <w:pPr>
        <w:pStyle w:val="Vineta"/>
        <w:numPr>
          <w:ilvl w:val="0"/>
          <w:numId w:val="1"/>
        </w:numPr>
        <w:spacing w:after="60" w:line="264" w:lineRule="auto"/>
      </w:pPr>
      <w:r>
        <w:rPr>
          <w:color w:val="262626"/>
          <w:sz w:val="20"/>
          <w:szCs w:val="20"/>
        </w:rPr>
        <w:t xml:space="preserve">Motivo de pérdida: no se puede analizar por qué no cerraron los prospectos.</w:t>
      </w:r>
    </w:p>
    <w:p>
      <w:pPr>
        <w:pStyle w:val="Vineta"/>
        <w:numPr>
          <w:ilvl w:val="0"/>
          <w:numId w:val="1"/>
        </w:numPr>
        <w:spacing w:after="60" w:line="264" w:lineRule="auto"/>
      </w:pPr>
      <w:r>
        <w:rPr>
          <w:color w:val="262626"/>
          <w:sz w:val="20"/>
          <w:szCs w:val="20"/>
        </w:rPr>
        <w:t xml:space="preserve">Fecha de inscripción, programa, grupo y modalidad en el padrón: impide filtrar el padrón al 3 de octubre y segmentar inscripciones desde esa fuente.</w:t>
      </w:r>
    </w:p>
    <w:p>
      <w:pPr>
        <w:pStyle w:val="Titulo2"/>
      </w:pPr>
      <w:r>
        <w:rPr>
          <w:b/>
          <w:color w:val="262626"/>
          <w:sz w:val="20"/>
          <w:szCs w:val="20"/>
        </w:rPr>
        <w:t xml:space="preserve">16.5 Qué debería empezar a registrarse de forma sistemática</w:t>
      </w:r>
    </w:p>
    <w:p>
      <w:pPr>
        <w:spacing w:before="80" w:after="60"/>
      </w:pPr>
      <w:r>
        <w:rPr>
          <w:b/>
          <w:color w:val="2E5C9A"/>
          <w:sz w:val="18"/>
          <w:szCs w:val="18"/>
        </w:rPr>
        <w:t xml:space="preserve">Tabla 29. Registro mínimo recomendado para la próxima campaña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4000"/>
        <w:gridCol w:w="5360"/>
      </w:tblGrid>
      <w:tr>
        <w:trPr>
          <w:tblHeader/>
          <w:cantSplit/>
        </w:trPr>
        <w:tc>
          <w:tcPr>
            <w:tcW w:w="4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Campo a registrar</w:t>
            </w:r>
          </w:p>
        </w:tc>
        <w:tc>
          <w:tcPr>
            <w:tcW w:w="5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Para qué sirve</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Fecha y hora exactas del lead</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Medir tiempo de respuesta</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Fecha y hora del primer contacto de vuelta</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Correlacionar velocidad con agendamiento</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ID de campaña, conjunto y anuncio (no texto libre)</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Atribuir sin mapeos inferidos</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Teléfono normalizado obligatorio</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Único identificador fiable entre bases</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Idioma, programa y edad desde el primer contacto</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Segmentar el seguimiento por valor</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Fecha de solicitud de clase muestra, separada de la fecha de agenda</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Completar la etapa «solicitadas» del embudo</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Asistencia a clase muestra como campo obligatorio</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Medir no show directamente</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Bitácora de seguimientos con fecha por interacción</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Saber cuántos toques recibió cada prospecto</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Estatus con lista cerrada de valores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Evitar campos vacíos y valores no válidos</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Fecha de inscripción y motivo de pérdida</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Cerrar el ciclo y calcular CAC por cohorte</w:t>
            </w:r>
          </w:p>
        </w:tc>
      </w:tr>
      <w:tr>
        <w:tc>
          <w:tcPr>
            <w:tcW w:w="4000" w:type="dxa"/>
            <w:tcMar>
              <w:top w:w="60" w:type="dxa"/>
              <w:bottom w:w="60" w:type="dxa"/>
              <w:left w:w="90" w:type="dxa"/>
              <w:right w:w="90" w:type="dxa"/>
            </w:tcMar>
            <w:vAlign w:val="center"/>
          </w:tcPr>
          <w:p>
            <w:pPr>
              <w:spacing w:after="0" w:line="240" w:lineRule="auto"/>
              <w:jc w:val="left"/>
            </w:pPr>
            <w:r>
              <w:rPr>
                <w:color w:val="262626"/>
                <w:sz w:val="18"/>
                <w:szCs w:val="18"/>
              </w:rPr>
              <w:t xml:space="preserve">Export mensual de métricas orgánicas</w:t>
            </w:r>
          </w:p>
        </w:tc>
        <w:tc>
          <w:tcPr>
            <w:tcW w:w="5360" w:type="dxa"/>
            <w:tcMar>
              <w:top w:w="60" w:type="dxa"/>
              <w:bottom w:w="60" w:type="dxa"/>
              <w:left w:w="90" w:type="dxa"/>
              <w:right w:w="90" w:type="dxa"/>
            </w:tcMar>
            <w:vAlign w:val="center"/>
          </w:tcPr>
          <w:p>
            <w:pPr>
              <w:spacing w:after="0" w:line="240" w:lineRule="auto"/>
              <w:jc w:val="left"/>
            </w:pPr>
            <w:r>
              <w:rPr>
                <w:color w:val="262626"/>
                <w:sz w:val="18"/>
                <w:szCs w:val="18"/>
              </w:rPr>
              <w:t xml:space="preserve">Hacer analizable el aporte del contenido</w:t>
            </w:r>
          </w:p>
        </w:tc>
      </w:tr>
      <w:tr>
        <w:tc>
          <w:tcPr>
            <w:tcW w:w="4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Export de anuncios con clics y desglose diario</w:t>
            </w:r>
          </w:p>
        </w:tc>
        <w:tc>
          <w:tcPr>
            <w:tcW w:w="536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Calcular CTR, CPC y curvas de entrega</w:t>
            </w:r>
          </w:p>
        </w:tc>
      </w:tr>
    </w:tbl>
    <w:p>
      <w:pPr>
        <w:jc w:val="both"/>
        <w:spacing w:after="60" w:line="264" w:lineRule="auto"/>
      </w:pPr>
      <w:r>
        <w:rPr>
          <w:color w:val="262626"/>
          <w:sz w:val="20"/>
          <w:szCs w:val="20"/>
        </w:rPr>
        <w:t xml:space="preserve"/>
      </w:r>
    </w:p>
    <w:p>
      <w:r>
        <w:br w:type="page"/>
      </w:r>
    </w:p>
    <w:p>
      <w:pPr>
        <w:pStyle w:val="Titulo1"/>
      </w:pPr>
      <w:r>
        <w:rPr>
          <w:b/>
          <w:color w:val="262626"/>
          <w:sz w:val="20"/>
          <w:szCs w:val="20"/>
        </w:rPr>
        <w:t xml:space="preserve">17. Conclusión ejecutiva</w:t>
      </w:r>
    </w:p>
    <w:p>
      <w:pPr>
        <w:pStyle w:val="Titulo3"/>
      </w:pPr>
      <w:r>
        <w:rPr>
          <w:b/>
          <w:color w:val="262626"/>
          <w:sz w:val="20"/>
          <w:szCs w:val="20"/>
        </w:rPr>
        <w:t xml:space="preserve">¿Cómo funcionó la Campaña de Septiembre?</w:t>
      </w:r>
    </w:p>
    <w:p>
      <w:pPr>
        <w:jc w:val="both"/>
        <w:spacing w:after="120" w:line="264" w:lineRule="auto"/>
      </w:pPr>
      <w:r>
        <w:rPr>
          <w:color w:val="262626"/>
          <w:sz w:val="20"/>
          <w:szCs w:val="20"/>
        </w:rPr>
        <w:t xml:space="preserve">Funcionó bien como motor de demanda y de forma incompleta como motor de ventas. Con $6,999.91 de inversión ejecutada al 100.0% generó 565 conversaciones, 477 prospectos identificables, 91 clases muestra y 30 inscripciones confirmadas, de las cuales 23 son atribuibles a la pauta.</w:t>
      </w:r>
    </w:p>
    <w:p>
      <w:pPr>
        <w:pStyle w:val="Titulo3"/>
      </w:pPr>
      <w:r>
        <w:rPr>
          <w:b/>
          <w:color w:val="262626"/>
          <w:sz w:val="20"/>
          <w:szCs w:val="20"/>
        </w:rPr>
        <w:t xml:space="preserve">¿Qué obtuvimos con la inversión realizada?</w:t>
      </w:r>
    </w:p>
    <w:p>
      <w:pPr>
        <w:jc w:val="both"/>
        <w:spacing w:after="120" w:line="264" w:lineRule="auto"/>
      </w:pPr>
      <w:r>
        <w:rPr>
          <w:color w:val="262626"/>
          <w:sz w:val="20"/>
          <w:szCs w:val="20"/>
        </w:rPr>
        <w:t xml:space="preserve">Un costo de $14.67 por persona interesada, $104.48 por clase muestra realizada y un CAC de $304.34. Para una academia con ingreso recurrente mensual, ese CAC se recupera en el corto plazo; el problema no es el precio de la adquisición sino el volumen de adquisiciones que se dejó sobre la mesa.</w:t>
      </w:r>
    </w:p>
    <w:p>
      <w:pPr>
        <w:pStyle w:val="Titulo3"/>
      </w:pPr>
      <w:r>
        <w:rPr>
          <w:b/>
          <w:color w:val="262626"/>
          <w:sz w:val="20"/>
          <w:szCs w:val="20"/>
        </w:rPr>
        <w:t xml:space="preserve">¿Cuál fue la principal fortaleza?</w:t>
      </w:r>
    </w:p>
    <w:p>
      <w:pPr>
        <w:jc w:val="both"/>
        <w:spacing w:after="120" w:line="264" w:lineRule="auto"/>
      </w:pPr>
      <w:r>
        <w:rPr>
          <w:color w:val="262626"/>
          <w:sz w:val="20"/>
          <w:szCs w:val="20"/>
        </w:rPr>
        <w:t xml:space="preserve">La clase muestra. 73.6% de asistencia y 46.2% de cierre significan que el proceso presencial está resuelto. A eso se suma un creativo ganador claramente identificado, con $9.98 por conversación.</w:t>
      </w:r>
    </w:p>
    <w:p>
      <w:pPr>
        <w:pStyle w:val="Titulo3"/>
      </w:pPr>
      <w:r>
        <w:rPr>
          <w:b/>
          <w:color w:val="262626"/>
          <w:sz w:val="20"/>
          <w:szCs w:val="20"/>
        </w:rPr>
        <w:t xml:space="preserve">¿Cuál fue el principal cuello de botella?</w:t>
      </w:r>
    </w:p>
    <w:p>
      <w:pPr>
        <w:jc w:val="both"/>
        <w:spacing w:after="120" w:line="264" w:lineRule="auto"/>
      </w:pPr>
      <w:r>
        <w:rPr>
          <w:color w:val="262626"/>
          <w:sz w:val="20"/>
          <w:szCs w:val="20"/>
        </w:rPr>
        <w:t xml:space="preserve">El agendamiento y su gemelo, el seguimiento. 390 de 477 personas (81.8%) nunca llegaron a una clase muestra, y el CRM no registra resultado de seguimiento en el 92.0% de sus registros. Ahí se concentra el 87.2% de toda la pérdida del embudo.</w:t>
      </w:r>
    </w:p>
    <w:p>
      <w:pPr>
        <w:pStyle w:val="Titulo3"/>
      </w:pPr>
      <w:r>
        <w:rPr>
          <w:b/>
          <w:color w:val="262626"/>
          <w:sz w:val="20"/>
          <w:szCs w:val="20"/>
        </w:rPr>
        <w:t xml:space="preserve">¿Qué deberíamos repetir?</w:t>
      </w:r>
    </w:p>
    <w:p>
      <w:pPr>
        <w:jc w:val="both"/>
        <w:spacing w:after="120" w:line="264" w:lineRule="auto"/>
      </w:pPr>
      <w:r>
        <w:rPr>
          <w:color w:val="262626"/>
          <w:sz w:val="20"/>
          <w:szCs w:val="20"/>
        </w:rPr>
        <w:t xml:space="preserve">El creativo de proximidad geográfica en formato video, el objetivo de mensajes con WhatsApp como canal operativo, la ejecución total del presupuesto y el formato de la clase muestra tal como está diseñado hoy.</w:t>
      </w:r>
    </w:p>
    <w:p>
      <w:pPr>
        <w:pStyle w:val="Titulo3"/>
      </w:pPr>
      <w:r>
        <w:rPr>
          <w:b/>
          <w:color w:val="262626"/>
          <w:sz w:val="20"/>
          <w:szCs w:val="20"/>
        </w:rPr>
        <w:t xml:space="preserve">¿Qué deberíamos cambiar?</w:t>
      </w:r>
    </w:p>
    <w:p>
      <w:pPr>
        <w:jc w:val="both"/>
        <w:spacing w:after="120" w:line="264" w:lineRule="auto"/>
      </w:pPr>
      <w:r>
        <w:rPr>
          <w:color w:val="262626"/>
          <w:sz w:val="20"/>
          <w:szCs w:val="20"/>
        </w:rPr>
        <w:t xml:space="preserve">Tres cosas concretas: proponer horarios de clase muestra en el primer mensaje en lugar de enviar información; establecer una cadencia de seguimiento con registro obligatorio; y dejar de repartir presupuesto entre anuncios que ya demostraron ser 3.9 veces más caros.</w:t>
      </w:r>
    </w:p>
    <w:p>
      <w:pPr>
        <w:pStyle w:val="Titulo3"/>
      </w:pPr>
      <w:r>
        <w:rPr>
          <w:b/>
          <w:color w:val="262626"/>
          <w:sz w:val="20"/>
          <w:szCs w:val="20"/>
        </w:rPr>
        <w:t xml:space="preserve">¿Qué oportunidades quedan abiertas?</w:t>
      </w:r>
    </w:p>
    <w:p>
      <w:pPr>
        <w:jc w:val="both"/>
        <w:spacing w:after="120" w:line="264" w:lineRule="auto"/>
      </w:pPr>
      <w:r>
        <w:rPr>
          <w:color w:val="262626"/>
          <w:sz w:val="20"/>
          <w:szCs w:val="20"/>
        </w:rPr>
        <w:t xml:space="preserve">463 oportunidades comerciales activas al 3 de octubre, de las cuales 284 están en descubrimiento sin movimiento reciente; 3 clases muestra pendientes al cierre del periodo; venta cruzada de un segundo idioma a la base actual; y un canal de recomendación que produce inscripciones sin estar medido.</w:t>
      </w:r>
    </w:p>
    <w:p>
      <w:pPr>
        <w:pStyle w:val="Titulo3"/>
      </w:pPr>
      <w:r>
        <w:rPr>
          <w:b/>
          <w:color w:val="262626"/>
          <w:sz w:val="20"/>
          <w:szCs w:val="20"/>
        </w:rPr>
        <w:t xml:space="preserve">¿Qué implicaciones tiene esto para la siguiente campaña?</w:t>
      </w:r>
    </w:p>
    <w:p>
      <w:pPr>
        <w:jc w:val="both"/>
        <w:spacing w:after="120" w:line="264" w:lineRule="auto"/>
      </w:pPr>
      <w:r>
        <w:rPr>
          <w:color w:val="262626"/>
          <w:sz w:val="20"/>
          <w:szCs w:val="20"/>
        </w:rPr>
        <w:t xml:space="preserve">Con el mismo presupuesto de $7,000 y sin mejorar un solo indicador de pauta, llevar el agendamiento de 19.1% a 25% produciría del orden de 10 inscripciones adicionales, un 35.0% más que el resultado de esta campaña. La prioridad de la siguiente campaña no es comprar más demanda: es convertir la que ya se está comprando.</w:t>
      </w:r>
    </w:p>
    <w:p>
      <w:r>
        <w:br w:type="page"/>
      </w:r>
    </w:p>
    <w:p>
      <w:pPr>
        <w:pStyle w:val="Titulo1"/>
      </w:pPr>
      <w:r>
        <w:rPr>
          <w:b/>
          <w:color w:val="262626"/>
          <w:sz w:val="20"/>
          <w:szCs w:val="20"/>
        </w:rPr>
        <w:t xml:space="preserve">Anexo. Tablas de datos de las gráficas</w:t>
      </w:r>
    </w:p>
    <w:p>
      <w:pPr>
        <w:jc w:val="both"/>
        <w:spacing w:after="120" w:line="264" w:lineRule="auto"/>
      </w:pPr>
      <w:r>
        <w:rPr>
          <w:color w:val="262626"/>
          <w:sz w:val="20"/>
          <w:szCs w:val="20"/>
        </w:rPr>
        <w:t xml:space="preserve">Cada gráfica de este reporte está ligada a su propia tabla de datos editable (clic derecho › Editar datos). Estas tablas reproducen esos datos para permitir reconstruir cualquier gráfica, y están además en la pestaña «Gráficas» de la Base Maestra.</w:t>
      </w:r>
    </w:p>
    <w:p>
      <w:pPr>
        <w:spacing w:before="80" w:after="60"/>
      </w:pPr>
      <w:r>
        <w:rPr>
          <w:b/>
          <w:color w:val="2E5C9A"/>
          <w:sz w:val="18"/>
          <w:szCs w:val="18"/>
        </w:rPr>
        <w:t xml:space="preserve">A1. Funnel completo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5000"/>
        <w:gridCol w:w="4360"/>
      </w:tblGrid>
      <w:tr>
        <w:trPr>
          <w:tblHeader/>
          <w:cantSplit/>
        </w:trPr>
        <w:tc>
          <w:tcPr>
            <w:tcW w:w="5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Funnel comercial</w:t>
            </w:r>
          </w:p>
        </w:tc>
        <w:tc>
          <w:tcPr>
            <w:tcW w:w="4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Valor</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Impresiones</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241,265</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Alcance (personas)</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75,110</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Conversaciones iniciadas</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565</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Leads / prospectos (personas)</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477</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CM agendadas</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91</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realizadas</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67</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Inscripciones</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30</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A2. Conversión por etapa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5000"/>
        <w:gridCol w:w="4360"/>
      </w:tblGrid>
      <w:tr>
        <w:trPr>
          <w:tblHeader/>
          <w:cantSplit/>
        </w:trPr>
        <w:tc>
          <w:tcPr>
            <w:tcW w:w="5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Conversión por etapa</w:t>
            </w:r>
          </w:p>
        </w:tc>
        <w:tc>
          <w:tcPr>
            <w:tcW w:w="4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Valor</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Lead → CM agendada</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19.1%</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CM agendada → realizada</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73.6%</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CM realizada → inscripción</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46.2%</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Lead → inscripción</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6.3%</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A3. Clases muestra por resultado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5000"/>
        <w:gridCol w:w="4360"/>
      </w:tblGrid>
      <w:tr>
        <w:trPr>
          <w:tblHeader/>
          <w:cantSplit/>
        </w:trPr>
        <w:tc>
          <w:tcPr>
            <w:tcW w:w="5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Resultado de clase muestra</w:t>
            </w:r>
          </w:p>
        </w:tc>
        <w:tc>
          <w:tcPr>
            <w:tcW w:w="4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Realizadas con inscripción</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31</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Realizadas sin cierre</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36</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No show</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20</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Pendientes al 4-oct</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Reprogramadas</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A4, A5 y A8. Resultados, inversión y eficacia por anuncio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200"/>
        <w:gridCol w:w="1700"/>
        <w:gridCol w:w="1800"/>
        <w:gridCol w:w="1800"/>
        <w:gridCol w:w="1860"/>
      </w:tblGrid>
      <w:tr>
        <w:trPr>
          <w:tblHeader/>
          <w:cantSplit/>
        </w:trPr>
        <w:tc>
          <w:tcPr>
            <w:tcW w:w="22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Anuncio</w:t>
            </w:r>
          </w:p>
        </w:tc>
        <w:tc>
          <w:tcPr>
            <w:tcW w:w="17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Gasto</w:t>
            </w:r>
          </w:p>
        </w:tc>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Conversaciones</w:t>
            </w:r>
          </w:p>
        </w:tc>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Costo/conv.</w:t>
            </w:r>
          </w:p>
        </w:tc>
        <w:tc>
          <w:tcPr>
            <w:tcW w:w="18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Conv. por mil impresiones</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video villas</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$4,901.80</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491</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$9.98</w:t>
            </w:r>
          </w:p>
        </w:tc>
        <w:tc>
          <w:tcPr>
            <w:tcW w:w="1860" w:type="dxa"/>
            <w:tcMar>
              <w:top w:w="60" w:type="dxa"/>
              <w:bottom w:w="60" w:type="dxa"/>
              <w:left w:w="90" w:type="dxa"/>
              <w:right w:w="90" w:type="dxa"/>
            </w:tcMar>
            <w:vAlign w:val="center"/>
          </w:tcPr>
          <w:p>
            <w:pPr>
              <w:spacing w:after="0" w:line="240" w:lineRule="auto"/>
              <w:jc w:val="right"/>
            </w:pPr>
            <w:r>
              <w:rPr>
                <w:color w:val="262626"/>
                <w:sz w:val="18"/>
                <w:szCs w:val="18"/>
              </w:rPr>
              <w:t xml:space="preserve">2.45</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sin libros</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$744.50</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39</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$19.09</w:t>
            </w:r>
          </w:p>
        </w:tc>
        <w:tc>
          <w:tcPr>
            <w:tcW w:w="18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2.51</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post grupos</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$402.73</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$36.61</w:t>
            </w:r>
          </w:p>
        </w:tc>
        <w:tc>
          <w:tcPr>
            <w:tcW w:w="1860" w:type="dxa"/>
            <w:tcMar>
              <w:top w:w="60" w:type="dxa"/>
              <w:bottom w:w="60" w:type="dxa"/>
              <w:left w:w="90" w:type="dxa"/>
              <w:right w:w="90" w:type="dxa"/>
            </w:tcMar>
            <w:vAlign w:val="center"/>
          </w:tcPr>
          <w:p>
            <w:pPr>
              <w:spacing w:after="0" w:line="240" w:lineRule="auto"/>
              <w:jc w:val="right"/>
            </w:pPr>
            <w:r>
              <w:rPr>
                <w:color w:val="262626"/>
                <w:sz w:val="18"/>
                <w:szCs w:val="18"/>
              </w:rPr>
              <w:t xml:space="preserve">1.10</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testimoniales</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$309.01</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$28.09</w:t>
            </w:r>
          </w:p>
        </w:tc>
        <w:tc>
          <w:tcPr>
            <w:tcW w:w="18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1.78</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video clases</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$417.57</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7</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$59.65</w:t>
            </w:r>
          </w:p>
        </w:tc>
        <w:tc>
          <w:tcPr>
            <w:tcW w:w="1860" w:type="dxa"/>
            <w:tcMar>
              <w:top w:w="60" w:type="dxa"/>
              <w:bottom w:w="60" w:type="dxa"/>
              <w:left w:w="90" w:type="dxa"/>
              <w:right w:w="90" w:type="dxa"/>
            </w:tcMar>
            <w:vAlign w:val="center"/>
          </w:tcPr>
          <w:p>
            <w:pPr>
              <w:spacing w:after="0" w:line="240" w:lineRule="auto"/>
              <w:jc w:val="right"/>
            </w:pPr>
            <w:r>
              <w:rPr>
                <w:color w:val="262626"/>
                <w:sz w:val="18"/>
                <w:szCs w:val="18"/>
              </w:rPr>
              <w:t xml:space="preserve">1.02</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carrete</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$179.98</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$44.99</w:t>
            </w:r>
          </w:p>
        </w:tc>
        <w:tc>
          <w:tcPr>
            <w:tcW w:w="18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2.24</w:t>
            </w:r>
          </w:p>
        </w:tc>
      </w:tr>
      <w:tr>
        <w:tc>
          <w:tcPr>
            <w:tcW w:w="2200" w:type="dxa"/>
            <w:tcMar>
              <w:top w:w="60" w:type="dxa"/>
              <w:bottom w:w="60" w:type="dxa"/>
              <w:left w:w="90" w:type="dxa"/>
              <w:right w:w="90" w:type="dxa"/>
            </w:tcMar>
            <w:vAlign w:val="center"/>
          </w:tcPr>
          <w:p>
            <w:pPr>
              <w:spacing w:after="0" w:line="240" w:lineRule="auto"/>
              <w:jc w:val="left"/>
            </w:pPr>
            <w:r>
              <w:rPr>
                <w:color w:val="262626"/>
                <w:sz w:val="18"/>
                <w:szCs w:val="18"/>
              </w:rPr>
              <w:t xml:space="preserve">post clase</w:t>
            </w:r>
          </w:p>
        </w:tc>
        <w:tc>
          <w:tcPr>
            <w:tcW w:w="1700" w:type="dxa"/>
            <w:tcMar>
              <w:top w:w="60" w:type="dxa"/>
              <w:bottom w:w="60" w:type="dxa"/>
              <w:left w:w="90" w:type="dxa"/>
              <w:right w:w="90" w:type="dxa"/>
            </w:tcMar>
            <w:vAlign w:val="center"/>
          </w:tcPr>
          <w:p>
            <w:pPr>
              <w:spacing w:after="0" w:line="240" w:lineRule="auto"/>
              <w:jc w:val="right"/>
            </w:pPr>
            <w:r>
              <w:rPr>
                <w:color w:val="262626"/>
                <w:sz w:val="18"/>
                <w:szCs w:val="18"/>
              </w:rPr>
              <w:t xml:space="preserve">$29.13</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$29.13</w:t>
            </w:r>
          </w:p>
        </w:tc>
        <w:tc>
          <w:tcPr>
            <w:tcW w:w="1860" w:type="dxa"/>
            <w:tcMar>
              <w:top w:w="60" w:type="dxa"/>
              <w:bottom w:w="60" w:type="dxa"/>
              <w:left w:w="90" w:type="dxa"/>
              <w:right w:w="90" w:type="dxa"/>
            </w:tcMar>
            <w:vAlign w:val="center"/>
          </w:tcPr>
          <w:p>
            <w:pPr>
              <w:spacing w:after="0" w:line="240" w:lineRule="auto"/>
              <w:jc w:val="right"/>
            </w:pPr>
            <w:r>
              <w:rPr>
                <w:color w:val="262626"/>
                <w:sz w:val="18"/>
                <w:szCs w:val="18"/>
              </w:rPr>
              <w:t xml:space="preserve">1.97</w:t>
            </w:r>
          </w:p>
        </w:tc>
      </w:tr>
      <w:tr>
        <w:tc>
          <w:tcPr>
            <w:tcW w:w="22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video switch</w:t>
            </w:r>
          </w:p>
        </w:tc>
        <w:tc>
          <w:tcPr>
            <w:tcW w:w="17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$15.19</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$15.19</w:t>
            </w:r>
          </w:p>
        </w:tc>
        <w:tc>
          <w:tcPr>
            <w:tcW w:w="18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4.20</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A6. Del lead a la inscripción por anuncio de contacto</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3600"/>
        <w:gridCol w:w="1800"/>
        <w:gridCol w:w="1900"/>
        <w:gridCol w:w="2060"/>
      </w:tblGrid>
      <w:tr>
        <w:trPr>
          <w:tblHeader/>
          <w:cantSplit/>
        </w:trPr>
        <w:tc>
          <w:tcPr>
            <w:tcW w:w="36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Anuncio de contacto (CRM)</w:t>
            </w:r>
          </w:p>
        </w:tc>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Leads</w:t>
            </w:r>
          </w:p>
        </w:tc>
        <w:tc>
          <w:tcPr>
            <w:tcW w:w="1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Clases muestra</w:t>
            </w:r>
          </w:p>
        </w:tc>
        <w:tc>
          <w:tcPr>
            <w:tcW w:w="20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 atribuibles</w:t>
            </w:r>
          </w:p>
        </w:tc>
      </w:tr>
      <w:tr>
        <w:tc>
          <w:tcPr>
            <w:tcW w:w="3600" w:type="dxa"/>
            <w:tcMar>
              <w:top w:w="60" w:type="dxa"/>
              <w:bottom w:w="60" w:type="dxa"/>
              <w:left w:w="90" w:type="dxa"/>
              <w:right w:w="90" w:type="dxa"/>
            </w:tcMar>
            <w:vAlign w:val="center"/>
          </w:tcPr>
          <w:p>
            <w:pPr>
              <w:spacing w:after="0" w:line="240" w:lineRule="auto"/>
              <w:jc w:val="left"/>
            </w:pPr>
            <w:r>
              <w:rPr>
                <w:color w:val="262626"/>
                <w:sz w:val="18"/>
                <w:szCs w:val="18"/>
              </w:rPr>
              <w:t xml:space="preserve">Reel Villas de Pachuca</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402</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53</w:t>
            </w:r>
          </w:p>
        </w:tc>
        <w:tc>
          <w:tcPr>
            <w:tcW w:w="2060" w:type="dxa"/>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r>
      <w:tr>
        <w:tc>
          <w:tcPr>
            <w:tcW w:w="3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(sin anuncio registrado)</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32</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tcMar>
              <w:top w:w="60" w:type="dxa"/>
              <w:bottom w:w="60" w:type="dxa"/>
              <w:left w:w="90" w:type="dxa"/>
              <w:right w:w="90" w:type="dxa"/>
            </w:tcMar>
            <w:vAlign w:val="center"/>
          </w:tcPr>
          <w:p>
            <w:pPr>
              <w:spacing w:after="0" w:line="240" w:lineRule="auto"/>
              <w:jc w:val="left"/>
            </w:pPr>
            <w:r>
              <w:rPr>
                <w:color w:val="262626"/>
                <w:sz w:val="18"/>
                <w:szCs w:val="18"/>
              </w:rPr>
              <w:t xml:space="preserve">Reel sin libros</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17</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Reel informativo</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8</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tcMar>
              <w:top w:w="60" w:type="dxa"/>
              <w:bottom w:w="60" w:type="dxa"/>
              <w:left w:w="90" w:type="dxa"/>
              <w:right w:w="90" w:type="dxa"/>
            </w:tcMar>
            <w:vAlign w:val="center"/>
          </w:tcPr>
          <w:p>
            <w:pPr>
              <w:spacing w:after="0" w:line="240" w:lineRule="auto"/>
              <w:jc w:val="left"/>
            </w:pPr>
            <w:r>
              <w:rPr>
                <w:color w:val="262626"/>
                <w:sz w:val="18"/>
                <w:szCs w:val="18"/>
              </w:rPr>
              <w:t xml:space="preserve">Post Grupos Abiertos</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6</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206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Post Carrete</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5</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tcMar>
              <w:top w:w="60" w:type="dxa"/>
              <w:bottom w:w="60" w:type="dxa"/>
              <w:left w:w="90" w:type="dxa"/>
              <w:right w:w="90" w:type="dxa"/>
            </w:tcMar>
            <w:vAlign w:val="center"/>
          </w:tcPr>
          <w:p>
            <w:pPr>
              <w:spacing w:after="0" w:line="240" w:lineRule="auto"/>
              <w:jc w:val="left"/>
            </w:pPr>
            <w:r>
              <w:rPr>
                <w:color w:val="262626"/>
                <w:sz w:val="18"/>
                <w:szCs w:val="18"/>
              </w:rPr>
              <w:t xml:space="preserve">Reel Testimoniales</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5</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36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Post Clase de Inglés Gratis</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c>
          <w:tcPr>
            <w:tcW w:w="20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A7. Distribución de inscripciones por programa</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5000"/>
        <w:gridCol w:w="4360"/>
      </w:tblGrid>
      <w:tr>
        <w:trPr>
          <w:tblHeader/>
          <w:cantSplit/>
        </w:trPr>
        <w:tc>
          <w:tcPr>
            <w:tcW w:w="5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Programa</w:t>
            </w:r>
          </w:p>
        </w:tc>
        <w:tc>
          <w:tcPr>
            <w:tcW w:w="4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College</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10</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Kids</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9</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Junior</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8</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Parenthood</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Sin información</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A9. Evolución semanal</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2000"/>
        <w:gridCol w:w="1800"/>
        <w:gridCol w:w="1900"/>
        <w:gridCol w:w="1900"/>
        <w:gridCol w:w="1760"/>
      </w:tblGrid>
      <w:tr>
        <w:trPr>
          <w:tblHeader/>
          <w:cantSplit/>
        </w:trPr>
        <w:tc>
          <w:tcPr>
            <w:tcW w:w="2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Semana</w:t>
            </w:r>
          </w:p>
        </w:tc>
        <w:tc>
          <w:tcPr>
            <w:tcW w:w="18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Leads</w:t>
            </w:r>
          </w:p>
        </w:tc>
        <w:tc>
          <w:tcPr>
            <w:tcW w:w="1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agendadas</w:t>
            </w:r>
          </w:p>
        </w:tc>
        <w:tc>
          <w:tcPr>
            <w:tcW w:w="19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CM realizadas</w:t>
            </w:r>
          </w:p>
        </w:tc>
        <w:tc>
          <w:tcPr>
            <w:tcW w:w="17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Inscripciones</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21/08–27/08</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35</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3</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c>
          <w:tcPr>
            <w:tcW w:w="176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r>
      <w:tr>
        <w:tc>
          <w:tcPr>
            <w:tcW w:w="2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28/08–3/09</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126</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7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9</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4/09–10/09</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122</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19</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760" w:type="dxa"/>
            <w:tcMar>
              <w:top w:w="60" w:type="dxa"/>
              <w:bottom w:w="60" w:type="dxa"/>
              <w:left w:w="90" w:type="dxa"/>
              <w:right w:w="90" w:type="dxa"/>
            </w:tcMar>
            <w:vAlign w:val="center"/>
          </w:tcPr>
          <w:p>
            <w:pPr>
              <w:spacing w:after="0" w:line="240" w:lineRule="auto"/>
              <w:jc w:val="right"/>
            </w:pPr>
            <w:r>
              <w:rPr>
                <w:color w:val="262626"/>
                <w:sz w:val="18"/>
                <w:szCs w:val="18"/>
              </w:rPr>
              <w:t xml:space="preserve">8</w:t>
            </w:r>
          </w:p>
        </w:tc>
      </w:tr>
      <w:tr>
        <w:tc>
          <w:tcPr>
            <w:tcW w:w="2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11/09–17/09</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73</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12</w:t>
            </w:r>
          </w:p>
        </w:tc>
        <w:tc>
          <w:tcPr>
            <w:tcW w:w="17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18/09–24/09</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69</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18</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760" w:type="dxa"/>
            <w:tcMar>
              <w:top w:w="60" w:type="dxa"/>
              <w:bottom w:w="60" w:type="dxa"/>
              <w:left w:w="90" w:type="dxa"/>
              <w:right w:w="90" w:type="dxa"/>
            </w:tcMar>
            <w:vAlign w:val="center"/>
          </w:tcPr>
          <w:p>
            <w:pPr>
              <w:spacing w:after="0" w:line="240" w:lineRule="auto"/>
              <w:jc w:val="right"/>
            </w:pPr>
            <w:r>
              <w:rPr>
                <w:color w:val="262626"/>
                <w:sz w:val="18"/>
                <w:szCs w:val="18"/>
              </w:rPr>
              <w:t xml:space="preserve">7</w:t>
            </w:r>
          </w:p>
        </w:tc>
      </w:tr>
      <w:tr>
        <w:tc>
          <w:tcPr>
            <w:tcW w:w="2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25/09–1/10</w:t>
            </w:r>
          </w:p>
        </w:tc>
        <w:tc>
          <w:tcPr>
            <w:tcW w:w="18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43</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c>
          <w:tcPr>
            <w:tcW w:w="190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10</w:t>
            </w:r>
          </w:p>
        </w:tc>
        <w:tc>
          <w:tcPr>
            <w:tcW w:w="17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4</w:t>
            </w:r>
          </w:p>
        </w:tc>
      </w:tr>
      <w:tr>
        <w:tc>
          <w:tcPr>
            <w:tcW w:w="2000" w:type="dxa"/>
            <w:tcMar>
              <w:top w:w="60" w:type="dxa"/>
              <w:bottom w:w="60" w:type="dxa"/>
              <w:left w:w="90" w:type="dxa"/>
              <w:right w:w="90" w:type="dxa"/>
            </w:tcMar>
            <w:vAlign w:val="center"/>
          </w:tcPr>
          <w:p>
            <w:pPr>
              <w:spacing w:after="0" w:line="240" w:lineRule="auto"/>
              <w:jc w:val="left"/>
            </w:pPr>
            <w:r>
              <w:rPr>
                <w:color w:val="262626"/>
                <w:sz w:val="18"/>
                <w:szCs w:val="18"/>
              </w:rPr>
              <w:t xml:space="preserve">2/10–4/10</w:t>
            </w:r>
          </w:p>
        </w:tc>
        <w:tc>
          <w:tcPr>
            <w:tcW w:w="1800" w:type="dxa"/>
            <w:tcMar>
              <w:top w:w="60" w:type="dxa"/>
              <w:bottom w:w="60" w:type="dxa"/>
              <w:left w:w="90" w:type="dxa"/>
              <w:right w:w="90" w:type="dxa"/>
            </w:tcMar>
            <w:vAlign w:val="center"/>
          </w:tcPr>
          <w:p>
            <w:pPr>
              <w:spacing w:after="0" w:line="240" w:lineRule="auto"/>
              <w:jc w:val="right"/>
            </w:pPr>
            <w:r>
              <w:rPr>
                <w:color w:val="262626"/>
                <w:sz w:val="18"/>
                <w:szCs w:val="18"/>
              </w:rPr>
              <w:t xml:space="preserve">9</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c>
          <w:tcPr>
            <w:tcW w:w="190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c>
          <w:tcPr>
            <w:tcW w:w="1760" w:type="dxa"/>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bl>
    <w:p>
      <w:pPr>
        <w:jc w:val="both"/>
        <w:spacing w:after="60" w:line="264" w:lineRule="auto"/>
      </w:pPr>
      <w:r>
        <w:rPr>
          <w:color w:val="262626"/>
          <w:sz w:val="20"/>
          <w:szCs w:val="20"/>
        </w:rPr>
        <w:t xml:space="preserve"/>
      </w:r>
    </w:p>
    <w:p>
      <w:pPr>
        <w:spacing w:before="80" w:after="60"/>
      </w:pPr>
      <w:r>
        <w:rPr>
          <w:b/>
          <w:color w:val="2E5C9A"/>
          <w:sz w:val="18"/>
          <w:szCs w:val="18"/>
        </w:rPr>
        <w:t xml:space="preserve">A10. Prospectos por estatus al 3 de octubre</w:t>
      </w:r>
    </w:p>
    <w:tbl>
      <w:tblPr>
        <w:tblW w:w="9360" w:type="dxa"/>
        <w:tblBorders>
          <w:top w:val="single" w:sz="4" w:color="BFBFBF"/>
          <w:left w:val="none" w:sz="0" w:color="auto"/>
          <w:bottom w:val="single" w:sz="4" w:color="BFBFBF"/>
          <w:right w:val="none" w:sz="0" w:color="auto"/>
          <w:insideH w:val="single" w:sz="2" w:color="D9D9D9"/>
          <w:insideV w:val="none" w:sz="0" w:color="auto"/>
        </w:tblBorders>
        <w:tblLayout w:type="fixed"/>
        <w:tblCellMar>
          <w:top w:w="50" w:type="dxa"/>
          <w:bottom w:w="50" w:type="dxa"/>
          <w:left w:w="90" w:type="dxa"/>
          <w:right w:w="90" w:type="dxa"/>
        </w:tblCellMar>
      </w:tblPr>
      <w:tblGrid>
        <w:gridCol w:w="5000"/>
        <w:gridCol w:w="4360"/>
      </w:tblGrid>
      <w:tr>
        <w:trPr>
          <w:tblHeader/>
          <w:cantSplit/>
        </w:trPr>
        <w:tc>
          <w:tcPr>
            <w:tcW w:w="500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Estatus homologado</w:t>
            </w:r>
          </w:p>
        </w:tc>
        <w:tc>
          <w:tcPr>
            <w:tcW w:w="4360" w:type="dxa"/>
            <w:shd w:val="clear" w:color="auto" w:fill="1F3864"/>
            <w:tcMar>
              <w:top w:w="60" w:type="dxa"/>
              <w:bottom w:w="60" w:type="dxa"/>
              <w:left w:w="90" w:type="dxa"/>
              <w:right w:w="90" w:type="dxa"/>
            </w:tcMar>
            <w:vAlign w:val="center"/>
          </w:tcPr>
          <w:p>
            <w:pPr>
              <w:spacing w:after="0" w:line="240" w:lineRule="auto"/>
              <w:jc w:val="center"/>
            </w:pPr>
            <w:r>
              <w:rPr>
                <w:b/>
                <w:color w:val="FFFFFF"/>
                <w:sz w:val="18"/>
                <w:szCs w:val="18"/>
              </w:rPr>
              <w:t xml:space="preserve">Prospectos</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Nuevo</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4</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Descubrimiento</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370</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Clase muestra agendada</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15</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Clase muestra realizada</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31</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Reprogramación</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Seguimiento</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28</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Por cerrar</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14</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Lista de espera</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0</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Sin respuesta</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2</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No interesado</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2</w:t>
            </w:r>
          </w:p>
        </w:tc>
      </w:tr>
      <w:tr>
        <w:tc>
          <w:tcPr>
            <w:tcW w:w="5000" w:type="dxa"/>
            <w:tcMar>
              <w:top w:w="60" w:type="dxa"/>
              <w:bottom w:w="60" w:type="dxa"/>
              <w:left w:w="90" w:type="dxa"/>
              <w:right w:w="90" w:type="dxa"/>
            </w:tcMar>
            <w:vAlign w:val="center"/>
          </w:tcPr>
          <w:p>
            <w:pPr>
              <w:spacing w:after="0" w:line="240" w:lineRule="auto"/>
              <w:jc w:val="left"/>
            </w:pPr>
            <w:r>
              <w:rPr>
                <w:color w:val="262626"/>
                <w:sz w:val="18"/>
                <w:szCs w:val="18"/>
              </w:rPr>
              <w:t xml:space="preserve">Inscrito / Cerrado</w:t>
            </w:r>
          </w:p>
        </w:tc>
        <w:tc>
          <w:tcPr>
            <w:tcW w:w="4360" w:type="dxa"/>
            <w:tcMar>
              <w:top w:w="60" w:type="dxa"/>
              <w:bottom w:w="60" w:type="dxa"/>
              <w:left w:w="90" w:type="dxa"/>
              <w:right w:w="90" w:type="dxa"/>
            </w:tcMar>
            <w:vAlign w:val="center"/>
          </w:tcPr>
          <w:p>
            <w:pPr>
              <w:spacing w:after="0" w:line="240" w:lineRule="auto"/>
              <w:jc w:val="right"/>
            </w:pPr>
            <w:r>
              <w:rPr>
                <w:color w:val="262626"/>
                <w:sz w:val="18"/>
                <w:szCs w:val="18"/>
              </w:rPr>
              <w:t xml:space="preserve">27</w:t>
            </w:r>
          </w:p>
        </w:tc>
      </w:tr>
      <w:tr>
        <w:tc>
          <w:tcPr>
            <w:tcW w:w="5000" w:type="dxa"/>
            <w:shd w:val="clear" w:color="auto" w:fill="F4F4F4"/>
            <w:tcMar>
              <w:top w:w="60" w:type="dxa"/>
              <w:bottom w:w="60" w:type="dxa"/>
              <w:left w:w="90" w:type="dxa"/>
              <w:right w:w="90" w:type="dxa"/>
            </w:tcMar>
            <w:vAlign w:val="center"/>
          </w:tcPr>
          <w:p>
            <w:pPr>
              <w:spacing w:after="0" w:line="240" w:lineRule="auto"/>
              <w:jc w:val="left"/>
            </w:pPr>
            <w:r>
              <w:rPr>
                <w:color w:val="262626"/>
                <w:sz w:val="18"/>
                <w:szCs w:val="18"/>
              </w:rPr>
              <w:t xml:space="preserve">Estatus por validar</w:t>
            </w:r>
          </w:p>
        </w:tc>
        <w:tc>
          <w:tcPr>
            <w:tcW w:w="4360" w:type="dxa"/>
            <w:shd w:val="clear" w:color="auto" w:fill="F4F4F4"/>
            <w:tcMar>
              <w:top w:w="60" w:type="dxa"/>
              <w:bottom w:w="60" w:type="dxa"/>
              <w:left w:w="90" w:type="dxa"/>
              <w:right w:w="90" w:type="dxa"/>
            </w:tcMar>
            <w:vAlign w:val="center"/>
          </w:tcPr>
          <w:p>
            <w:pPr>
              <w:spacing w:after="0" w:line="240" w:lineRule="auto"/>
              <w:jc w:val="right"/>
            </w:pPr>
            <w:r>
              <w:rPr>
                <w:color w:val="262626"/>
                <w:sz w:val="18"/>
                <w:szCs w:val="18"/>
              </w:rPr>
              <w:t xml:space="preserve">11</w:t>
            </w:r>
          </w:p>
        </w:tc>
      </w:tr>
    </w:tbl>
    <w:p>
      <w:pPr>
        <w:jc w:val="both"/>
        <w:spacing w:after="60" w:line="264" w:lineRule="auto"/>
      </w:pPr>
      <w:r>
        <w:rPr>
          <w:color w:val="262626"/>
          <w:sz w:val="20"/>
          <w:szCs w:val="20"/>
        </w:rPr>
        <w:t xml:space="preserve"/>
      </w:r>
    </w:p>
    <w:p>
      <w:pPr>
        <w:spacing w:after="0"/>
      </w:pPr>
    </w:p>
    <w:p>
      <w:pPr>
        <w:jc w:val="both"/>
        <w:spacing w:after="100" w:line="264" w:lineRule="auto"/>
      </w:pPr>
      <w:r>
        <w:rPr>
          <w:color w:val="595959"/>
          <w:sz w:val="16"/>
          <w:szCs w:val="16"/>
        </w:rPr>
        <w:t xml:space="preserve">Fin del reporte. Entregables complementarios: Base Maestra Campaña Septiembre 2026.xlsx · Presentación Ejecutiva — Campaña Septiembre 2026.pptx · Base de Alumnos Inscritos — Corte 03 octubre 2026.xlsx · Prospectos en Curso — Corte 03 octubre 2026.xlsx</w:t>
      </w:r>
    </w:p>
    <w:sectPr>
      <w:headerReference w:type="default" r:id="rIdHeader"/>
      <w:footerReference w:type="default" r:id="rIdFooter"/>
      <w:pgSz w:w="12240" w:h="15840"/>
      <w:pgMar w:top="1300" w:right="1440" w:bottom="1200" w:left="1440" w:header="708" w:footer="708" w:gutter="0"/>
      <w:titlePg/>
      <w:docGrid w:linePitch="360"/>
    </w:sectPr>
  </w:body>
</w:document>
</file>

<file path=word/footer1.xml><?xml version="1.0" encoding="utf-8"?>
<w:ftr xmlns:w="http://schemas.openxmlformats.org/wordprocessingml/2006/main">
  <w:p>
    <w:pPr>
      <w:jc w:val="center"/>
      <w:pBdr>
        <w:top w:val="single" w:sz="4" w:color="D9D9D9"/>
      </w:pBdr>
      <w:spacing w:before="60" w:after="0"/>
    </w:pPr>
    <w:r>
      <w:rPr>
        <w:color w:val="808080"/>
        <w:sz w:val="15"/>
      </w:rPr>
      <w:t xml:space="preserve">Kugelman Academy · Campaña Septiembre 2026 (21 ago – 4 oct) · Página </w:t>
    </w:r>
    <w:r>
      <w:rPr>
        <w:color w:val="808080"/>
        <w:sz w:val="15"/>
      </w:rPr>
      <w:fldChar w:fldCharType="begin"/>
    </w:r>
    <w:r>
      <w:rPr>
        <w:color w:val="808080"/>
        <w:sz w:val="15"/>
      </w:rPr>
      <w:instrText xml:space="preserve"> PAGE </w:instrText>
    </w:r>
    <w:r>
      <w:rPr>
        <w:color w:val="808080"/>
        <w:sz w:val="15"/>
      </w:rPr>
      <w:fldChar w:fldCharType="separate"/>
    </w:r>
    <w:r>
      <w:rPr>
        <w:color w:val="808080"/>
        <w:sz w:val="15"/>
      </w:rPr>
      <w:t>1</w:t>
    </w:r>
    <w:r>
      <w:rPr>
        <w:color w:val="808080"/>
        <w:sz w:val="15"/>
      </w:rPr>
      <w:fldChar w:fldCharType="end"/>
    </w:r>
  </w:p>
</w:ftr>
</file>

<file path=word/header1.xml><?xml version="1.0" encoding="utf-8"?>
<w:hdr xmlns:w="http://schemas.openxmlformats.org/wordprocessingml/2006/main">
  <w:p>
    <w:pPr>
      <w:jc w:val="right"/>
      <w:spacing w:after="0"/>
    </w:pPr>
    <w:r>
      <w:rPr>
        <w:color w:val="9A9A9A"/>
        <w:sz w:val="15"/>
        <w:caps/>
      </w:rPr>
      <w:t xml:space="preserve">Reporte Campaña Septiembre 2026 — Kugelman Academy</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20"/>
      </w:pPr>
      <w:rPr>
        <w:rFonts w:ascii="Calibri" w:hAnsi="Calibri" w:hint="default"/>
        <w:color w:val="2E5C9A"/>
      </w:rPr>
    </w:lvl>
    <w:lvl w:ilvl="1">
      <w:start w:val="1"/>
      <w:numFmt w:val="bullet"/>
      <w:lvlText w:val="–"/>
      <w:lvlJc w:val="left"/>
      <w:pPr>
        <w:ind w:left="720" w:hanging="220"/>
      </w:pPr>
      <w:rPr>
        <w:rFonts w:ascii="Calibri" w:hAnsi="Calibri" w:hint="default"/>
      </w:rPr>
    </w:lvl>
  </w:abstractNum>
  <w:abstractNum w:abstractNumId="1">
    <w:multiLevelType w:val="hybridMultilevel"/>
    <w:lvl w:ilvl="0">
      <w:start w:val="1"/>
      <w:numFmt w:val="decimal"/>
      <w:lvlText w:val="%1."/>
      <w:lvlJc w:val="left"/>
      <w:pPr>
        <w:ind w:left="360" w:hanging="260"/>
      </w:pPr>
      <w:rPr>
        <w:b/>
        <w:color w:val="2E5C9A"/>
      </w:rPr>
    </w:lvl>
  </w:abstractNum>
  <w:num w:numId="1">
    <w:abstractNumId w:val="0"/>
  </w:num>
  <w:num w:numId="2">
    <w:abstractNumId w:val="1"/>
  </w:num>
</w:numbering>
</file>

<file path=word/settings.xml><?xml version="1.0" encoding="utf-8"?>
<w:settings xmlns:w="http://schemas.openxmlformats.org/wordprocessingml/2006/main">
  <w:zoom w:percent="110"/>
  <w:defaultTabStop w:val="708"/>
  <w:characterSpacingControl w:val="doNotCompress"/>
  <w:compat>
    <w:compatSetting w:name="compatibilityMode" w:uri="http://schemas.microsoft.com/office/word" w:val="15"/>
  </w:compat>
  <w:themeFontLang w:val="es-MX"/>
</w:settings>
</file>

<file path=word/styles.xml><?xml version="1.0" encoding="utf-8"?>
<w:styles xmlns:w="http://schemas.openxmlformats.org/wordprocessingml/2006/main">
  <w:docDefaults>
    <w:rPrDefault>
      <w:rPr>
        <w:rFonts w:ascii="Calibri" w:hAnsi="Calibri" w:cs="Calibri"/>
        <w:sz w:val="20"/>
        <w:szCs w:val="20"/>
        <w:lang w:val="es-MX"/>
      </w:rPr>
    </w:rPrDefault>
    <w:pPrDefault>
      <w:pPr>
        <w:spacing w:after="120" w:line="264" w:lineRule="auto"/>
      </w:pPr>
    </w:pPrDefault>
  </w:docDefaults>
  <w:style w:type="paragraph" w:default="1" w:styleId="Normal">
    <w:name w:val="Normal"/>
    <w:qFormat/>
  </w:style>
  <w:style w:type="paragraph" w:styleId="Titulo1">
    <w:name w:val="heading 1"/>
    <w:basedOn w:val="Normal"/>
    <w:next w:val="Normal"/>
    <w:qFormat/>
    <w:pPr>
      <w:keepNext/>
      <w:outlineLvl w:val="0"/>
      <w:pBdr>
        <w:bottom w:val="single" w:sz="10" w:color="1F3864"/>
      </w:pBdr>
      <w:spacing w:before="320" w:after="160"/>
    </w:pPr>
    <w:rPr>
      <w:rFonts w:ascii="Calibri Light" w:hAnsi="Calibri Light"/>
      <w:b/>
      <w:color w:val="1F3864"/>
      <w:sz w:val="30"/>
      <w:szCs w:val="30"/>
    </w:rPr>
  </w:style>
  <w:style w:type="paragraph" w:styleId="Titulo2">
    <w:name w:val="heading 2"/>
    <w:basedOn w:val="Normal"/>
    <w:next w:val="Normal"/>
    <w:qFormat/>
    <w:pPr>
      <w:keepNext/>
      <w:outlineLvl w:val="1"/>
      <w:spacing w:before="240" w:after="100"/>
    </w:pPr>
    <w:rPr>
      <w:b/>
      <w:color w:val="2E5C9A"/>
      <w:sz w:val="24"/>
      <w:szCs w:val="24"/>
    </w:rPr>
  </w:style>
  <w:style w:type="paragraph" w:styleId="Titulo3">
    <w:name w:val="heading 3"/>
    <w:basedOn w:val="Normal"/>
    <w:next w:val="Normal"/>
    <w:qFormat/>
    <w:pPr>
      <w:keepNext/>
      <w:outlineLvl w:val="2"/>
      <w:spacing w:before="180" w:after="80"/>
    </w:pPr>
    <w:rPr>
      <w:b/>
      <w:color w:val="404040"/>
      <w:sz w:val="21"/>
      <w:szCs w:val="21"/>
    </w:rPr>
  </w:style>
  <w:style w:type="paragraph" w:styleId="Vineta">
    <w:name w:val="Lista con viñetas"/>
    <w:basedOn w:val="Normal"/>
    <w:qFormat/>
    <w:pPr>
      <w:ind w:left="360" w:hanging="22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 Id="rIdTheme" Type="http://schemas.openxmlformats.org/officeDocument/2006/relationships/theme" Target="theme/theme1.xml"/><Relationship Id="rIdFooter" Type="http://schemas.openxmlformats.org/officeDocument/2006/relationships/footer" Target="footer1.xml"/><Relationship Id="rIdHeader" Type="http://schemas.openxmlformats.org/officeDocument/2006/relationships/header" Target="header1.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 Id="rIdChart5" Type="http://schemas.openxmlformats.org/officeDocument/2006/relationships/chart" Target="charts/chart5.xml"/><Relationship Id="rIdChart6" Type="http://schemas.openxmlformats.org/officeDocument/2006/relationships/chart" Target="charts/chart6.xml"/><Relationship Id="rIdChart7" Type="http://schemas.openxmlformats.org/officeDocument/2006/relationships/chart" Target="charts/chart7.xml"/><Relationship Id="rIdChart8" Type="http://schemas.openxmlformats.org/officeDocument/2006/relationships/chart" Target="charts/chart8.xml"/></Relationships>
</file>

<file path=word/charts/_rels/chart1.xml.rels><?xml version="1.0" encoding="UTF-8" standalone="yes"?><Relationships xmlns="http://schemas.openxmlformats.org/package/2006/relationships"><Relationship Id="rIdData" Type="http://schemas.openxmlformats.org/officeDocument/2006/relationships/package" Target="../embeddings/DatosGrafico1.xlsx"/></Relationships>
</file>

<file path=word/charts/_rels/chart2.xml.rels><?xml version="1.0" encoding="UTF-8" standalone="yes"?><Relationships xmlns="http://schemas.openxmlformats.org/package/2006/relationships"><Relationship Id="rIdData" Type="http://schemas.openxmlformats.org/officeDocument/2006/relationships/package" Target="../embeddings/DatosGrafico2.xlsx"/></Relationships>
</file>

<file path=word/charts/_rels/chart3.xml.rels><?xml version="1.0" encoding="UTF-8" standalone="yes"?><Relationships xmlns="http://schemas.openxmlformats.org/package/2006/relationships"><Relationship Id="rIdData" Type="http://schemas.openxmlformats.org/officeDocument/2006/relationships/package" Target="../embeddings/DatosGrafico3.xlsx"/></Relationships>
</file>

<file path=word/charts/_rels/chart4.xml.rels><?xml version="1.0" encoding="UTF-8" standalone="yes"?><Relationships xmlns="http://schemas.openxmlformats.org/package/2006/relationships"><Relationship Id="rIdData" Type="http://schemas.openxmlformats.org/officeDocument/2006/relationships/package" Target="../embeddings/DatosGrafico4.xlsx"/></Relationships>
</file>

<file path=word/charts/_rels/chart5.xml.rels><?xml version="1.0" encoding="UTF-8" standalone="yes"?><Relationships xmlns="http://schemas.openxmlformats.org/package/2006/relationships"><Relationship Id="rIdData" Type="http://schemas.openxmlformats.org/officeDocument/2006/relationships/package" Target="../embeddings/DatosGrafico5.xlsx"/></Relationships>
</file>

<file path=word/charts/_rels/chart6.xml.rels><?xml version="1.0" encoding="UTF-8" standalone="yes"?><Relationships xmlns="http://schemas.openxmlformats.org/package/2006/relationships"><Relationship Id="rIdData" Type="http://schemas.openxmlformats.org/officeDocument/2006/relationships/package" Target="../embeddings/DatosGrafico6.xlsx"/></Relationships>
</file>

<file path=word/charts/_rels/chart7.xml.rels><?xml version="1.0" encoding="UTF-8" standalone="yes"?><Relationships xmlns="http://schemas.openxmlformats.org/package/2006/relationships"><Relationship Id="rIdData" Type="http://schemas.openxmlformats.org/officeDocument/2006/relationships/package" Target="../embeddings/DatosGrafico7.xlsx"/></Relationships>
</file>

<file path=word/charts/_rels/chart8.xml.rels><?xml version="1.0" encoding="UTF-8" standalone="yes"?><Relationships xmlns="http://schemas.openxmlformats.org/package/2006/relationships"><Relationship Id="rIdData" Type="http://schemas.openxmlformats.org/officeDocument/2006/relationships/package" Target="../embeddings/DatosGrafico8.xlsx"/></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Funnel comercial de la campaña</a:t>
            </a:r>
          </a:p>
        </c:rich>
      </c:tx>
      <c:overlay val="0"/>
    </c:title>
    <c:autoTitleDeleted val="0"/>
    <c:plotArea>
      <c:layout/>
      <c:barChart>
        <c:barDir val="bar"/>
        <c:grouping val="clustered"/>
        <c:varyColors val="0"/>
        <c:ser>
          <c:idx val="0"/>
          <c:order val="0"/>
          <c:tx>
            <c:v>Personas / eventos</c:v>
          </c:tx>
          <c:spPr>
            <a:solidFill>
              <a:srgbClr val="1F3864"/>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Hoja1!$A$2:$A$6</c:f>
              <c:strCache>
                <c:ptCount val="5"/>
                <c:pt idx="0">
                  <c:v>Conversaciones Meta</c:v>
                </c:pt>
                <c:pt idx="1">
                  <c:v>Leads (personas)</c:v>
                </c:pt>
                <c:pt idx="2">
                  <c:v>CM agendadas</c:v>
                </c:pt>
                <c:pt idx="3">
                  <c:v>CM realizadas</c:v>
                </c:pt>
                <c:pt idx="4">
                  <c:v>Inscripciones</c:v>
                </c:pt>
              </c:strCache>
            </c:strRef>
          </c:cat>
          <c:val>
            <c:numRef>
              <c:f>Hoja1!$B$2:$B$6</c:f>
              <c:numCache>
                <c:formatCode>General</c:formatCode>
                <c:ptCount val="5"/>
                <c:pt idx="0">
                  <c:v>565</c:v>
                </c:pt>
                <c:pt idx="1">
                  <c:v>477</c:v>
                </c:pt>
                <c:pt idx="2">
                  <c:v>91</c:v>
                </c:pt>
                <c:pt idx="3">
                  <c:v>67</c:v>
                </c:pt>
                <c:pt idx="4">
                  <c:v>30</c:v>
                </c:pt>
              </c:numCache>
            </c:numRef>
          </c:val>
        </c:ser>
        <c:gapWidth val="60"/>
        <c:overlap val="0"/>
        <c:axId val="111111111"/>
        <c:axId val="222222222"/>
      </c:barChart>
      <c:catAx>
        <c:axId val="111111111"/>
        <c:scaling>
          <c:orientation val="minMax"/>
        </c:scaling>
        <c:delete val="0"/>
        <c:axPos val="l"/>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b"/>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Conversión por etapa del embudo</a:t>
            </a:r>
          </a:p>
        </c:rich>
      </c:tx>
      <c:overlay val="0"/>
    </c:title>
    <c:autoTitleDeleted val="0"/>
    <c:plotArea>
      <c:layout/>
      <c:barChart>
        <c:barDir val="col"/>
        <c:grouping val="clustered"/>
        <c:varyColors val="0"/>
        <c:ser>
          <c:idx val="0"/>
          <c:order val="0"/>
          <c:tx>
            <c:v>Conversión</c:v>
          </c:tx>
          <c:spPr>
            <a:solidFill>
              <a:srgbClr val="2E8BC0"/>
            </a:solidFill>
            <a:ln>
              <a:noFill/>
            </a:ln>
          </c:spPr>
          <c:dLbls>
            <c:numFmt formatCode="0.0&quot;%&quot;"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Hoja1!$A$2:$A$5</c:f>
              <c:strCache>
                <c:ptCount val="4"/>
                <c:pt idx="0">
                  <c:v>Lead → CM
agendada</c:v>
                </c:pt>
                <c:pt idx="1">
                  <c:v>CM agendada →
realizada</c:v>
                </c:pt>
                <c:pt idx="2">
                  <c:v>CM realizada →
inscripción</c:v>
                </c:pt>
                <c:pt idx="3">
                  <c:v>Lead →
inscripción</c:v>
                </c:pt>
              </c:strCache>
            </c:strRef>
          </c:cat>
          <c:val>
            <c:numRef>
              <c:f>Hoja1!$B$2:$B$5</c:f>
              <c:numCache>
                <c:formatCode>0.0"%"</c:formatCode>
                <c:ptCount val="4"/>
                <c:pt idx="0">
                  <c:v>19.1</c:v>
                </c:pt>
                <c:pt idx="1">
                  <c:v>73.6</c:v>
                </c:pt>
                <c:pt idx="2">
                  <c:v>46.2</c:v>
                </c:pt>
                <c:pt idx="3">
                  <c:v>6.3</c:v>
                </c:pt>
              </c:numCache>
            </c:numRef>
          </c:val>
        </c:ser>
        <c:gapWidth val="60"/>
        <c:overlap val="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0.0&quot;%&quot;"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Clases muestra: agendadas → realizadas → inscripciones</a:t>
            </a:r>
          </a:p>
        </c:rich>
      </c:tx>
      <c:overlay val="0"/>
    </c:title>
    <c:autoTitleDeleted val="0"/>
    <c:plotArea>
      <c:layout/>
      <c:barChart>
        <c:barDir val="col"/>
        <c:grouping val="clustered"/>
        <c:varyColors val="0"/>
        <c:ser>
          <c:idx val="0"/>
          <c:order val="0"/>
          <c:tx>
            <c:v>Clases muestra</c:v>
          </c:tx>
          <c:spPr>
            <a:solidFill>
              <a:srgbClr val="1F3864"/>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Hoja1!$A$2:$A$4</c:f>
              <c:strCache>
                <c:ptCount val="3"/>
                <c:pt idx="0">
                  <c:v>Agendadas</c:v>
                </c:pt>
                <c:pt idx="1">
                  <c:v>Realizadas</c:v>
                </c:pt>
                <c:pt idx="2">
                  <c:v>Con inscripción</c:v>
                </c:pt>
              </c:strCache>
            </c:strRef>
          </c:cat>
          <c:val>
            <c:numRef>
              <c:f>Hoja1!$B$2:$B$4</c:f>
              <c:numCache>
                <c:formatCode>General</c:formatCode>
                <c:ptCount val="3"/>
                <c:pt idx="0">
                  <c:v>91</c:v>
                </c:pt>
                <c:pt idx="1">
                  <c:v>67</c:v>
                </c:pt>
                <c:pt idx="2">
                  <c:v>31</c:v>
                </c:pt>
              </c:numCache>
            </c:numRef>
          </c:val>
        </c:ser>
        <c:gapWidth val="60"/>
        <c:overlap val="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Volumen frente a eficiencia por anuncio</a:t>
            </a:r>
          </a:p>
        </c:rich>
      </c:tx>
      <c:overlay val="0"/>
    </c:title>
    <c:autoTitleDeleted val="0"/>
    <c:plotArea>
      <c:layout/>
      <c:barChart>
        <c:barDir val="col"/>
        <c:grouping val="clustered"/>
        <c:varyColors val="0"/>
        <c:ser>
          <c:idx val="0"/>
          <c:order val="0"/>
          <c:tx>
            <c:v>Conversaciones</c:v>
          </c:tx>
          <c:spPr>
            <a:solidFill>
              <a:srgbClr val="1F3864"/>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Hoja1!$A$2:$A$9</c:f>
              <c:strCache>
                <c:ptCount val="8"/>
                <c:pt idx="0">
                  <c:v>video villas</c:v>
                </c:pt>
                <c:pt idx="1">
                  <c:v>video sin libros</c:v>
                </c:pt>
                <c:pt idx="2">
                  <c:v>post grupos</c:v>
                </c:pt>
                <c:pt idx="3">
                  <c:v>video testimoniales</c:v>
                </c:pt>
                <c:pt idx="4">
                  <c:v>video clases</c:v>
                </c:pt>
                <c:pt idx="5">
                  <c:v>carrete</c:v>
                </c:pt>
                <c:pt idx="6">
                  <c:v>post clase</c:v>
                </c:pt>
                <c:pt idx="7">
                  <c:v>video switch</c:v>
                </c:pt>
              </c:strCache>
            </c:strRef>
          </c:cat>
          <c:val>
            <c:numRef>
              <c:f>Hoja1!$B$2:$B$9</c:f>
              <c:numCache>
                <c:formatCode>General</c:formatCode>
                <c:ptCount val="8"/>
                <c:pt idx="0">
                  <c:v>491</c:v>
                </c:pt>
                <c:pt idx="1">
                  <c:v>39</c:v>
                </c:pt>
                <c:pt idx="2">
                  <c:v>11</c:v>
                </c:pt>
                <c:pt idx="3">
                  <c:v>11</c:v>
                </c:pt>
                <c:pt idx="4">
                  <c:v>7</c:v>
                </c:pt>
                <c:pt idx="5">
                  <c:v>4</c:v>
                </c:pt>
                <c:pt idx="6">
                  <c:v>1</c:v>
                </c:pt>
                <c:pt idx="7">
                  <c:v>1</c:v>
                </c:pt>
              </c:numCache>
            </c:numRef>
          </c:val>
        </c:ser>
        <c:gapWidth val="60"/>
        <c:overlap val="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Costo por conversación (MXN) — menor es mejor</a:t>
            </a:r>
          </a:p>
        </c:rich>
      </c:tx>
      <c:overlay val="0"/>
    </c:title>
    <c:autoTitleDeleted val="0"/>
    <c:plotArea>
      <c:layout/>
      <c:barChart>
        <c:barDir val="col"/>
        <c:grouping val="clustered"/>
        <c:varyColors val="0"/>
        <c:ser>
          <c:idx val="0"/>
          <c:order val="0"/>
          <c:tx>
            <c:v>Costo por conversación</c:v>
          </c:tx>
          <c:spPr>
            <a:solidFill>
              <a:srgbClr val="E0A030"/>
            </a:solidFill>
            <a:ln>
              <a:noFill/>
            </a:ln>
          </c:spPr>
          <c:dLbls>
            <c:numFmt formatCode="&quot;$&quot;#,##0.00"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Hoja1!$A$2:$A$9</c:f>
              <c:strCache>
                <c:ptCount val="8"/>
                <c:pt idx="0">
                  <c:v>video villas</c:v>
                </c:pt>
                <c:pt idx="1">
                  <c:v>video switch</c:v>
                </c:pt>
                <c:pt idx="2">
                  <c:v>video sin libros</c:v>
                </c:pt>
                <c:pt idx="3">
                  <c:v>video testimoniales</c:v>
                </c:pt>
                <c:pt idx="4">
                  <c:v>post clase</c:v>
                </c:pt>
                <c:pt idx="5">
                  <c:v>post grupos</c:v>
                </c:pt>
                <c:pt idx="6">
                  <c:v>carrete</c:v>
                </c:pt>
                <c:pt idx="7">
                  <c:v>video clases</c:v>
                </c:pt>
              </c:strCache>
            </c:strRef>
          </c:cat>
          <c:val>
            <c:numRef>
              <c:f>Hoja1!$B$2:$B$9</c:f>
              <c:numCache>
                <c:formatCode>"$"#,##0.00</c:formatCode>
                <c:ptCount val="8"/>
                <c:pt idx="0">
                  <c:v>9.98</c:v>
                </c:pt>
                <c:pt idx="1">
                  <c:v>15.19</c:v>
                </c:pt>
                <c:pt idx="2">
                  <c:v>19.09</c:v>
                </c:pt>
                <c:pt idx="3">
                  <c:v>28.09</c:v>
                </c:pt>
                <c:pt idx="4">
                  <c:v>29.13</c:v>
                </c:pt>
                <c:pt idx="5">
                  <c:v>36.61</c:v>
                </c:pt>
                <c:pt idx="6">
                  <c:v>44.99</c:v>
                </c:pt>
                <c:pt idx="7">
                  <c:v>59.65</c:v>
                </c:pt>
              </c:numCache>
            </c:numRef>
          </c:val>
        </c:ser>
        <c:gapWidth val="60"/>
        <c:overlap val="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quot;$&quot;#,##0.00"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Clases muestra e inscripciones por programa</a:t>
            </a:r>
          </a:p>
        </c:rich>
      </c:tx>
      <c:overlay val="0"/>
    </c:title>
    <c:autoTitleDeleted val="0"/>
    <c:plotArea>
      <c:layout/>
      <c:barChart>
        <c:barDir val="col"/>
        <c:grouping val="clustered"/>
        <c:varyColors val="0"/>
        <c:ser>
          <c:idx val="0"/>
          <c:order val="0"/>
          <c:tx>
            <c:v>CM agendadas</c:v>
          </c:tx>
          <c:spPr>
            <a:solidFill>
              <a:srgbClr val="1F3864"/>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Hoja1!$A$2:$A$6</c:f>
              <c:strCache>
                <c:ptCount val="5"/>
                <c:pt idx="0">
                  <c:v>College</c:v>
                </c:pt>
                <c:pt idx="1">
                  <c:v>Kids</c:v>
                </c:pt>
                <c:pt idx="2">
                  <c:v>Junior</c:v>
                </c:pt>
                <c:pt idx="3">
                  <c:v>Parenthood</c:v>
                </c:pt>
                <c:pt idx="4">
                  <c:v>Sin información</c:v>
                </c:pt>
              </c:strCache>
            </c:strRef>
          </c:cat>
          <c:val>
            <c:numRef>
              <c:f>Hoja1!$B$2:$B$6</c:f>
              <c:numCache>
                <c:formatCode>General</c:formatCode>
                <c:ptCount val="5"/>
                <c:pt idx="0">
                  <c:v>35</c:v>
                </c:pt>
                <c:pt idx="1">
                  <c:v>26</c:v>
                </c:pt>
                <c:pt idx="2">
                  <c:v>21</c:v>
                </c:pt>
                <c:pt idx="3">
                  <c:v>7</c:v>
                </c:pt>
                <c:pt idx="4">
                  <c:v>2</c:v>
                </c:pt>
              </c:numCache>
            </c:numRef>
          </c:val>
        </c:ser>
        <c:ser>
          <c:idx val="1"/>
          <c:order val="1"/>
          <c:tx>
            <c:v>CM realizadas</c:v>
          </c:tx>
          <c:spPr>
            <a:solidFill>
              <a:srgbClr val="2E8BC0"/>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Hoja1!$A$2:$A$6</c:f>
              <c:strCache>
                <c:ptCount val="5"/>
                <c:pt idx="0">
                  <c:v>College</c:v>
                </c:pt>
                <c:pt idx="1">
                  <c:v>Kids</c:v>
                </c:pt>
                <c:pt idx="2">
                  <c:v>Junior</c:v>
                </c:pt>
                <c:pt idx="3">
                  <c:v>Parenthood</c:v>
                </c:pt>
                <c:pt idx="4">
                  <c:v>Sin información</c:v>
                </c:pt>
              </c:strCache>
            </c:strRef>
          </c:cat>
          <c:val>
            <c:numRef>
              <c:f>Hoja1!$C$2:$C$6</c:f>
              <c:numCache>
                <c:formatCode>General</c:formatCode>
                <c:ptCount val="5"/>
                <c:pt idx="0">
                  <c:v>25</c:v>
                </c:pt>
                <c:pt idx="1">
                  <c:v>17</c:v>
                </c:pt>
                <c:pt idx="2">
                  <c:v>17</c:v>
                </c:pt>
                <c:pt idx="3">
                  <c:v>6</c:v>
                </c:pt>
                <c:pt idx="4">
                  <c:v>2</c:v>
                </c:pt>
              </c:numCache>
            </c:numRef>
          </c:val>
        </c:ser>
        <c:ser>
          <c:idx val="2"/>
          <c:order val="2"/>
          <c:tx>
            <c:v>Inscripciones</c:v>
          </c:tx>
          <c:spPr>
            <a:solidFill>
              <a:srgbClr val="E0A030"/>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Hoja1!$A$2:$A$6</c:f>
              <c:strCache>
                <c:ptCount val="5"/>
                <c:pt idx="0">
                  <c:v>College</c:v>
                </c:pt>
                <c:pt idx="1">
                  <c:v>Kids</c:v>
                </c:pt>
                <c:pt idx="2">
                  <c:v>Junior</c:v>
                </c:pt>
                <c:pt idx="3">
                  <c:v>Parenthood</c:v>
                </c:pt>
                <c:pt idx="4">
                  <c:v>Sin información</c:v>
                </c:pt>
              </c:strCache>
            </c:strRef>
          </c:cat>
          <c:val>
            <c:numRef>
              <c:f>Hoja1!$D$2:$D$6</c:f>
              <c:numCache>
                <c:formatCode>General</c:formatCode>
                <c:ptCount val="5"/>
                <c:pt idx="0">
                  <c:v>10</c:v>
                </c:pt>
                <c:pt idx="1">
                  <c:v>9</c:v>
                </c:pt>
                <c:pt idx="2">
                  <c:v>8</c:v>
                </c:pt>
                <c:pt idx="3">
                  <c:v>3</c:v>
                </c:pt>
                <c:pt idx="4">
                  <c:v>2</c:v>
                </c:pt>
              </c:numCache>
            </c:numRef>
          </c:val>
        </c:ser>
        <c:gapWidth val="60"/>
        <c:overlap val="-20"/>
        <c:axId val="111111111"/>
        <c:axId val="222222222"/>
      </c:bar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legend>
      <c:legendPos val="b"/>
      <c:overlay val="0"/>
      <c:txPr>
        <a:bodyPr/>
        <a:lstStyle/>
        <a:p>
          <a:pPr>
            <a:defRPr sz="900"/>
          </a:pPr>
          <a:endParaRPr lang="es-MX"/>
        </a:p>
      </c:txPr>
    </c:legend>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Prospectos por estatus al corte del 3 de octubre</a:t>
            </a:r>
          </a:p>
        </c:rich>
      </c:tx>
      <c:overlay val="0"/>
    </c:title>
    <c:autoTitleDeleted val="0"/>
    <c:plotArea>
      <c:layout/>
      <c:barChart>
        <c:barDir val="bar"/>
        <c:grouping val="clustered"/>
        <c:varyColors val="0"/>
        <c:ser>
          <c:idx val="0"/>
          <c:order val="0"/>
          <c:tx>
            <c:v>Prospectos</c:v>
          </c:tx>
          <c:spPr>
            <a:solidFill>
              <a:srgbClr val="2E5C9A"/>
            </a:solidFill>
            <a:ln>
              <a:noFill/>
            </a:ln>
          </c:spPr>
          <c:dLbls>
            <c:numFmt formatCode="General" sourceLinked="0"/>
            <c:spPr>
              <a:noFill/>
              <a:ln>
                <a:noFill/>
              </a:ln>
            </c:spPr>
            <c:txPr>
              <a:bodyPr/>
              <a:lstStyle/>
              <a:p>
                <a:pPr>
                  <a:defRPr sz="900" b="1"/>
                </a:pPr>
                <a:endParaRPr lang="es-MX"/>
              </a:p>
            </c:txPr>
            <c:dLblPos val="outEnd"/>
            <c:showLegendKey val="0"/>
            <c:showVal val="1"/>
            <c:showCatName val="0"/>
            <c:showSerName val="0"/>
            <c:showPercent val="0"/>
            <c:showBubbleSize val="0"/>
          </c:dLbls>
          <c:cat>
            <c:strRef>
              <c:f>Hoja1!$A$2:$A$12</c:f>
              <c:strCache>
                <c:ptCount val="11"/>
                <c:pt idx="0">
                  <c:v>Nuevo</c:v>
                </c:pt>
                <c:pt idx="1">
                  <c:v>Descubrimiento</c:v>
                </c:pt>
                <c:pt idx="2">
                  <c:v>Clase muestra agendada</c:v>
                </c:pt>
                <c:pt idx="3">
                  <c:v>Clase muestra realizada</c:v>
                </c:pt>
                <c:pt idx="4">
                  <c:v>Reprogramación</c:v>
                </c:pt>
                <c:pt idx="5">
                  <c:v>Seguimiento</c:v>
                </c:pt>
                <c:pt idx="6">
                  <c:v>Por cerrar</c:v>
                </c:pt>
                <c:pt idx="7">
                  <c:v>Sin respuesta</c:v>
                </c:pt>
                <c:pt idx="8">
                  <c:v>No interesado</c:v>
                </c:pt>
                <c:pt idx="9">
                  <c:v>Inscrito / Cerrado</c:v>
                </c:pt>
                <c:pt idx="10">
                  <c:v>Estatus por validar</c:v>
                </c:pt>
              </c:strCache>
            </c:strRef>
          </c:cat>
          <c:val>
            <c:numRef>
              <c:f>Hoja1!$B$2:$B$12</c:f>
              <c:numCache>
                <c:formatCode>General</c:formatCode>
                <c:ptCount val="11"/>
                <c:pt idx="0">
                  <c:v>4</c:v>
                </c:pt>
                <c:pt idx="1">
                  <c:v>370</c:v>
                </c:pt>
                <c:pt idx="2">
                  <c:v>15</c:v>
                </c:pt>
                <c:pt idx="3">
                  <c:v>31</c:v>
                </c:pt>
                <c:pt idx="4">
                  <c:v>1</c:v>
                </c:pt>
                <c:pt idx="5">
                  <c:v>28</c:v>
                </c:pt>
                <c:pt idx="6">
                  <c:v>14</c:v>
                </c:pt>
                <c:pt idx="7">
                  <c:v>2</c:v>
                </c:pt>
                <c:pt idx="8">
                  <c:v>2</c:v>
                </c:pt>
                <c:pt idx="9">
                  <c:v>27</c:v>
                </c:pt>
                <c:pt idx="10">
                  <c:v>11</c:v>
                </c:pt>
              </c:numCache>
            </c:numRef>
          </c:val>
        </c:ser>
        <c:gapWidth val="60"/>
        <c:overlap val="0"/>
        <c:axId val="111111111"/>
        <c:axId val="222222222"/>
      </c:barChart>
      <c:catAx>
        <c:axId val="111111111"/>
        <c:scaling>
          <c:orientation val="minMax"/>
        </c:scaling>
        <c:delete val="0"/>
        <c:axPos val="l"/>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b"/>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roundedCorners val="0"/>
  <c:chart>
    <c:title>
      <c:tx>
        <c:rich>
          <a:bodyPr/>
          <a:lstStyle/>
          <a:p>
            <a:pPr>
              <a:defRPr sz="1200" b="1">
                <a:solidFill>
                  <a:srgbClr val="1F3864"/>
                </a:solidFill>
              </a:defRPr>
            </a:pPr>
            <a:r>
              <a:rPr lang="es-MX" sz="1200" b="1">
                <a:solidFill>
                  <a:srgbClr val="1F3864"/>
                </a:solidFill>
              </a:rPr>
              <a:t>Evolución semanal: leads, clases muestra e inscripciones</a:t>
            </a:r>
          </a:p>
        </c:rich>
      </c:tx>
      <c:overlay val="0"/>
    </c:title>
    <c:autoTitleDeleted val="0"/>
    <c:plotArea>
      <c:layout/>
      <c:lineChart>
        <c:grouping val="standard"/>
        <c:varyColors val="0"/>
        <c:ser>
          <c:idx val="0"/>
          <c:order val="0"/>
          <c:tx>
            <c:v>Leads</c:v>
          </c:tx>
          <c:spPr>
            <a:ln w="28575" cap="rnd">
              <a:solidFill>
                <a:srgbClr val="1F3864"/>
              </a:solidFill>
              <a:round/>
            </a:ln>
          </c:spPr>
          <c:marker>
            <c:symbol val="circle"/>
            <c:size val="5"/>
            <c:spPr>
              <a:solidFill>
                <a:srgbClr val="1F3864"/>
              </a:solidFill>
            </c:spPr>
          </c:marker>
          <c:dLbls>
            <c:numFmt formatCode="General" sourceLinked="0"/>
            <c:spPr>
              <a:noFill/>
              <a:ln>
                <a:noFill/>
              </a:ln>
            </c:spPr>
            <c:txPr>
              <a:bodyPr/>
              <a:lstStyle/>
              <a:p>
                <a:pPr>
                  <a:defRPr sz="900" b="1"/>
                </a:pPr>
                <a:endParaRPr lang="es-MX"/>
              </a:p>
            </c:txPr>
            <c:dLblPos val="t"/>
            <c:showLegendKey val="0"/>
            <c:showVal val="1"/>
            <c:showCatName val="0"/>
            <c:showSerName val="0"/>
            <c:showPercent val="0"/>
            <c:showBubbleSize val="0"/>
          </c:dLbls>
          <c:cat>
            <c:strRef>
              <c:f>Hoja1!$A$2:$A$8</c:f>
              <c:strCache>
                <c:ptCount val="7"/>
                <c:pt idx="0">
                  <c:v>21/08–27/08</c:v>
                </c:pt>
                <c:pt idx="1">
                  <c:v>28/08–3/09</c:v>
                </c:pt>
                <c:pt idx="2">
                  <c:v>4/09–10/09</c:v>
                </c:pt>
                <c:pt idx="3">
                  <c:v>11/09–17/09</c:v>
                </c:pt>
                <c:pt idx="4">
                  <c:v>18/09–24/09</c:v>
                </c:pt>
                <c:pt idx="5">
                  <c:v>25/09–1/10</c:v>
                </c:pt>
                <c:pt idx="6">
                  <c:v>2/10–4/10</c:v>
                </c:pt>
              </c:strCache>
            </c:strRef>
          </c:cat>
          <c:val>
            <c:numRef>
              <c:f>Hoja1!$B$2:$B$8</c:f>
              <c:numCache>
                <c:formatCode>General</c:formatCode>
                <c:ptCount val="7"/>
                <c:pt idx="0">
                  <c:v>35</c:v>
                </c:pt>
                <c:pt idx="1">
                  <c:v>126</c:v>
                </c:pt>
                <c:pt idx="2">
                  <c:v>122</c:v>
                </c:pt>
                <c:pt idx="3">
                  <c:v>73</c:v>
                </c:pt>
                <c:pt idx="4">
                  <c:v>69</c:v>
                </c:pt>
                <c:pt idx="5">
                  <c:v>43</c:v>
                </c:pt>
                <c:pt idx="6">
                  <c:v>9</c:v>
                </c:pt>
              </c:numCache>
            </c:numRef>
          </c:val>
          <c:smooth val="0"/>
        </c:ser>
        <c:ser>
          <c:idx val="1"/>
          <c:order val="1"/>
          <c:tx>
            <c:v>CM agendadas</c:v>
          </c:tx>
          <c:spPr>
            <a:ln w="28575" cap="rnd">
              <a:solidFill>
                <a:srgbClr val="2E8BC0"/>
              </a:solidFill>
              <a:round/>
            </a:ln>
          </c:spPr>
          <c:marker>
            <c:symbol val="circle"/>
            <c:size val="5"/>
            <c:spPr>
              <a:solidFill>
                <a:srgbClr val="2E8BC0"/>
              </a:solidFill>
            </c:spPr>
          </c:marker>
          <c:dLbls>
            <c:numFmt formatCode="General" sourceLinked="0"/>
            <c:spPr>
              <a:noFill/>
              <a:ln>
                <a:noFill/>
              </a:ln>
            </c:spPr>
            <c:txPr>
              <a:bodyPr/>
              <a:lstStyle/>
              <a:p>
                <a:pPr>
                  <a:defRPr sz="900" b="1"/>
                </a:pPr>
                <a:endParaRPr lang="es-MX"/>
              </a:p>
            </c:txPr>
            <c:dLblPos val="t"/>
            <c:showLegendKey val="0"/>
            <c:showVal val="1"/>
            <c:showCatName val="0"/>
            <c:showSerName val="0"/>
            <c:showPercent val="0"/>
            <c:showBubbleSize val="0"/>
          </c:dLbls>
          <c:cat>
            <c:strRef>
              <c:f>Hoja1!$A$2:$A$8</c:f>
              <c:strCache>
                <c:ptCount val="7"/>
                <c:pt idx="0">
                  <c:v>21/08–27/08</c:v>
                </c:pt>
                <c:pt idx="1">
                  <c:v>28/08–3/09</c:v>
                </c:pt>
                <c:pt idx="2">
                  <c:v>4/09–10/09</c:v>
                </c:pt>
                <c:pt idx="3">
                  <c:v>11/09–17/09</c:v>
                </c:pt>
                <c:pt idx="4">
                  <c:v>18/09–24/09</c:v>
                </c:pt>
                <c:pt idx="5">
                  <c:v>25/09–1/10</c:v>
                </c:pt>
                <c:pt idx="6">
                  <c:v>2/10–4/10</c:v>
                </c:pt>
              </c:strCache>
            </c:strRef>
          </c:cat>
          <c:val>
            <c:numRef>
              <c:f>Hoja1!$C$2:$C$8</c:f>
              <c:numCache>
                <c:formatCode>General</c:formatCode>
                <c:ptCount val="7"/>
                <c:pt idx="0">
                  <c:v>3</c:v>
                </c:pt>
                <c:pt idx="1">
                  <c:v>19</c:v>
                </c:pt>
                <c:pt idx="2">
                  <c:v>19</c:v>
                </c:pt>
                <c:pt idx="3">
                  <c:v>14</c:v>
                </c:pt>
                <c:pt idx="4">
                  <c:v>18</c:v>
                </c:pt>
                <c:pt idx="5">
                  <c:v>14</c:v>
                </c:pt>
                <c:pt idx="6">
                  <c:v>4</c:v>
                </c:pt>
              </c:numCache>
            </c:numRef>
          </c:val>
          <c:smooth val="0"/>
        </c:ser>
        <c:ser>
          <c:idx val="2"/>
          <c:order val="2"/>
          <c:tx>
            <c:v>Inscripciones</c:v>
          </c:tx>
          <c:spPr>
            <a:ln w="28575" cap="rnd">
              <a:solidFill>
                <a:srgbClr val="E0A030"/>
              </a:solidFill>
              <a:round/>
            </a:ln>
          </c:spPr>
          <c:marker>
            <c:symbol val="circle"/>
            <c:size val="5"/>
            <c:spPr>
              <a:solidFill>
                <a:srgbClr val="E0A030"/>
              </a:solidFill>
            </c:spPr>
          </c:marker>
          <c:dLbls>
            <c:numFmt formatCode="General" sourceLinked="0"/>
            <c:spPr>
              <a:noFill/>
              <a:ln>
                <a:noFill/>
              </a:ln>
            </c:spPr>
            <c:txPr>
              <a:bodyPr/>
              <a:lstStyle/>
              <a:p>
                <a:pPr>
                  <a:defRPr sz="900" b="1"/>
                </a:pPr>
                <a:endParaRPr lang="es-MX"/>
              </a:p>
            </c:txPr>
            <c:dLblPos val="t"/>
            <c:showLegendKey val="0"/>
            <c:showVal val="1"/>
            <c:showCatName val="0"/>
            <c:showSerName val="0"/>
            <c:showPercent val="0"/>
            <c:showBubbleSize val="0"/>
          </c:dLbls>
          <c:cat>
            <c:strRef>
              <c:f>Hoja1!$A$2:$A$8</c:f>
              <c:strCache>
                <c:ptCount val="7"/>
                <c:pt idx="0">
                  <c:v>21/08–27/08</c:v>
                </c:pt>
                <c:pt idx="1">
                  <c:v>28/08–3/09</c:v>
                </c:pt>
                <c:pt idx="2">
                  <c:v>4/09–10/09</c:v>
                </c:pt>
                <c:pt idx="3">
                  <c:v>11/09–17/09</c:v>
                </c:pt>
                <c:pt idx="4">
                  <c:v>18/09–24/09</c:v>
                </c:pt>
                <c:pt idx="5">
                  <c:v>25/09–1/10</c:v>
                </c:pt>
                <c:pt idx="6">
                  <c:v>2/10–4/10</c:v>
                </c:pt>
              </c:strCache>
            </c:strRef>
          </c:cat>
          <c:val>
            <c:numRef>
              <c:f>Hoja1!$D$2:$D$8</c:f>
              <c:numCache>
                <c:formatCode>General</c:formatCode>
                <c:ptCount val="7"/>
                <c:pt idx="0">
                  <c:v>1</c:v>
                </c:pt>
                <c:pt idx="1">
                  <c:v>9</c:v>
                </c:pt>
                <c:pt idx="2">
                  <c:v>8</c:v>
                </c:pt>
                <c:pt idx="3">
                  <c:v>3</c:v>
                </c:pt>
                <c:pt idx="4">
                  <c:v>7</c:v>
                </c:pt>
                <c:pt idx="5">
                  <c:v>4</c:v>
                </c:pt>
                <c:pt idx="6">
                  <c:v>0</c:v>
                </c:pt>
              </c:numCache>
            </c:numRef>
          </c:val>
          <c:smooth val="0"/>
        </c:ser>
        <c:marker val="1"/>
        <c:axId val="111111111"/>
        <c:axId val="222222222"/>
      </c:lineChart>
      <c:catAx>
        <c:axId val="111111111"/>
        <c:scaling>
          <c:orientation val="minMax"/>
        </c:scaling>
        <c:delete val="0"/>
        <c:axPos val="b"/>
        <c:numFmt formatCode="General" sourceLinked="1"/>
        <c:majorTickMark val="none"/>
        <c:minorTickMark val="none"/>
        <c:tickLblPos val="nextTo"/>
        <c:spPr>
          <a:ln w="9525">
            <a:solidFill>
              <a:srgbClr val="BFBFBF"/>
            </a:solidFill>
          </a:ln>
        </c:spPr>
        <c:txPr>
          <a:bodyPr/>
          <a:lstStyle/>
          <a:p>
            <a:pPr>
              <a:defRPr sz="900"/>
            </a:pPr>
            <a:endParaRPr lang="es-MX"/>
          </a:p>
        </c:txPr>
        <c:crossAx val="222222222"/>
        <c:lblAlgn val="ctr"/>
        <c:lblOffset val="100"/>
        <c:noMultiLvlLbl val="0"/>
      </c:catAx>
      <c:valAx>
        <c:axId val="222222222"/>
        <c:scaling>
          <c:orientation val="minMax"/>
        </c:scaling>
        <c:delete val="0"/>
        <c:axPos val="l"/>
        <c:majorGridlines>
          <c:spPr>
            <a:ln w="9525">
              <a:solidFill>
                <a:srgbClr val="E7E7E7"/>
              </a:solidFill>
            </a:ln>
          </c:spPr>
        </c:majorGridlines>
        <c:numFmt formatCode="General" sourceLinked="0"/>
        <c:majorTickMark val="none"/>
        <c:minorTickMark val="none"/>
        <c:tickLblPos val="nextTo"/>
        <c:spPr>
          <a:ln>
            <a:noFill/>
          </a:ln>
        </c:spPr>
        <c:txPr>
          <a:bodyPr/>
          <a:lstStyle/>
          <a:p>
            <a:pPr>
              <a:defRPr sz="900"/>
            </a:pPr>
            <a:endParaRPr lang="es-MX"/>
          </a:p>
        </c:txPr>
        <c:crossAx val="111111111"/>
      </c:valAx>
      <c:spPr>
        <a:noFill/>
        <a:ln>
          <a:noFill/>
        </a:ln>
      </c:spPr>
    </c:plotArea>
    <c:legend>
      <c:legendPos val="b"/>
      <c:overlay val="0"/>
      <c:txPr>
        <a:bodyPr/>
        <a:lstStyle/>
        <a:p>
          <a:pPr>
            <a:defRPr sz="900"/>
          </a:pPr>
          <a:endParaRPr lang="es-MX"/>
        </a:p>
      </c:txPr>
    </c:legend>
    <c:plotVisOnly val="1"/>
    <c:dispBlanksAs val="gap"/>
  </c:chart>
  <c:spPr>
    <a:solidFill>
      <a:srgbClr val="FFFFFF"/>
    </a:solidFill>
    <a:ln>
      <a:solidFill>
        <a:srgbClr val="D9D9D9"/>
      </a:solidFill>
    </a:ln>
  </c:spPr>
  <c:txPr>
    <a:bodyPr/>
    <a:lstStyle/>
    <a:p>
      <a:pPr>
        <a:defRPr sz="900"/>
      </a:pPr>
      <a:endParaRPr lang="es-MX"/>
    </a:p>
  </c:txPr>
  <c:externalData r:id="rIdData">
    <c:autoUpdate val="0"/>
  </c:externalData>
</c:chartSpace>
</file>

<file path=word/theme/theme1.xml><?xml version="1.0" encoding="utf-8"?>
<a:theme xmlns:a="http://schemas.openxmlformats.org/drawingml/2006/main" name="Kugelman">
  <a:themeElements>
    <a:clrScheme name="Kugelman">
      <a:dk1>
        <a:sysClr val="windowText" lastClr="000000"/>
      </a:dk1>
      <a:lt1>
        <a:sysClr val="window" lastClr="FFFFFF"/>
      </a:lt1>
      <a:dk2>
        <a:srgbClr val="1F3864"/>
      </a:dk2>
      <a:lt2>
        <a:srgbClr val="E7E6E6"/>
      </a:lt2>
      <a:accent1>
        <a:srgbClr val="1F3864"/>
      </a:accent1>
      <a:accent2>
        <a:srgbClr val="2E8BC0"/>
      </a:accent2>
      <a:accent3>
        <a:srgbClr val="E0A030"/>
      </a:accent3>
      <a:accent4>
        <a:srgbClr val="2E7D5B"/>
      </a:accent4>
      <a:accent5>
        <a:srgbClr val="B23A33"/>
      </a:accent5>
      <a:accent6>
        <a:srgbClr val="7A5EA8"/>
      </a:accent6>
      <a:hlink>
        <a:srgbClr val="0563C1"/>
      </a:hlink>
      <a:folHlink>
        <a:srgbClr val="954F72"/>
      </a:folHlink>
    </a:clrScheme>
    <a:fontScheme name="Kugelman">
      <a:majorFont>
        <a:latin typeface="Calibri Light"/>
        <a:ea typeface=""/>
        <a:cs typeface=""/>
      </a:majorFont>
      <a:minorFont>
        <a:latin typeface="Calibri"/>
        <a:ea typeface=""/>
        <a:cs typeface=""/>
      </a:minorFont>
    </a:fontScheme>
    <a:fmtScheme name="Kugelman">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Microsoft Office Word</Application>
  <Company>Kugelman Academy</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Campaña Septiembre 2026 — Kugelman Academy</dc:title>
  <dc:subject>Marketing, captación y resultados comerciales · 21 ago – 4 oct 2026</dc:subject>
  <dc:creator>Kugelman Academy</dc:creator>
  <cp:lastModifiedBy>Kugelman Academy</cp:lastModifiedBy>
  <dcterms:created xsi:type="dcterms:W3CDTF">2026-10-05T00:00:00Z</dcterms:created>
  <dcterms:modified xsi:type="dcterms:W3CDTF">2026-10-05T00:00:00Z</dcterms:modified>
</cp:coreProperties>
</file>