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pPr>
      <w:r>
        <w:t>Planned obsolescence looks like a technology debate, but it is a question about trade, and trade has a simple test. Did the buyer receive what he paid for? Does the thing he bought still belong to him? Planned obsolescence is the case in which the answer to one of these questions is no, and the maker chose that answer. I define it as a choice by the maker that shortens the useful life of a product he has sold, or takes away the owner's power to extend that life. Ordinary wear is outside this definition, because nobody chose it. A short life that is printed on the box is outside it too, because the buyer chose it with his eyes open.</w:t>
      </w:r>
    </w:p>
    <w:p>
      <w:pPr>
        <w:spacing w:line="360" w:lineRule="auto" w:after="160"/>
      </w:pPr>
      <w:r>
        <w:t>I will sort the wrongs by one criterion: who is wronged, and at what moment. The buyer is wronged at the moment of sale. The owner is wronged after the sale. Everyone else is wronged without ever having bought anything. After that I will take the four answers a maker can give and show why each one fails. Every wrong comes with one real case, and every conclusion follows from the facts of that case.</w:t>
      </w:r>
    </w:p>
    <w:p>
      <w:pPr>
        <w:spacing w:line="360" w:lineRule="auto" w:after="160"/>
      </w:pPr>
      <w:r>
        <w:t>Start with the buyer at the moment of sale. What did he pay for, and what did he receive?</w:t>
      </w:r>
    </w:p>
    <w:p>
      <w:pPr>
        <w:spacing w:line="360" w:lineRule="auto" w:after="160"/>
      </w:pPr>
      <w:r>
        <w:t>A price is not just a number. It is a payment for something the buyer expects to get, and a sale is fair only when the thing delivered matches the thing paid for. The jurists call a payment that buys nothing taking wealth by a false route, and they add a second rule: when the price is far above the value of what was delivered, the buyer has been cheated, even if he agreed to the number. Take Revolv. It sold a smart-home hub with a lifetime subscription. In October 2014 Nest bought the company and stopped selling the hub. In April 2016 Nest announced that the hub would stop working on the fifteenth of May. Nest explained that lifetime meant the life of the device, and the maker ended the life of the device by its own decision. The customer had paid for a lifetime. The part of the price that was meant to buy the time after the fifteenth of May bought nothing, and there is no doubt about whose decision ended that time, because the maker announced it with a date.</w:t>
      </w:r>
    </w:p>
    <w:p>
      <w:pPr>
        <w:spacing w:line="360" w:lineRule="auto" w:after="160"/>
      </w:pPr>
      <w:r>
        <w:t>The second wrong is a hidden attribute. The expected life of a product sets its price. When the seller knows the life and the buyer cannot know it, the sale contains an uncertainty that only the seller can remove, and the jurists treat that uncertainty as deceit. A seller who stays silent where speaking was needed makes a statement by his silence. Apple's case shows it clearly. In late 2016 some iPhones shut down unexpectedly. In January 2017 Apple released an update that limited the peak performance of phones with aged batteries. Owners were not told. In December 2017 a benchmark developer measured the slowdown and published it, and Apple confirmed it and apologized. The engineering reason was real, because an aged battery can cause shutdowns. The wrong was the silence, and the proof that telling was possible is that Apple later did it. In 2018 Apple added a battery health display and a switch that turns the limit off.</w:t>
      </w:r>
    </w:p>
    <w:p>
      <w:pPr>
        <w:spacing w:line="360" w:lineRule="auto" w:after="160"/>
      </w:pPr>
      <w:r>
        <w:t>Now the owner after the sale. Who decides what happens to the product?</w:t>
      </w:r>
    </w:p>
    <w:p>
      <w:pPr>
        <w:spacing w:line="360" w:lineRule="auto" w:after="160"/>
      </w:pPr>
      <w:r>
        <w:t>A sale moves ownership to the buyer. The owner uses the product, repairs it, lends it and resells it. A term that takes the repair away from him contradicts the sale itself, and a restriction that contradicts the nature of the contract is void. When the only party who can repair the product is the party that sold it, the owner also loses his bargaining position: he accepts the seller's price and the seller's schedule. John Deere shows this. In January 2025 the Federal Trade Commission and five states sued Deere. They alleged that the software tools needed for the full range of electronic repairs were offered only to Deere's dealers, so farmers and independent shops could not complete those repairs. In July 2026 a stipulated order was filed under which Deere must, for ten years, give farmers and independent repairers resources equal to those it gives its dealers. The remedy proves the principle, because it gives the owner back the power that the sale was supposed to give him.</w:t>
      </w:r>
    </w:p>
    <w:p>
      <w:pPr>
        <w:spacing w:line="360" w:lineRule="auto" w:after="160"/>
      </w:pPr>
      <w:r>
        <w:t>The fourth wrong is the second profit. Nobody may profit from a loss that he caused when he could have avoided it. In 1925 the leading lamp makers formed the Phoebus cartel and fixed the life of a household bulb at one thousand hours. Before that, bulbs lasted about fifteen hundred hours or more. The cartel tested samples and fined every member whose bulbs lasted longer. The arithmetic is plain. A household that needs three thousand hours of light buys three bulbs instead of two, and the extra half is the cartel's gain and the household's loss. No member could sell the longer-lasting bulb without paying a fine, so the buyer who wanted it had nowhere to buy it.</w:t>
      </w:r>
    </w:p>
    <w:p>
      <w:pPr>
        <w:spacing w:line="360" w:lineRule="auto" w:after="160"/>
      </w:pPr>
      <w:r>
        <w:t>Third, everyone who never bought anything.</w:t>
      </w:r>
    </w:p>
    <w:p>
      <w:pPr>
        <w:spacing w:line="360" w:lineRule="auto" w:after="160"/>
      </w:pPr>
      <w:r>
        <w:t>A device that could serve six years and is replaced after three means that two devices are made, shipped and disposed of where one was enough. Each device carries its metals, its energy and its disposal, and these costs fall on people who were not parties to the sale. The United Nations Global E-waste Monitor counted sixty-two million tonnes of electronic waste in 2022 and found that less than a quarter was documented as properly collected and recycled. The report itself names shorter product life cycles, limited repair options and design shortcomings among the causes. Planned obsolescence belongs to those causes, and each unit it adds to the pile falls on someone who never agreed to carry it.</w:t>
      </w:r>
    </w:p>
    <w:p>
      <w:pPr>
        <w:spacing w:line="360" w:lineRule="auto" w:after="160"/>
      </w:pPr>
      <w:r>
        <w:t>When the tools are reserved to dealers, the independent repair shops in the same towns are shut out of the work. This is the Deere case again. The complaint alleges that independent shops could not obtain the tools they needed to finish repairs, and the order requires equal access for them. The consequence is simple: the repair work that independent shops would have done goes to the dealers, and the owner has one place to take his machine.</w:t>
      </w:r>
    </w:p>
    <w:p>
      <w:pPr>
        <w:spacing w:line="360" w:lineRule="auto" w:after="160"/>
      </w:pPr>
      <w:r>
        <w:t>In a market where buyers cannot judge a product's life, the honest maker is the one who loses. Phoebus shows it again, because the cartel fined members whose bulbs lasted too long. The maker who built the better bulb was punished for building it. When cheating is the rule, an honest maker either copies the cheating or leaves the market, and the buyers lose the one signal they had.</w:t>
      </w:r>
    </w:p>
    <w:p>
      <w:pPr>
        <w:spacing w:line="360" w:lineRule="auto" w:after="160"/>
      </w:pPr>
      <w:r>
        <w:t>Money spent on replacing a device that still worked cannot be spent on anything else. When Revolv switched off its hubs, every owner had to spend money on replacing a hub that was physically sound, only because the maker pulled the server. Add up every product replaced early, and the loss is the sum of all that spending.</w:t>
      </w:r>
    </w:p>
    <w:p>
      <w:pPr>
        <w:spacing w:line="360" w:lineRule="auto" w:after="160"/>
      </w:pPr>
      <w:r>
        <w:t>Two more facts follow from the same switch. First, a product that depends on the maker's server can be turned off by the maker, and the Revolv hubs all stopped on the same date. Whoever holds the switch holds the power, and a state or an industry whose machines depend on a foreign maker's server has placed that power outside its borders. Second, a country that imports its devices pays foreign currency for every replacement, so replacing at three years instead of six doubles the foreign currency spent for each year of service.</w:t>
      </w:r>
    </w:p>
    <w:p>
      <w:pPr>
        <w:spacing w:line="360" w:lineRule="auto" w:after="160"/>
      </w:pPr>
      <w:r>
        <w:t>Finally, a hidden practice produces disputes once it is found. The Qur'an names enmity and hatred between people as a reason why wine and gambling are forbidden, and any dealing that reliably produces enmity falls under the same concern. Apple's case produced a French fine of twenty-five million euros, a class settlement of five hundred million dollars in the United States, and a settlement of one hundred thirteen million dollars with thirty-four states and the District of Columbia. Apple settled the American cases without admitting wrongdoing. The point is the number of disputes, not the verdict: these are the disputes that a hidden limit produces once buyers learn of it.</w:t>
      </w:r>
    </w:p>
    <w:p>
      <w:pPr>
        <w:spacing w:line="360" w:lineRule="auto" w:after="160"/>
      </w:pPr>
      <w:r>
        <w:t>Now the maker's answers. He has four.</w:t>
      </w:r>
    </w:p>
    <w:p>
      <w:pPr>
        <w:spacing w:line="360" w:lineRule="auto" w:after="160"/>
      </w:pPr>
      <w:r>
        <w:t>First: "The customer accepted the terms." Acceptance needs knowledge. Every Apple owner who tapped Install had accepted the update, and not one of them had agreed to a slower phone, because nobody had told them that the update would slow it. The French authority fined Apple for omitting the information. A signature on something whose effect was hidden is not consent to that effect.</w:t>
      </w:r>
    </w:p>
    <w:p>
      <w:pPr>
        <w:spacing w:line="360" w:lineRule="auto" w:after="160"/>
      </w:pPr>
      <w:r>
        <w:t>Second: "It was necessary for safety." Necessity excuses the limit. It never excuses the hiding. Apple's own history shows the difference. The shutdown problem was real, and in 2018 Apple solved the same problem by telling the owner, showing the health of the battery and letting him switch the limit off. If necessity had required silence, that fix could not exist.</w:t>
      </w:r>
    </w:p>
    <w:p>
      <w:pPr>
        <w:spacing w:line="360" w:lineRule="auto" w:after="160"/>
      </w:pPr>
      <w:r>
        <w:t>Third: "We sold the device, but we only licensed the software." Look at what the buyer carried home. The Revolv hub is a box that does nothing without the maker's server, and the customer paid for a working hub with a lifetime subscription. A label cannot turn that sale into a lease after the money has changed hands. If the maker wants to keep ownership, he must call the contract a lease and price it as rent.</w:t>
      </w:r>
    </w:p>
    <w:p>
      <w:pPr>
        <w:spacing w:line="360" w:lineRule="auto" w:after="160"/>
      </w:pPr>
      <w:r>
        <w:t>Fourth, and strongest: "It funds innovation. Without replacement sales we cannot afford research." Take the same logic into a shop. A chocolate maker shrinks every bar by a tenth, keeps the wrapper and the price, and says the money builds a new factory. The factory may be real, and every buyer was still cheated. A good use for the money does not make a hidden way of taking it honest. The research argument fails in the same way, and four questions show it. If buyers would accept "this lasts two years, and the difference funds the next model," the maker loses nothing by saying so, and his silence shows that he expects a refusal. If he needs money, he can raise the price openly, offer a trade-in, or sell a cheaper line with the life printed on it. If the new product is better, buyers have a reason to buy it and the old one does not have to die first. If the new product is not better, the buyer pays twice for the same thing, and that is not research. And if research benefits everyone, then everyone should fund it in the open, and one class of buyers should not fund it in the dark.</w:t>
      </w:r>
    </w:p>
    <w:p>
      <w:pPr>
        <w:spacing w:line="360" w:lineRule="auto" w:after="160"/>
      </w:pPr>
      <w:r>
        <w:t>The ruling follows. It is forbidden to hide a limit on a product's life or repair that the maker knows and the buyer does not. It is forbidden to slow, disable or lock a device after the sale without the owner's informed agreement. It is forbidden to close the owner's means of repair. It is required to tell the buyer the designed life and the support period before the sale, to say what an update takes away and let the owner choose, and to give notice before ending support. It remains lawful to sell cheap and short-lived products when the buyer is told, to end support with notice, to lease and call it a lease, and to charge openly for research.</w:t>
      </w:r>
    </w:p>
    <w:p>
      <w:pPr>
        <w:spacing w:line="360" w:lineRule="auto" w:after="160"/>
      </w:pPr>
      <w:r>
        <w:t>So the rule is short. Tell the buyer. Ask the owner. Leave the owner in charge.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