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80"/>
      </w:pPr>
      <w:r>
        <w:rPr>
          <w:rFonts w:ascii="Calibri" w:hAnsi="Calibri"/>
          <w:b/>
          <w:sz w:val="28"/>
        </w:rPr>
        <w:t>THE LEGAL, RATIONAL, AND MORAL RULING ON PLANNED OBSOLESCENCE</w:t>
      </w:r>
    </w:p>
    <w:p>
      <w:pPr>
        <w:spacing w:before="40" w:after="80" w:line="276" w:lineRule="auto"/>
      </w:pPr>
      <w:r>
        <w:rPr>
          <w:rFonts w:ascii="Calibri" w:hAnsi="Calibri"/>
          <w:b w:val="0"/>
          <w:i w:val="0"/>
          <w:sz w:val="22"/>
        </w:rPr>
        <w:t>Today, I stand before you to address an economic injustice that has entrenched itself in the heart of modern commerce: planned obsolescence and the apparatus of platform captivity.</w:t>
      </w:r>
    </w:p>
    <w:p>
      <w:pPr>
        <w:spacing w:before="40" w:after="80" w:line="276" w:lineRule="auto"/>
      </w:pPr>
      <w:r>
        <w:rPr>
          <w:rFonts w:ascii="Calibri" w:hAnsi="Calibri"/>
          <w:b w:val="0"/>
          <w:i w:val="0"/>
          <w:sz w:val="22"/>
        </w:rPr>
        <w:t xml:space="preserve">We proceed through the classical juristic method of </w:t>
      </w:r>
      <w:r>
        <w:rPr>
          <w:rFonts w:ascii="Calibri" w:hAnsi="Calibri"/>
          <w:b w:val="0"/>
          <w:i/>
          <w:sz w:val="22"/>
        </w:rPr>
        <w:t>tenkîh al-manât</w:t>
      </w:r>
      <w:r>
        <w:rPr>
          <w:rFonts w:ascii="Calibri" w:hAnsi="Calibri"/>
          <w:b w:val="0"/>
          <w:i w:val="0"/>
          <w:sz w:val="22"/>
        </w:rPr>
        <w:t>—the deliberate isolation of the operative legal ground. Stripping away corporate trademarks, transient hardware shells, and specific product categories, our inquiry fastens directly upon the underlying reality of the transaction: an economic architecture governed by asymmetric power, strict delictual liability, and objective normative variables. Every argument I present rests squarely upon this universal foundation.</w:t>
      </w:r>
    </w:p>
    <w:p>
      <w:pPr>
        <w:spacing w:before="40" w:after="80" w:line="276" w:lineRule="auto"/>
      </w:pPr>
      <w:r>
        <w:rPr>
          <w:rFonts w:ascii="Calibri" w:hAnsi="Calibri"/>
          <w:b w:val="0"/>
          <w:i w:val="0"/>
          <w:sz w:val="22"/>
        </w:rPr>
        <w:t>Consider the visual diagram on the opening panel, setting out the core juristic relationships.</w:t>
      </w:r>
    </w:p>
    <w:p>
      <w:pPr>
        <w:spacing w:before="40" w:after="80" w:line="276" w:lineRule="auto"/>
      </w:pPr>
      <w:r>
        <w:rPr>
          <w:rFonts w:ascii="Calibri" w:hAnsi="Calibri"/>
          <w:b w:val="0"/>
          <w:i w:val="0"/>
          <w:sz w:val="22"/>
        </w:rPr>
        <w:t xml:space="preserve">Who are the actors walking onto this stage? We identify four distinct legal parties. First is the industrial creator, </w:t>
      </w:r>
      <w:r>
        <w:rPr>
          <w:rFonts w:ascii="Calibri" w:hAnsi="Calibri"/>
          <w:b w:val="0"/>
          <w:i/>
          <w:sz w:val="22"/>
        </w:rPr>
        <w:t>es-Sâni</w:t>
      </w:r>
      <w:r>
        <w:rPr>
          <w:rFonts w:ascii="Calibri" w:hAnsi="Calibri"/>
          <w:b w:val="0"/>
          <w:i w:val="0"/>
          <w:sz w:val="22"/>
        </w:rPr>
        <w:t xml:space="preserve">, who commands complete technical knowledge and system-level architecture. Second is the merchant, </w:t>
      </w:r>
      <w:r>
        <w:rPr>
          <w:rFonts w:ascii="Calibri" w:hAnsi="Calibri"/>
          <w:b w:val="0"/>
          <w:i/>
          <w:sz w:val="22"/>
        </w:rPr>
        <w:t>el-Bâi</w:t>
      </w:r>
      <w:r>
        <w:rPr>
          <w:rFonts w:ascii="Calibri" w:hAnsi="Calibri"/>
          <w:b w:val="0"/>
          <w:i w:val="0"/>
          <w:sz w:val="22"/>
        </w:rPr>
        <w:t xml:space="preserve">, executing delivery and legal transfer at moment </w:t>
      </w:r>
      <w:r>
        <w:rPr>
          <w:rFonts w:ascii="Calibri" w:hAnsi="Calibri"/>
          <w:b w:val="0"/>
          <w:i/>
          <w:sz w:val="22"/>
        </w:rPr>
        <w:t>t0</w:t>
      </w:r>
      <w:r>
        <w:rPr>
          <w:rFonts w:ascii="Calibri" w:hAnsi="Calibri"/>
          <w:b w:val="0"/>
          <w:i w:val="0"/>
          <w:sz w:val="22"/>
        </w:rPr>
        <w:t xml:space="preserve">. Third comes the retail buyer, </w:t>
      </w:r>
      <w:r>
        <w:rPr>
          <w:rFonts w:ascii="Calibri" w:hAnsi="Calibri"/>
          <w:b w:val="0"/>
          <w:i/>
          <w:sz w:val="22"/>
        </w:rPr>
        <w:t>el-Mâlik</w:t>
      </w:r>
      <w:r>
        <w:rPr>
          <w:rFonts w:ascii="Calibri" w:hAnsi="Calibri"/>
          <w:b w:val="0"/>
          <w:i w:val="0"/>
          <w:sz w:val="22"/>
        </w:rPr>
        <w:t>, parting with earnest consideration—</w:t>
      </w:r>
      <w:r>
        <w:rPr>
          <w:rFonts w:ascii="Calibri" w:hAnsi="Calibri"/>
          <w:b w:val="0"/>
          <w:i/>
          <w:sz w:val="22"/>
        </w:rPr>
        <w:t>Semen</w:t>
      </w:r>
      <w:r>
        <w:rPr>
          <w:rFonts w:ascii="Calibri" w:hAnsi="Calibri"/>
          <w:b w:val="0"/>
          <w:i w:val="0"/>
          <w:sz w:val="22"/>
        </w:rPr>
        <w:t>—in exchange for unburdened sovereign ownership (</w:t>
      </w:r>
      <w:r>
        <w:rPr>
          <w:rFonts w:ascii="Calibri" w:hAnsi="Calibri"/>
          <w:b w:val="0"/>
          <w:i/>
          <w:sz w:val="22"/>
        </w:rPr>
        <w:t>Milk Tamm</w:t>
      </w:r>
      <w:r>
        <w:rPr>
          <w:rFonts w:ascii="Calibri" w:hAnsi="Calibri"/>
          <w:b w:val="0"/>
          <w:i w:val="0"/>
          <w:sz w:val="22"/>
        </w:rPr>
        <w:t xml:space="preserve">), taking on the normal hazards of wear and tear. And bounding them on every side is </w:t>
      </w:r>
      <w:r>
        <w:rPr>
          <w:rFonts w:ascii="Calibri" w:hAnsi="Calibri"/>
          <w:b w:val="0"/>
          <w:i/>
          <w:sz w:val="22"/>
        </w:rPr>
        <w:t>Hukukullâh</w:t>
      </w:r>
      <w:r>
        <w:rPr>
          <w:rFonts w:ascii="Calibri" w:hAnsi="Calibri"/>
          <w:b w:val="0"/>
          <w:i w:val="0"/>
          <w:sz w:val="22"/>
        </w:rPr>
        <w:t>—the public boundary marking the carrying capacity of our shared ecological commons (</w:t>
      </w:r>
      <w:r>
        <w:rPr>
          <w:rFonts w:ascii="Calibri" w:hAnsi="Calibri"/>
          <w:b w:val="0"/>
          <w:i/>
          <w:sz w:val="22"/>
        </w:rPr>
        <w:t>MüştereklerEşiği</w:t>
      </w:r>
      <w:r>
        <w:rPr>
          <w:rFonts w:ascii="Calibri" w:hAnsi="Calibri"/>
          <w:b w:val="0"/>
          <w:i w:val="0"/>
          <w:sz w:val="22"/>
        </w:rPr>
        <w:t>), a physical baseline that private parties simply lack the legal competence to negotiate away.</w:t>
      </w:r>
    </w:p>
    <w:p>
      <w:pPr>
        <w:spacing w:before="40" w:after="80" w:line="276" w:lineRule="auto"/>
      </w:pPr>
      <w:r>
        <w:rPr>
          <w:rFonts w:ascii="Calibri" w:hAnsi="Calibri"/>
          <w:b w:val="0"/>
          <w:i w:val="0"/>
          <w:sz w:val="22"/>
        </w:rPr>
        <w:t xml:space="preserve">Now examine the legal variables connecting them. We have the physical good, </w:t>
      </w:r>
      <w:r>
        <w:rPr>
          <w:rFonts w:ascii="Calibri" w:hAnsi="Calibri"/>
          <w:b w:val="0"/>
          <w:i/>
          <w:sz w:val="22"/>
        </w:rPr>
        <w:t>Metâ</w:t>
      </w:r>
      <w:r>
        <w:rPr>
          <w:rFonts w:ascii="Calibri" w:hAnsi="Calibri"/>
          <w:b w:val="0"/>
          <w:i w:val="0"/>
          <w:sz w:val="22"/>
        </w:rPr>
        <w:t xml:space="preserve">. We have the price paid, </w:t>
      </w:r>
      <w:r>
        <w:rPr>
          <w:rFonts w:ascii="Calibri" w:hAnsi="Calibri"/>
          <w:b w:val="0"/>
          <w:i/>
          <w:sz w:val="22"/>
        </w:rPr>
        <w:t>Semen</w:t>
      </w:r>
      <w:r>
        <w:rPr>
          <w:rFonts w:ascii="Calibri" w:hAnsi="Calibri"/>
          <w:b w:val="0"/>
          <w:i w:val="0"/>
          <w:sz w:val="22"/>
        </w:rPr>
        <w:t xml:space="preserve">. We have </w:t>
      </w:r>
      <w:r>
        <w:rPr>
          <w:rFonts w:ascii="Calibri" w:hAnsi="Calibri"/>
          <w:b w:val="0"/>
          <w:i/>
          <w:sz w:val="22"/>
        </w:rPr>
        <w:t>AsliKapasite</w:t>
      </w:r>
      <w:r>
        <w:rPr>
          <w:rFonts w:ascii="Calibri" w:hAnsi="Calibri"/>
          <w:b w:val="0"/>
          <w:i w:val="0"/>
          <w:sz w:val="22"/>
        </w:rPr>
        <w:t xml:space="preserve">, denoting the honest longevity achievable through sound metallurgy, stable chemistry, and clean code. Directly counterposed to this is </w:t>
      </w:r>
      <w:r>
        <w:rPr>
          <w:rFonts w:ascii="Calibri" w:hAnsi="Calibri"/>
          <w:b w:val="0"/>
          <w:i/>
          <w:sz w:val="22"/>
        </w:rPr>
        <w:t>KasıtlıKısıt</w:t>
      </w:r>
      <w:r>
        <w:rPr>
          <w:rFonts w:ascii="Calibri" w:hAnsi="Calibri"/>
          <w:b w:val="0"/>
          <w:i w:val="0"/>
          <w:sz w:val="22"/>
        </w:rPr>
        <w:t>—an intentional bottleneck engineered into the device to cut short its working life. How do jurists evaluate whether a specific constraint is legitimate? We invoke the proportionality principle codified in Article 22 of the Mecelle: any pleaded operational necessity (</w:t>
      </w:r>
      <w:r>
        <w:rPr>
          <w:rFonts w:ascii="Calibri" w:hAnsi="Calibri"/>
          <w:b w:val="0"/>
          <w:i/>
          <w:sz w:val="22"/>
        </w:rPr>
        <w:t>TeknikZaruret</w:t>
      </w:r>
      <w:r>
        <w:rPr>
          <w:rFonts w:ascii="Calibri" w:hAnsi="Calibri"/>
          <w:b w:val="0"/>
          <w:i w:val="0"/>
          <w:sz w:val="22"/>
        </w:rPr>
        <w:t>) must demonstrate genuine proportionality to the economic utility destroyed. When that balance collapses, corporate pleas of necessity degenerate into pure abuse of rights (</w:t>
      </w:r>
      <w:r>
        <w:rPr>
          <w:rFonts w:ascii="Calibri" w:hAnsi="Calibri"/>
          <w:b w:val="0"/>
          <w:i/>
          <w:sz w:val="22"/>
        </w:rPr>
        <w:t>sû-i isti'mâl-i hak</w:t>
      </w:r>
      <w:r>
        <w:rPr>
          <w:rFonts w:ascii="Calibri" w:hAnsi="Calibri"/>
          <w:b w:val="0"/>
          <w:i w:val="0"/>
          <w:sz w:val="22"/>
        </w:rPr>
        <w:t>). When lock-in metrics (</w:t>
      </w:r>
      <w:r>
        <w:rPr>
          <w:rFonts w:ascii="Calibri" w:hAnsi="Calibri"/>
          <w:b w:val="0"/>
          <w:i/>
          <w:sz w:val="22"/>
        </w:rPr>
        <w:t>EsaretKatsayısı</w:t>
      </w:r>
      <w:r>
        <w:rPr>
          <w:rFonts w:ascii="Calibri" w:hAnsi="Calibri"/>
          <w:b w:val="0"/>
          <w:i w:val="0"/>
          <w:sz w:val="22"/>
        </w:rPr>
        <w:t>) peak, buyers cannot migrate, permitting corporations to charge full price for hobbled hardware. And when the discarded volume breaches planetary limits, Article 26 of the Mecelle operates directly to nullify every exculpatory waiver tucked inside the packaging.</w:t>
      </w:r>
    </w:p>
    <w:p>
      <w:pPr>
        <w:spacing w:before="40" w:after="80" w:line="276" w:lineRule="auto"/>
      </w:pPr>
      <w:r>
        <w:rPr>
          <w:rFonts w:ascii="Calibri" w:hAnsi="Calibri"/>
          <w:b w:val="0"/>
          <w:i w:val="0"/>
          <w:sz w:val="22"/>
        </w:rPr>
        <w:t xml:space="preserve">Trace how this harm compounds across the life of the machine. The purchaser pays full value </w:t>
      </w:r>
      <w:r>
        <w:rPr>
          <w:rFonts w:ascii="Calibri" w:hAnsi="Calibri"/>
          <w:b w:val="0"/>
          <w:i/>
          <w:sz w:val="22"/>
        </w:rPr>
        <w:t>Semen</w:t>
      </w:r>
      <w:r>
        <w:rPr>
          <w:rFonts w:ascii="Calibri" w:hAnsi="Calibri"/>
          <w:b w:val="0"/>
          <w:i w:val="0"/>
          <w:sz w:val="22"/>
        </w:rPr>
        <w:t xml:space="preserve"> expecting the honest baseline of </w:t>
      </w:r>
      <w:r>
        <w:rPr>
          <w:rFonts w:ascii="Calibri" w:hAnsi="Calibri"/>
          <w:b w:val="0"/>
          <w:i/>
          <w:sz w:val="22"/>
        </w:rPr>
        <w:t>AsliKapasite</w:t>
      </w:r>
      <w:r>
        <w:rPr>
          <w:rFonts w:ascii="Calibri" w:hAnsi="Calibri"/>
          <w:b w:val="0"/>
          <w:i w:val="0"/>
          <w:sz w:val="22"/>
        </w:rPr>
        <w:t xml:space="preserve">, but unknowingly receives an asset constrained by </w:t>
      </w:r>
      <w:r>
        <w:rPr>
          <w:rFonts w:ascii="Calibri" w:hAnsi="Calibri"/>
          <w:b w:val="0"/>
          <w:i/>
          <w:sz w:val="22"/>
        </w:rPr>
        <w:t>KasıtlıKısıt</w:t>
      </w:r>
      <w:r>
        <w:rPr>
          <w:rFonts w:ascii="Calibri" w:hAnsi="Calibri"/>
          <w:b w:val="0"/>
          <w:i w:val="0"/>
          <w:sz w:val="22"/>
        </w:rPr>
        <w:t xml:space="preserve">. In classic juristic doctrine, that is </w:t>
      </w:r>
      <w:r>
        <w:rPr>
          <w:rFonts w:ascii="Calibri" w:hAnsi="Calibri"/>
          <w:b w:val="0"/>
          <w:i/>
          <w:sz w:val="22"/>
        </w:rPr>
        <w:t>ekl-i emvâl bi'l-bâtıl</w:t>
      </w:r>
      <w:r>
        <w:rPr>
          <w:rFonts w:ascii="Calibri" w:hAnsi="Calibri"/>
          <w:b w:val="0"/>
          <w:i w:val="0"/>
          <w:sz w:val="22"/>
        </w:rPr>
        <w:t>—unjust enrichment expressly condemned in Surah An-Nisâ. Soon after, an accessible consumable element weakens, yet the entire unit is rendered trash because the casing is fused shut. Worse yet, long after title has passed, the maker transmits a silent network signal into the buyer’s home to throttle clock speeds. That is nothing less than direct tortious destruction—</w:t>
      </w:r>
      <w:r>
        <w:rPr>
          <w:rFonts w:ascii="Calibri" w:hAnsi="Calibri"/>
          <w:b w:val="0"/>
          <w:i/>
          <w:sz w:val="22"/>
        </w:rPr>
        <w:t>mübâşereten itlâf</w:t>
      </w:r>
      <w:r>
        <w:rPr>
          <w:rFonts w:ascii="Calibri" w:hAnsi="Calibri"/>
          <w:b w:val="0"/>
          <w:i w:val="0"/>
          <w:sz w:val="22"/>
        </w:rPr>
        <w:t xml:space="preserve"> under Mecelle Article 92. Add cryptographic locks that outlaw third-party technicians, and one witnesses the rebirth of market hoarding (</w:t>
      </w:r>
      <w:r>
        <w:rPr>
          <w:rFonts w:ascii="Calibri" w:hAnsi="Calibri"/>
          <w:b w:val="0"/>
          <w:i/>
          <w:sz w:val="22"/>
        </w:rPr>
        <w:t>ihtikâr</w:t>
      </w:r>
      <w:r>
        <w:rPr>
          <w:rFonts w:ascii="Calibri" w:hAnsi="Calibri"/>
          <w:b w:val="0"/>
          <w:i w:val="0"/>
          <w:sz w:val="22"/>
        </w:rPr>
        <w:t>) alongside the predatory exploitation of necessity (</w:t>
      </w:r>
      <w:r>
        <w:rPr>
          <w:rFonts w:ascii="Calibri" w:hAnsi="Calibri"/>
          <w:b w:val="0"/>
          <w:i/>
          <w:sz w:val="22"/>
        </w:rPr>
        <w:t>bay'u'l-mudtarr</w:t>
      </w:r>
      <w:r>
        <w:rPr>
          <w:rFonts w:ascii="Calibri" w:hAnsi="Calibri"/>
          <w:b w:val="0"/>
          <w:i w:val="0"/>
          <w:sz w:val="22"/>
        </w:rPr>
        <w:t>).</w:t>
      </w:r>
    </w:p>
    <w:p>
      <w:pPr>
        <w:spacing w:before="40" w:after="80" w:line="276" w:lineRule="auto"/>
      </w:pPr>
      <w:r>
        <w:rPr>
          <w:rFonts w:ascii="Calibri" w:hAnsi="Calibri"/>
          <w:b w:val="0"/>
          <w:i w:val="0"/>
          <w:sz w:val="22"/>
        </w:rPr>
        <w:t>Before we examine each model in detail, we must clear the field of six persistent analytical confusions.</w:t>
      </w:r>
    </w:p>
    <w:p>
      <w:pPr>
        <w:spacing w:before="40" w:after="80" w:line="276" w:lineRule="auto"/>
      </w:pPr>
      <w:r>
        <w:rPr>
          <w:rFonts w:ascii="Calibri" w:hAnsi="Calibri"/>
          <w:b w:val="0"/>
          <w:i w:val="0"/>
          <w:sz w:val="22"/>
        </w:rPr>
        <w:t xml:space="preserve">First, we must distinguish between an actionable latent defect and natural material fatigue. In materials science, components wear out at different rates. Classical jurisprudence never demands the impossible: it does not compare the lifespan of a fragile sub-component against a steel frame. What the law condemns is not natural physical entropy, but the deliberate suppression of intrinsic potential. When a manufacturer designs an unserviceable monolithic block solely to prevent the renewal of a depleted cell, or embeds a hidden software counter that kills the machine, that is an affirmative, actionable wrong—an </w:t>
      </w:r>
      <w:r>
        <w:rPr>
          <w:rFonts w:ascii="Calibri" w:hAnsi="Calibri"/>
          <w:b w:val="0"/>
          <w:i/>
          <w:sz w:val="22"/>
        </w:rPr>
        <w:t>ayb-i hafî</w:t>
      </w:r>
      <w:r>
        <w:rPr>
          <w:rFonts w:ascii="Calibri" w:hAnsi="Calibri"/>
          <w:b w:val="0"/>
          <w:i w:val="0"/>
          <w:sz w:val="22"/>
        </w:rPr>
        <w:t xml:space="preserve"> born of active concealment (</w:t>
      </w:r>
      <w:r>
        <w:rPr>
          <w:rFonts w:ascii="Calibri" w:hAnsi="Calibri"/>
          <w:b w:val="0"/>
          <w:i/>
          <w:sz w:val="22"/>
        </w:rPr>
        <w:t>taghrîr</w:t>
      </w:r>
      <w:r>
        <w:rPr>
          <w:rFonts w:ascii="Calibri" w:hAnsi="Calibri"/>
          <w:b w:val="0"/>
          <w:i w:val="0"/>
          <w:sz w:val="22"/>
        </w:rPr>
        <w:t>).</w:t>
      </w:r>
    </w:p>
    <w:p>
      <w:pPr>
        <w:spacing w:before="40" w:after="80" w:line="276" w:lineRule="auto"/>
      </w:pPr>
      <w:r>
        <w:rPr>
          <w:rFonts w:ascii="Calibri" w:hAnsi="Calibri"/>
          <w:b w:val="0"/>
          <w:i w:val="0"/>
          <w:sz w:val="22"/>
        </w:rPr>
        <w:t>Second, consider the apparent tension between our first and eighth evidences. How can we say the buyer pays full price expecting a sound product, while also demonstrating that the entire market collapses into a lemons equilibrium where everyone expects low quality? The answer lies in time and market power. At the micro-contract level, early transactions occur under profound information asymmetry: the maker charges a sound price for defective goods. At the macro level, prolonged deception drives honest producers out of the market. Within platform oligopolies, high switching costs ensure that even when consumers suspect early death, prices never drop. Buyers pay premium prices for disposable machines because they cannot walk away.</w:t>
      </w:r>
    </w:p>
    <w:p>
      <w:pPr>
        <w:spacing w:before="40" w:after="80" w:line="276" w:lineRule="auto"/>
      </w:pPr>
      <w:r>
        <w:rPr>
          <w:rFonts w:ascii="Calibri" w:hAnsi="Calibri"/>
          <w:b w:val="0"/>
          <w:i w:val="0"/>
          <w:sz w:val="22"/>
        </w:rPr>
        <w:t>Third, look at the profound alignment between circular industrial design and Islamic contract structures. When an asset is sold under an outright sale (</w:t>
      </w:r>
      <w:r>
        <w:rPr>
          <w:rFonts w:ascii="Calibri" w:hAnsi="Calibri"/>
          <w:b w:val="0"/>
          <w:i/>
          <w:sz w:val="22"/>
        </w:rPr>
        <w:t>bey'</w:t>
      </w:r>
      <w:r>
        <w:rPr>
          <w:rFonts w:ascii="Calibri" w:hAnsi="Calibri"/>
          <w:b w:val="0"/>
          <w:i w:val="0"/>
          <w:sz w:val="22"/>
        </w:rPr>
        <w:t>), full sovereign title passes to the buyer. The seller has no business meddling with the machine post-sale. Conversely, if a company operates a genuine circular lease (</w:t>
      </w:r>
      <w:r>
        <w:rPr>
          <w:rFonts w:ascii="Calibri" w:hAnsi="Calibri"/>
          <w:b w:val="0"/>
          <w:i/>
          <w:sz w:val="22"/>
        </w:rPr>
        <w:t>icâre</w:t>
      </w:r>
      <w:r>
        <w:rPr>
          <w:rFonts w:ascii="Calibri" w:hAnsi="Calibri"/>
          <w:b w:val="0"/>
          <w:i w:val="0"/>
          <w:sz w:val="22"/>
        </w:rPr>
        <w:t>)—retaining the asset on its own corporate balance sheet—the economic incentive for planned obsolescence vanishes overnight. Every premature failure becomes a direct loss to the maker, making maximum durability and modular repair the primary engines of profit. What the law condemns is the predatory hybrid: charging the upfront capital price of a true sale, while covertly retaining the remote demolition powers of an eternal feudal landlord.</w:t>
      </w:r>
    </w:p>
    <w:p>
      <w:pPr>
        <w:spacing w:before="40" w:after="80" w:line="276" w:lineRule="auto"/>
      </w:pPr>
      <w:r>
        <w:rPr>
          <w:rFonts w:ascii="Calibri" w:hAnsi="Calibri"/>
          <w:b w:val="0"/>
          <w:i w:val="0"/>
          <w:sz w:val="22"/>
        </w:rPr>
        <w:t>Fourth, observe how our model honors the pure economic loss doctrine. In the law of torts, disappointed commercial expectations arising from an internal product defect are handled through contract, not tort. Our framework respects this divide completely. In Model One, factory-level truncation is treated as a contractual defect and upstream misrepresentation (</w:t>
      </w:r>
      <w:r>
        <w:rPr>
          <w:rFonts w:ascii="Calibri" w:hAnsi="Calibri"/>
          <w:b w:val="0"/>
          <w:i/>
          <w:sz w:val="22"/>
        </w:rPr>
        <w:t>al-taghrîr al-fi'lî</w:t>
      </w:r>
      <w:r>
        <w:rPr>
          <w:rFonts w:ascii="Calibri" w:hAnsi="Calibri"/>
          <w:b w:val="0"/>
          <w:i w:val="0"/>
          <w:sz w:val="22"/>
        </w:rPr>
        <w:t>), remedied through rescission and cascade indemnification against the supply chain. But in Models Two and Three, the maker crosses the line into delictual trespass (</w:t>
      </w:r>
      <w:r>
        <w:rPr>
          <w:rFonts w:ascii="Calibri" w:hAnsi="Calibri"/>
          <w:b w:val="0"/>
          <w:i/>
          <w:sz w:val="22"/>
        </w:rPr>
        <w:t>mübâşereten itlâf</w:t>
      </w:r>
      <w:r>
        <w:rPr>
          <w:rFonts w:ascii="Calibri" w:hAnsi="Calibri"/>
          <w:b w:val="0"/>
          <w:i w:val="0"/>
          <w:sz w:val="22"/>
        </w:rPr>
        <w:t>): they reach into property that has already vested in another and intentionally degrade it from afar.</w:t>
      </w:r>
    </w:p>
    <w:p>
      <w:pPr>
        <w:spacing w:before="40" w:after="80" w:line="276" w:lineRule="auto"/>
      </w:pPr>
      <w:r>
        <w:rPr>
          <w:rFonts w:ascii="Calibri" w:hAnsi="Calibri"/>
          <w:b w:val="0"/>
          <w:i w:val="0"/>
          <w:sz w:val="22"/>
        </w:rPr>
        <w:t xml:space="preserve">Fifth, remember the foundational maxim of Article 87 of the Mecelle: </w:t>
      </w:r>
      <w:r>
        <w:rPr>
          <w:rFonts w:ascii="Calibri" w:hAnsi="Calibri"/>
          <w:b w:val="0"/>
          <w:i/>
          <w:sz w:val="22"/>
        </w:rPr>
        <w:t>Al-kharâju bi'd-damân</w:t>
      </w:r>
      <w:r>
        <w:rPr>
          <w:rFonts w:ascii="Calibri" w:hAnsi="Calibri"/>
          <w:b w:val="0"/>
          <w:i w:val="0"/>
          <w:sz w:val="22"/>
        </w:rPr>
        <w:t>—yield follows liability for loss. The buyer who enjoys the fruits of a machine after delivery justly shoulders the natural risks of physical wear, chemical decay, and legitimate technological obsolescence. The manufacturer is not an open-ended insurer against nature. What the maker can never lawfully do is plant secret kill-switches into the machine. The owner accepts the risk of natural aging; the owner never assumes the risk of hidden commercial sabotage.</w:t>
      </w:r>
    </w:p>
    <w:p>
      <w:pPr>
        <w:spacing w:before="40" w:after="80" w:line="276" w:lineRule="auto"/>
      </w:pPr>
      <w:r>
        <w:rPr>
          <w:rFonts w:ascii="Calibri" w:hAnsi="Calibri"/>
          <w:b w:val="0"/>
          <w:i w:val="0"/>
          <w:sz w:val="22"/>
        </w:rPr>
        <w:t>Sixth, we must reject the illusion of zero-cost security. Closing deep architectural vulnerabilities may impose authentic operational overhead. Classical law recognizes necessity (</w:t>
      </w:r>
      <w:r>
        <w:rPr>
          <w:rFonts w:ascii="Calibri" w:hAnsi="Calibri"/>
          <w:b w:val="0"/>
          <w:i/>
          <w:sz w:val="22"/>
        </w:rPr>
        <w:t>darûrah</w:t>
      </w:r>
      <w:r>
        <w:rPr>
          <w:rFonts w:ascii="Calibri" w:hAnsi="Calibri"/>
          <w:b w:val="0"/>
          <w:i w:val="0"/>
          <w:sz w:val="22"/>
        </w:rPr>
        <w:t>), but under Article 22 of the Mecelle, necessity is strictly measured by its genuine scope. An authentic, transparent patch that incidentally trims throughput to avert systemic collapse is lawful. What is strictly forbidden is using an unannounced performance penalty as an excuse to cripple the hardware and force the consumer into buying a replacement.</w:t>
      </w:r>
    </w:p>
    <w:p>
      <w:pPr>
        <w:spacing w:before="40" w:after="80" w:line="276" w:lineRule="auto"/>
      </w:pPr>
      <w:r>
        <w:rPr>
          <w:rFonts w:ascii="Calibri" w:hAnsi="Calibri"/>
          <w:b w:val="0"/>
          <w:i w:val="0"/>
          <w:sz w:val="22"/>
        </w:rPr>
        <w:t xml:space="preserve">Strip away corporate marketing, and what is planned obsolescence at its core? It is an affirmative wrong committed whenever an engineered ceiling </w:t>
      </w:r>
      <w:r>
        <w:rPr>
          <w:rFonts w:ascii="Calibri" w:hAnsi="Calibri"/>
          <w:b w:val="0"/>
          <w:i/>
          <w:sz w:val="22"/>
        </w:rPr>
        <w:t>KasıtlıKısıt</w:t>
      </w:r>
      <w:r>
        <w:rPr>
          <w:rFonts w:ascii="Calibri" w:hAnsi="Calibri"/>
          <w:b w:val="0"/>
          <w:i w:val="0"/>
          <w:sz w:val="22"/>
        </w:rPr>
        <w:t>, a digital repair lock, or an ecosystem barrier is imposed without genuine technical proportionality. The manufacturer truncates the baseline life of the good and dumps the resulting ecological debris onto society. How does an adjudicator establish this in practice? You do not need to read the manufacturer's secret thoughts. The procedural standard is objective. The owner or the public authority presents a prima facie case of premature fleet failure or artificial modular lockout. Independent engineering teardowns and audit logs then shift the evidentiary burden straight onto the maker: let them prove that no open, less restrictive design could have preserved functionality.</w:t>
      </w:r>
    </w:p>
    <w:p>
      <w:pPr>
        <w:spacing w:before="40" w:after="80" w:line="276" w:lineRule="auto"/>
      </w:pPr>
      <w:r>
        <w:rPr>
          <w:rFonts w:ascii="Calibri" w:hAnsi="Calibri"/>
          <w:b w:val="0"/>
          <w:i w:val="0"/>
          <w:sz w:val="22"/>
        </w:rPr>
        <w:t xml:space="preserve">Three clear boundaries separate honest engineering from commercial fraud. First is natural wear, borne by the owner under </w:t>
      </w:r>
      <w:r>
        <w:rPr>
          <w:rFonts w:ascii="Calibri" w:hAnsi="Calibri"/>
          <w:b w:val="0"/>
          <w:i/>
          <w:sz w:val="22"/>
        </w:rPr>
        <w:t>al-kharâju bi'd-damân</w:t>
      </w:r>
      <w:r>
        <w:rPr>
          <w:rFonts w:ascii="Calibri" w:hAnsi="Calibri"/>
          <w:b w:val="0"/>
          <w:i w:val="0"/>
          <w:sz w:val="22"/>
        </w:rPr>
        <w:t>. Second is genuine computational obsolescence: when an aging processor simply cannot execute newly developed routines, the maker may cease software expansion while leaving the existing baseline stable and intact. Third is the retirement of external cloud infrastructure, provided the maker does not deliberately brick the local hardware or lock out offline operation. Disclosing a premature limit in unread terms of service changes nothing: fine print may resolve bilateral misrepresentation, but it can never sanitize an ecological crime against the public commons.</w:t>
      </w:r>
    </w:p>
    <w:p>
      <w:pPr>
        <w:spacing w:before="40" w:after="80" w:line="276" w:lineRule="auto"/>
      </w:pPr>
      <w:r>
        <w:rPr>
          <w:rFonts w:ascii="Calibri" w:hAnsi="Calibri"/>
          <w:b w:val="0"/>
          <w:i w:val="0"/>
          <w:sz w:val="22"/>
        </w:rPr>
        <w:t>Our argument unfolds across two distinct theaters. First, eight inescapable legal proofs grounded in our four analytical models. Second, a systematic refutation of the four primary defenses raised by manufacturers.</w:t>
      </w:r>
    </w:p>
    <w:p>
      <w:pPr>
        <w:spacing w:before="40" w:after="80" w:line="276" w:lineRule="auto"/>
      </w:pPr>
      <w:r>
        <w:rPr>
          <w:rFonts w:ascii="Calibri" w:hAnsi="Calibri"/>
          <w:b w:val="0"/>
          <w:i w:val="0"/>
          <w:sz w:val="22"/>
        </w:rPr>
        <w:t>Observe now the second panel: Model One, exposing how durability is decided on the assembly line.</w:t>
      </w:r>
    </w:p>
    <w:p>
      <w:pPr>
        <w:spacing w:before="40" w:after="80" w:line="276" w:lineRule="auto"/>
      </w:pPr>
      <w:r>
        <w:rPr>
          <w:rFonts w:ascii="Calibri" w:hAnsi="Calibri"/>
          <w:b w:val="0"/>
          <w:i w:val="0"/>
          <w:sz w:val="22"/>
        </w:rPr>
        <w:t xml:space="preserve">When designing a production run, an engineering department inevitably weighs two divergent philosophies. Under Path A1, the engineers build around </w:t>
      </w:r>
      <w:r>
        <w:rPr>
          <w:rFonts w:ascii="Calibri" w:hAnsi="Calibri"/>
          <w:b w:val="0"/>
          <w:i/>
          <w:sz w:val="22"/>
        </w:rPr>
        <w:t>AsliKapasite</w:t>
      </w:r>
      <w:r>
        <w:rPr>
          <w:rFonts w:ascii="Calibri" w:hAnsi="Calibri"/>
          <w:b w:val="0"/>
          <w:i w:val="0"/>
          <w:sz w:val="22"/>
        </w:rPr>
        <w:t xml:space="preserve">—the inherent structural stamina of the raw components—ensuring that when a perishable part inevitably exhausts its duty, an owner can service it without shattering the main enclosure. Under Path A2, however, management orders the whole assembly bonded directly to its most vulnerable component, imposing an artificial limit </w:t>
      </w:r>
      <w:r>
        <w:rPr>
          <w:rFonts w:ascii="Calibri" w:hAnsi="Calibri"/>
          <w:b w:val="0"/>
          <w:i/>
          <w:sz w:val="22"/>
        </w:rPr>
        <w:t>KasıtlıKısıt</w:t>
      </w:r>
      <w:r>
        <w:rPr>
          <w:rFonts w:ascii="Calibri" w:hAnsi="Calibri"/>
          <w:b w:val="0"/>
          <w:i w:val="0"/>
          <w:sz w:val="22"/>
        </w:rPr>
        <w:t xml:space="preserve">. The incremental bill of materials separating these two designs is often trifling, yet the utility destroyed is monumental. Shielded by proprietary ecosystems that make switching brands costly, corporations extract the price of a durable machine </w:t>
      </w:r>
      <w:r>
        <w:rPr>
          <w:rFonts w:ascii="Calibri" w:hAnsi="Calibri"/>
          <w:b w:val="0"/>
          <w:i/>
          <w:sz w:val="22"/>
        </w:rPr>
        <w:t>Semen</w:t>
      </w:r>
      <w:r>
        <w:rPr>
          <w:rFonts w:ascii="Calibri" w:hAnsi="Calibri"/>
          <w:b w:val="0"/>
          <w:i w:val="0"/>
          <w:sz w:val="22"/>
        </w:rPr>
        <w:t xml:space="preserve"> while quietly delivering a product calibrated for premature obsolescence.</w:t>
      </w:r>
    </w:p>
    <w:p>
      <w:pPr>
        <w:spacing w:before="40" w:after="80" w:line="276" w:lineRule="auto"/>
      </w:pPr>
      <w:r>
        <w:rPr>
          <w:rFonts w:ascii="Calibri" w:hAnsi="Calibri"/>
          <w:b w:val="0"/>
          <w:i w:val="0"/>
          <w:sz w:val="22"/>
        </w:rPr>
        <w:t>Consider our first evidence: commutative disparity, latent defect, and upstream fraud.</w:t>
      </w:r>
    </w:p>
    <w:p>
      <w:pPr>
        <w:spacing w:before="40" w:after="80" w:line="276" w:lineRule="auto"/>
      </w:pPr>
      <w:r>
        <w:rPr>
          <w:rFonts w:ascii="Calibri" w:hAnsi="Calibri"/>
          <w:b w:val="0"/>
          <w:i w:val="0"/>
          <w:sz w:val="22"/>
        </w:rPr>
        <w:t>In fair commutative exchange, market value reflects intrinsic operational utility. When a maker deliberately curtails that capacity, they introduce an objective defect into commerce. Under informational opacity, the price remains pegged to sound durability. While the law tolerates trivial subjective differences, neutral appraisers quickly recognize that an asset engineered for premature death has lost a major share of its true economic value at the very moment of sale. The resulting gulf between the price paid and the true value constitutes unconscionable disparity (</w:t>
      </w:r>
      <w:r>
        <w:rPr>
          <w:rFonts w:ascii="Calibri" w:hAnsi="Calibri"/>
          <w:b w:val="0"/>
          <w:i/>
          <w:sz w:val="22"/>
        </w:rPr>
        <w:t>gabn-i fâhiş</w:t>
      </w:r>
      <w:r>
        <w:rPr>
          <w:rFonts w:ascii="Calibri" w:hAnsi="Calibri"/>
          <w:b w:val="0"/>
          <w:i w:val="0"/>
          <w:sz w:val="22"/>
        </w:rPr>
        <w:t>) compounded by active deception (</w:t>
      </w:r>
      <w:r>
        <w:rPr>
          <w:rFonts w:ascii="Calibri" w:hAnsi="Calibri"/>
          <w:b w:val="0"/>
          <w:i/>
          <w:sz w:val="22"/>
        </w:rPr>
        <w:t>taghrîr</w:t>
      </w:r>
      <w:r>
        <w:rPr>
          <w:rFonts w:ascii="Calibri" w:hAnsi="Calibri"/>
          <w:b w:val="0"/>
          <w:i w:val="0"/>
          <w:sz w:val="22"/>
        </w:rPr>
        <w:t xml:space="preserve">). As Surah An-Nisâ proclaims: "Do not consume your wealth among yourselves by false ways." Selling a booby-trapped good at full price is the very definition of </w:t>
      </w:r>
      <w:r>
        <w:rPr>
          <w:rFonts w:ascii="Calibri" w:hAnsi="Calibri"/>
          <w:b w:val="0"/>
          <w:i/>
          <w:sz w:val="22"/>
        </w:rPr>
        <w:t>ekl-i emvâl bi'l-bâtıl</w:t>
      </w:r>
      <w:r>
        <w:rPr>
          <w:rFonts w:ascii="Calibri" w:hAnsi="Calibri"/>
          <w:b w:val="0"/>
          <w:i w:val="0"/>
          <w:sz w:val="22"/>
        </w:rPr>
        <w:t>. Under Article 356 of the Mecelle, the purchaser has the right to rescind the contract against the seller. And when the retail vendor pays that restitution, the law grants them full upstream recourse against the manufacturer who designed the deception.</w:t>
      </w:r>
    </w:p>
    <w:p>
      <w:pPr>
        <w:spacing w:before="40" w:after="80" w:line="276" w:lineRule="auto"/>
      </w:pPr>
      <w:r>
        <w:rPr>
          <w:rFonts w:ascii="Calibri" w:hAnsi="Calibri"/>
          <w:b w:val="0"/>
          <w:i w:val="0"/>
          <w:sz w:val="22"/>
        </w:rPr>
        <w:t>Our second evidence builds upon this: the doctrine of objective latent defect.</w:t>
      </w:r>
    </w:p>
    <w:p>
      <w:pPr>
        <w:spacing w:before="40" w:after="80" w:line="276" w:lineRule="auto"/>
      </w:pPr>
      <w:r>
        <w:rPr>
          <w:rFonts w:ascii="Calibri" w:hAnsi="Calibri"/>
          <w:b w:val="0"/>
          <w:i w:val="0"/>
          <w:sz w:val="22"/>
        </w:rPr>
        <w:t xml:space="preserve">A durable asset carries an implied warranty of soundness. The proprietary blueprints containing the artificial limit </w:t>
      </w:r>
      <w:r>
        <w:rPr>
          <w:rFonts w:ascii="Calibri" w:hAnsi="Calibri"/>
          <w:b w:val="0"/>
          <w:i/>
          <w:sz w:val="22"/>
        </w:rPr>
        <w:t>KasıtlıKısıt</w:t>
      </w:r>
      <w:r>
        <w:rPr>
          <w:rFonts w:ascii="Calibri" w:hAnsi="Calibri"/>
          <w:b w:val="0"/>
          <w:i w:val="0"/>
          <w:sz w:val="22"/>
        </w:rPr>
        <w:t xml:space="preserve"> are known only to the maker; neither the retailer nor the buyer can discover them at the counter. Delivering an artificially stunted good is an act of constructive misrepresentation. The Prophet, peace be upon him, strictly forbade fraudulent and deceptive sales, declaring: "Whoever cheats us is not of us." The wrong does not require proof of malicious internal animus; the objective presence of an engineered bottleneck buried beneath an outward appearance of soundness is an </w:t>
      </w:r>
      <w:r>
        <w:rPr>
          <w:rFonts w:ascii="Calibri" w:hAnsi="Calibri"/>
          <w:b w:val="0"/>
          <w:i/>
          <w:sz w:val="22"/>
        </w:rPr>
        <w:t>ayb-i hafî</w:t>
      </w:r>
      <w:r>
        <w:rPr>
          <w:rFonts w:ascii="Calibri" w:hAnsi="Calibri"/>
          <w:b w:val="0"/>
          <w:i w:val="0"/>
          <w:sz w:val="22"/>
        </w:rPr>
        <w:t>. Under Article 337 of the Mecelle, the buyer may return the good for a full refund; and where physical restitution is barred by prolonged use, Articles 343 through 345 grant an immediate action for the price difference (</w:t>
      </w:r>
      <w:r>
        <w:rPr>
          <w:rFonts w:ascii="Calibri" w:hAnsi="Calibri"/>
          <w:b w:val="0"/>
          <w:i/>
          <w:sz w:val="22"/>
        </w:rPr>
        <w:t>erş</w:t>
      </w:r>
      <w:r>
        <w:rPr>
          <w:rFonts w:ascii="Calibri" w:hAnsi="Calibri"/>
          <w:b w:val="0"/>
          <w:i w:val="0"/>
          <w:sz w:val="22"/>
        </w:rPr>
        <w:t>), with liability cascading directly back to the manufacturer.</w:t>
      </w:r>
    </w:p>
    <w:p>
      <w:pPr>
        <w:spacing w:before="40" w:after="80" w:line="276" w:lineRule="auto"/>
      </w:pPr>
      <w:r>
        <w:rPr>
          <w:rFonts w:ascii="Calibri" w:hAnsi="Calibri"/>
          <w:b w:val="0"/>
          <w:i w:val="0"/>
          <w:sz w:val="22"/>
        </w:rPr>
        <w:t>Our third evidence addresses manufactured captivity, unjust enrichment, and premature gain.</w:t>
      </w:r>
    </w:p>
    <w:p>
      <w:pPr>
        <w:spacing w:before="40" w:after="80" w:line="276" w:lineRule="auto"/>
      </w:pPr>
      <w:r>
        <w:rPr>
          <w:rFonts w:ascii="Calibri" w:hAnsi="Calibri"/>
          <w:b w:val="0"/>
          <w:i w:val="0"/>
          <w:sz w:val="22"/>
        </w:rPr>
        <w:t xml:space="preserve">In an open, competitive market, premature failure would drive the customer straight to a rival. To prevent this escape, the maker builds proprietary moats: proprietary physical interfaces, non-standard interconnects, and locked data formats. When the good fails prematurely, the captive consumer cannot switch without abandoning substantial invested capital. The manufacturer reaps accelerated replacement revenue derived entirely from the buyer's artificial vulnerability. Article 19 of the Mecelle establishes that injury must be eliminated. More crucially, Article 99 codifies a universal principle: </w:t>
      </w:r>
      <w:r>
        <w:rPr>
          <w:rFonts w:ascii="Calibri" w:hAnsi="Calibri"/>
          <w:b w:val="0"/>
          <w:i/>
          <w:sz w:val="22"/>
        </w:rPr>
        <w:t>Men iste'cele şey'en kable evânihî ûkıbe bi-hırmânih</w:t>
      </w:r>
      <w:r>
        <w:rPr>
          <w:rFonts w:ascii="Calibri" w:hAnsi="Calibri"/>
          <w:b w:val="0"/>
          <w:i w:val="0"/>
          <w:sz w:val="22"/>
        </w:rPr>
        <w:t>—whoever attempts to hasten a benefit by illegitimate means is penalized by total forfeiture. The maker plans early failure to pull forward future sales; the law responds by stripping away that unjust gain through compulsory restitution and disgorgement.</w:t>
      </w:r>
    </w:p>
    <w:p>
      <w:pPr>
        <w:spacing w:before="40" w:after="80" w:line="276" w:lineRule="auto"/>
      </w:pPr>
      <w:r>
        <w:rPr>
          <w:rFonts w:ascii="Calibri" w:hAnsi="Calibri"/>
          <w:b w:val="0"/>
          <w:i w:val="0"/>
          <w:sz w:val="22"/>
        </w:rPr>
        <w:t>Turn now to the third panel: Model Two, addressing post-sale intervention.</w:t>
      </w:r>
    </w:p>
    <w:p>
      <w:pPr>
        <w:spacing w:before="40" w:after="80" w:line="276" w:lineRule="auto"/>
      </w:pPr>
      <w:r>
        <w:rPr>
          <w:rFonts w:ascii="Calibri" w:hAnsi="Calibri"/>
          <w:b w:val="0"/>
          <w:i w:val="0"/>
          <w:sz w:val="22"/>
        </w:rPr>
        <w:t xml:space="preserve">Here, the contract was concluded at time </w:t>
      </w:r>
      <w:r>
        <w:rPr>
          <w:rFonts w:ascii="Calibri" w:hAnsi="Calibri"/>
          <w:b w:val="0"/>
          <w:i/>
          <w:sz w:val="22"/>
        </w:rPr>
        <w:t>t0</w:t>
      </w:r>
      <w:r>
        <w:rPr>
          <w:rFonts w:ascii="Calibri" w:hAnsi="Calibri"/>
          <w:b w:val="0"/>
          <w:i w:val="0"/>
          <w:sz w:val="22"/>
        </w:rPr>
        <w:t xml:space="preserve">. Full ownership passed to the buyer. The device operates perfectly. Yet at a later date, </w:t>
      </w:r>
      <w:r>
        <w:rPr>
          <w:rFonts w:ascii="Calibri" w:hAnsi="Calibri"/>
          <w:b w:val="0"/>
          <w:i/>
          <w:sz w:val="22"/>
        </w:rPr>
        <w:t>t1</w:t>
      </w:r>
      <w:r>
        <w:rPr>
          <w:rFonts w:ascii="Calibri" w:hAnsi="Calibri"/>
          <w:b w:val="0"/>
          <w:i w:val="0"/>
          <w:sz w:val="22"/>
        </w:rPr>
        <w:t>, the manufacturer uses a concealed logic routine, a delayed command, or a background network channel to degrade performance, disable existing features, or induce artificial system rejections.</w:t>
      </w:r>
    </w:p>
    <w:p>
      <w:pPr>
        <w:spacing w:before="40" w:after="80" w:line="276" w:lineRule="auto"/>
      </w:pPr>
      <w:r>
        <w:rPr>
          <w:rFonts w:ascii="Calibri" w:hAnsi="Calibri"/>
          <w:b w:val="0"/>
          <w:i w:val="0"/>
          <w:sz w:val="22"/>
        </w:rPr>
        <w:t>Our fourth evidence addresses this directly: post-sale trespass, direct destruction, and the betrayal of trust.</w:t>
      </w:r>
    </w:p>
    <w:p>
      <w:pPr>
        <w:spacing w:before="40" w:after="80" w:line="276" w:lineRule="auto"/>
      </w:pPr>
      <w:r>
        <w:rPr>
          <w:rFonts w:ascii="Calibri" w:hAnsi="Calibri"/>
          <w:b w:val="0"/>
          <w:i w:val="0"/>
          <w:sz w:val="22"/>
        </w:rPr>
        <w:t>Conveyance vests absolute proprietary sovereignty (</w:t>
      </w:r>
      <w:r>
        <w:rPr>
          <w:rFonts w:ascii="Calibri" w:hAnsi="Calibri"/>
          <w:b w:val="0"/>
          <w:i/>
          <w:sz w:val="22"/>
        </w:rPr>
        <w:t>Milk Tamm</w:t>
      </w:r>
      <w:r>
        <w:rPr>
          <w:rFonts w:ascii="Calibri" w:hAnsi="Calibri"/>
          <w:b w:val="0"/>
          <w:i w:val="0"/>
          <w:sz w:val="22"/>
        </w:rPr>
        <w:t>) in the purchaser, encompassing the unrestricted right to use, modify, calibrate, and repair the chattel. When manufacturers claim that customers clicked "agree" on a digital update, contract law draws an unbending line: consent to routine maintenance can never be construed as authorization for property destruction. In Islamic jurisprudence, custodial access (</w:t>
      </w:r>
      <w:r>
        <w:rPr>
          <w:rFonts w:ascii="Calibri" w:hAnsi="Calibri"/>
          <w:b w:val="0"/>
          <w:i/>
          <w:sz w:val="22"/>
        </w:rPr>
        <w:t>amânat al-hifz</w:t>
      </w:r>
      <w:r>
        <w:rPr>
          <w:rFonts w:ascii="Calibri" w:hAnsi="Calibri"/>
          <w:b w:val="0"/>
          <w:i w:val="0"/>
          <w:sz w:val="22"/>
        </w:rPr>
        <w:t>) strictly excludes destructive intervention; overstepping that custodial mandate is unauthorized intermeddling (</w:t>
      </w:r>
      <w:r>
        <w:rPr>
          <w:rFonts w:ascii="Calibri" w:hAnsi="Calibri"/>
          <w:b w:val="0"/>
          <w:i/>
          <w:sz w:val="22"/>
        </w:rPr>
        <w:t>tasarruf fî milk al-gayr</w:t>
      </w:r>
      <w:r>
        <w:rPr>
          <w:rFonts w:ascii="Calibri" w:hAnsi="Calibri"/>
          <w:b w:val="0"/>
          <w:i w:val="0"/>
          <w:sz w:val="22"/>
        </w:rPr>
        <w:t>) and a breach of trust. Under Article 92 of the Mecelle, anyone who directly destroys or damages the property of another is strictly liable to pay full compensation, irrespective of whether they acted with specific malice or claimed administrative convenience. The maker who remotely degrades an asset acts as a direct tortfeasor (</w:t>
      </w:r>
      <w:r>
        <w:rPr>
          <w:rFonts w:ascii="Calibri" w:hAnsi="Calibri"/>
          <w:b w:val="0"/>
          <w:i/>
          <w:sz w:val="22"/>
        </w:rPr>
        <w:t>mübâşir</w:t>
      </w:r>
      <w:r>
        <w:rPr>
          <w:rFonts w:ascii="Calibri" w:hAnsi="Calibri"/>
          <w:b w:val="0"/>
          <w:i w:val="0"/>
          <w:sz w:val="22"/>
        </w:rPr>
        <w:t>). The owner is entitled to injunctive relief, specific performance restoring the original operating state, and full monetary damages for lost usufruct.</w:t>
      </w:r>
    </w:p>
    <w:p>
      <w:pPr>
        <w:spacing w:before="40" w:after="80" w:line="276" w:lineRule="auto"/>
      </w:pPr>
      <w:r>
        <w:rPr>
          <w:rFonts w:ascii="Calibri" w:hAnsi="Calibri"/>
          <w:b w:val="0"/>
          <w:i w:val="0"/>
          <w:sz w:val="22"/>
        </w:rPr>
        <w:t>Look across to the fourth panel: Model Three, where the sacred right of maintenance is systematically shut down.</w:t>
      </w:r>
    </w:p>
    <w:p>
      <w:pPr>
        <w:spacing w:before="40" w:after="80" w:line="276" w:lineRule="auto"/>
      </w:pPr>
      <w:r>
        <w:rPr>
          <w:rFonts w:ascii="Calibri" w:hAnsi="Calibri"/>
          <w:b w:val="0"/>
          <w:i w:val="0"/>
          <w:sz w:val="22"/>
        </w:rPr>
        <w:t>Consider the operational reality: a subordinate, naturally perishable sub-assembly reaches the end of its functional cycle, while the primary architecture of the asset—its structural frame, main compute core, and primary output interface—remains completely sound and intact. A qualified technician, or indeed the owner themselves, could install a standardized replacement within minutes, with zero compromise to systemic safety. But the manufacturer locks the door: diagnostic protocols are hidden under commercial secrecy, calibration routines are withheld, and cryptographic serialization codes are programmed into the hardware to reject any component not blessed by corporate headquarters.</w:t>
      </w:r>
    </w:p>
    <w:p>
      <w:pPr>
        <w:spacing w:before="40" w:after="80" w:line="276" w:lineRule="auto"/>
      </w:pPr>
      <w:r>
        <w:rPr>
          <w:rFonts w:ascii="Calibri" w:hAnsi="Calibri"/>
          <w:b w:val="0"/>
          <w:i w:val="0"/>
          <w:sz w:val="22"/>
        </w:rPr>
        <w:t>Our fifth evidence tears through this facade, condemning void restraints, manufactured hoarding, and the exploitation of consumer distress.</w:t>
      </w:r>
    </w:p>
    <w:p>
      <w:pPr>
        <w:spacing w:before="40" w:after="80" w:line="276" w:lineRule="auto"/>
      </w:pPr>
      <w:r>
        <w:rPr>
          <w:rFonts w:ascii="Calibri" w:hAnsi="Calibri"/>
          <w:b w:val="0"/>
          <w:i w:val="0"/>
          <w:sz w:val="22"/>
        </w:rPr>
        <w:t>The moment sovereign title changes hands, the buyer inherits the unconditional prerogative to preserve that property. Any contractual clause, license restriction, or cryptographic lock that forbids an owner from maintaining their chattel assaults the foundational purpose of the transaction (</w:t>
      </w:r>
      <w:r>
        <w:rPr>
          <w:rFonts w:ascii="Calibri" w:hAnsi="Calibri"/>
          <w:b w:val="0"/>
          <w:i/>
          <w:sz w:val="22"/>
        </w:rPr>
        <w:t>muqtadâ al-aqd</w:t>
      </w:r>
      <w:r>
        <w:rPr>
          <w:rFonts w:ascii="Calibri" w:hAnsi="Calibri"/>
          <w:b w:val="0"/>
          <w:i w:val="0"/>
          <w:sz w:val="22"/>
        </w:rPr>
        <w:t>). Under Islamic jurisprudence, every clause that hollows out core proprietary sovereignty while entrenching an unnatural monopoly for the vendor is a null condition—</w:t>
      </w:r>
      <w:r>
        <w:rPr>
          <w:rFonts w:ascii="Calibri" w:hAnsi="Calibri"/>
          <w:b w:val="0"/>
          <w:i/>
          <w:sz w:val="22"/>
        </w:rPr>
        <w:t>şart-ı fâsid</w:t>
      </w:r>
      <w:r>
        <w:rPr>
          <w:rFonts w:ascii="Calibri" w:hAnsi="Calibri"/>
          <w:b w:val="0"/>
          <w:i w:val="0"/>
          <w:sz w:val="22"/>
        </w:rPr>
        <w:t xml:space="preserve">—void from the instant of signature. What is more, when a maker ties routine maintenance to proprietary master keys, they conjure an artificial scarcity where none exists in nature. Modern computer science exposes the hollow nature of their security arguments: zero-knowledge proofs and hardware security modules readily verify component integrity without surrendering a single proprietary secret. Hiding behind safety to monopolize repairs is a transparent abuse of rights. Eight centuries ago, Imam Abu Yusuf defined </w:t>
      </w:r>
      <w:r>
        <w:rPr>
          <w:rFonts w:ascii="Calibri" w:hAnsi="Calibri"/>
          <w:b w:val="0"/>
          <w:i/>
          <w:sz w:val="22"/>
        </w:rPr>
        <w:t>ihtikâr</w:t>
      </w:r>
      <w:r>
        <w:rPr>
          <w:rFonts w:ascii="Calibri" w:hAnsi="Calibri"/>
          <w:b w:val="0"/>
          <w:i w:val="0"/>
          <w:sz w:val="22"/>
        </w:rPr>
        <w:t xml:space="preserve"> as the deliberate withholding of any essential commodity or service whose denial visits acute hardship upon the community. Today's jurists see that exact vice in monopolized diagnostic tools and locked replacement components. By closing every open repair avenue, the maker corners the user into an untenable extortion: either pay inflated monopoly rates or discard a magnificent machine into the landfill. That is precisely what the Prophet, peace be upon him, outlawed under the banner of </w:t>
      </w:r>
      <w:r>
        <w:rPr>
          <w:rFonts w:ascii="Calibri" w:hAnsi="Calibri"/>
          <w:b w:val="0"/>
          <w:i/>
          <w:sz w:val="22"/>
        </w:rPr>
        <w:t>bay'u'l-mudtarr</w:t>
      </w:r>
      <w:r>
        <w:rPr>
          <w:rFonts w:ascii="Calibri" w:hAnsi="Calibri"/>
          <w:b w:val="0"/>
          <w:i w:val="0"/>
          <w:sz w:val="22"/>
        </w:rPr>
        <w:t>—preying upon the duress and desperation of another party. Under Article 100 of the Mecelle, every such monopolistic barrier is a legal nullity, and the owner’s right to self-repair remains unassailable.</w:t>
      </w:r>
    </w:p>
    <w:p>
      <w:pPr>
        <w:spacing w:before="40" w:after="80" w:line="276" w:lineRule="auto"/>
      </w:pPr>
      <w:r>
        <w:rPr>
          <w:rFonts w:ascii="Calibri" w:hAnsi="Calibri"/>
          <w:b w:val="0"/>
          <w:i w:val="0"/>
          <w:sz w:val="22"/>
        </w:rPr>
        <w:t>Shift your focus to the fifth panel: Model Four, which charts systemic market collapse and the irreversible wound inflicted upon the earth.</w:t>
      </w:r>
    </w:p>
    <w:p>
      <w:pPr>
        <w:spacing w:before="40" w:after="80" w:line="276" w:lineRule="auto"/>
      </w:pPr>
      <w:r>
        <w:rPr>
          <w:rFonts w:ascii="Calibri" w:hAnsi="Calibri"/>
          <w:b w:val="0"/>
          <w:i w:val="0"/>
          <w:sz w:val="22"/>
        </w:rPr>
        <w:t>When these predatory maneuvers spread unchecked, individual business decisions coalesce into an inescapable cartel. Constrained by exorbitant platform switching costs, consumers find themselves trapped in an unyielding cycle where every exit is bolted shut.</w:t>
      </w:r>
    </w:p>
    <w:p>
      <w:pPr>
        <w:spacing w:before="40" w:after="80" w:line="276" w:lineRule="auto"/>
      </w:pPr>
      <w:r>
        <w:rPr>
          <w:rFonts w:ascii="Calibri" w:hAnsi="Calibri"/>
          <w:b w:val="0"/>
          <w:i w:val="0"/>
          <w:sz w:val="22"/>
        </w:rPr>
        <w:t>Our sixth evidence cuts to the heart of collective existence: the prohibition of systemic waste and the inviolability of our planetary commons—</w:t>
      </w:r>
      <w:r>
        <w:rPr>
          <w:rFonts w:ascii="Calibri" w:hAnsi="Calibri"/>
          <w:b w:val="0"/>
          <w:i/>
          <w:sz w:val="22"/>
        </w:rPr>
        <w:t>Hukukullâh</w:t>
      </w:r>
      <w:r>
        <w:rPr>
          <w:rFonts w:ascii="Calibri" w:hAnsi="Calibri"/>
          <w:b w:val="0"/>
          <w:i w:val="0"/>
          <w:sz w:val="22"/>
        </w:rPr>
        <w:t>.</w:t>
      </w:r>
    </w:p>
    <w:p>
      <w:pPr>
        <w:spacing w:before="40" w:after="80" w:line="276" w:lineRule="auto"/>
      </w:pPr>
      <w:r>
        <w:rPr>
          <w:rFonts w:ascii="Calibri" w:hAnsi="Calibri"/>
          <w:b w:val="0"/>
          <w:i w:val="0"/>
          <w:sz w:val="22"/>
        </w:rPr>
        <w:t>Premature obsolescence unleashes an intolerable burden of ecological corruption—</w:t>
      </w:r>
      <w:r>
        <w:rPr>
          <w:rFonts w:ascii="Calibri" w:hAnsi="Calibri"/>
          <w:b w:val="0"/>
          <w:i/>
          <w:sz w:val="22"/>
        </w:rPr>
        <w:t>ifsâd fi'l-arz</w:t>
      </w:r>
      <w:r>
        <w:rPr>
          <w:rFonts w:ascii="Calibri" w:hAnsi="Calibri"/>
          <w:b w:val="0"/>
          <w:i w:val="0"/>
          <w:sz w:val="22"/>
        </w:rPr>
        <w:t>. When you conduct rigorous life-cycle accounting, you quickly discover that the true environmental hemorrhage of consumer hardware does not lie solely in overflowing municipal scrap heaps. It lies in the staggering thermodynamic, metallurgical, and chemical extraction debts paid during raw fabrication. When a complex digital device is prematurely retired, that massive ecological investment never has the chance to amortize; corporations force the biosphere itself to absorb their excess entropy. No marketing team can wash this clean by pointing to tiny energy-efficiency gains in new models; rigorous physics proves that minor operational savings almost never compensate for the deep ecological trauma of manufacturing an entirely new device from raw earth. Article 26 of the Mecelle commands that private commercial preference must yield to prevent widespread social injury (</w:t>
      </w:r>
      <w:r>
        <w:rPr>
          <w:rFonts w:ascii="Calibri" w:hAnsi="Calibri"/>
          <w:b w:val="0"/>
          <w:i/>
          <w:sz w:val="22"/>
        </w:rPr>
        <w:t>zarar-ı âmm</w:t>
      </w:r>
      <w:r>
        <w:rPr>
          <w:rFonts w:ascii="Calibri" w:hAnsi="Calibri"/>
          <w:b w:val="0"/>
          <w:i w:val="0"/>
          <w:sz w:val="22"/>
        </w:rPr>
        <w:t>). Freedom of contract (</w:t>
      </w:r>
      <w:r>
        <w:rPr>
          <w:rFonts w:ascii="Calibri" w:hAnsi="Calibri"/>
          <w:b w:val="0"/>
          <w:i/>
          <w:sz w:val="22"/>
        </w:rPr>
        <w:t>el-hurriyyetü't-teâkudiyye</w:t>
      </w:r>
      <w:r>
        <w:rPr>
          <w:rFonts w:ascii="Calibri" w:hAnsi="Calibri"/>
          <w:b w:val="0"/>
          <w:i w:val="0"/>
          <w:sz w:val="22"/>
        </w:rPr>
        <w:t>) must bow before the preservation of the common good (</w:t>
      </w:r>
      <w:r>
        <w:rPr>
          <w:rFonts w:ascii="Calibri" w:hAnsi="Calibri"/>
          <w:b w:val="0"/>
          <w:i/>
          <w:sz w:val="22"/>
        </w:rPr>
        <w:t>el-maslahatü'l-âmme</w:t>
      </w:r>
      <w:r>
        <w:rPr>
          <w:rFonts w:ascii="Calibri" w:hAnsi="Calibri"/>
          <w:b w:val="0"/>
          <w:i w:val="0"/>
          <w:sz w:val="22"/>
        </w:rPr>
        <w:t>). No private agreement has the moral or legal authority to auction off the thermodynamic carrying capacity of this planet. The boundary of public trust—</w:t>
      </w:r>
      <w:r>
        <w:rPr>
          <w:rFonts w:ascii="Calibri" w:hAnsi="Calibri"/>
          <w:b w:val="0"/>
          <w:i/>
          <w:sz w:val="22"/>
        </w:rPr>
        <w:t>Hukukullâh</w:t>
      </w:r>
      <w:r>
        <w:rPr>
          <w:rFonts w:ascii="Calibri" w:hAnsi="Calibri"/>
          <w:b w:val="0"/>
          <w:i w:val="0"/>
          <w:sz w:val="22"/>
        </w:rPr>
        <w:t>—stands completely non-negotiable.</w:t>
      </w:r>
    </w:p>
    <w:p>
      <w:pPr>
        <w:spacing w:before="40" w:after="80" w:line="276" w:lineRule="auto"/>
      </w:pPr>
      <w:r>
        <w:rPr>
          <w:rFonts w:ascii="Calibri" w:hAnsi="Calibri"/>
          <w:b w:val="0"/>
          <w:i w:val="0"/>
          <w:sz w:val="22"/>
        </w:rPr>
        <w:t>Our seventh evidence highlights the legislative wisdom behind this prohibition: the destruction of mutual trust.</w:t>
      </w:r>
    </w:p>
    <w:p>
      <w:pPr>
        <w:spacing w:before="40" w:after="80" w:line="276" w:lineRule="auto"/>
      </w:pPr>
      <w:r>
        <w:rPr>
          <w:rFonts w:ascii="Calibri" w:hAnsi="Calibri"/>
          <w:b w:val="0"/>
          <w:i w:val="0"/>
          <w:sz w:val="22"/>
        </w:rPr>
        <w:t>In the science of legal methodology, social friction and enmity (</w:t>
      </w:r>
      <w:r>
        <w:rPr>
          <w:rFonts w:ascii="Calibri" w:hAnsi="Calibri"/>
          <w:b w:val="0"/>
          <w:i/>
          <w:sz w:val="22"/>
        </w:rPr>
        <w:t>adâvet</w:t>
      </w:r>
      <w:r>
        <w:rPr>
          <w:rFonts w:ascii="Calibri" w:hAnsi="Calibri"/>
          <w:b w:val="0"/>
          <w:i w:val="0"/>
          <w:sz w:val="22"/>
        </w:rPr>
        <w:t>) are not the technical operative cause (</w:t>
      </w:r>
      <w:r>
        <w:rPr>
          <w:rFonts w:ascii="Calibri" w:hAnsi="Calibri"/>
          <w:b w:val="0"/>
          <w:i/>
          <w:sz w:val="22"/>
        </w:rPr>
        <w:t>illet</w:t>
      </w:r>
      <w:r>
        <w:rPr>
          <w:rFonts w:ascii="Calibri" w:hAnsi="Calibri"/>
          <w:b w:val="0"/>
          <w:i w:val="0"/>
          <w:sz w:val="22"/>
        </w:rPr>
        <w:t>) of a prohibition; the operative cause must be objective and measurable—here, latent defect, unconscionable disparity, and unlawful destruction. Enmity is the overarching legislative wisdom (</w:t>
      </w:r>
      <w:r>
        <w:rPr>
          <w:rFonts w:ascii="Calibri" w:hAnsi="Calibri"/>
          <w:b w:val="0"/>
          <w:i/>
          <w:sz w:val="22"/>
        </w:rPr>
        <w:t>hikmet</w:t>
      </w:r>
      <w:r>
        <w:rPr>
          <w:rFonts w:ascii="Calibri" w:hAnsi="Calibri"/>
          <w:b w:val="0"/>
          <w:i w:val="0"/>
          <w:sz w:val="22"/>
        </w:rPr>
        <w:t>). As Surah Al-Ma'idah declares in verse 91: "Satan only seeks to sow enmity and hatred among you." When an asset fails through natural wear, the owner accepts the reality of physical entropy without bitterness. But the moment a consumer discovers an artificial software throttle or a deliberate repair lockout, the commercial relationship transforms into an experience of captive exploitation. The resulting public fury fuels class-action lawsuits, consumer cynicism, and a systemic breakdown of trust in commerce.</w:t>
      </w:r>
    </w:p>
    <w:p>
      <w:pPr>
        <w:spacing w:before="40" w:after="80" w:line="276" w:lineRule="auto"/>
      </w:pPr>
      <w:r>
        <w:rPr>
          <w:rFonts w:ascii="Calibri" w:hAnsi="Calibri"/>
          <w:b w:val="0"/>
          <w:i w:val="0"/>
          <w:sz w:val="22"/>
        </w:rPr>
        <w:t>Our eighth evidence exposes the destruction of honest commerce through adverse selection.</w:t>
      </w:r>
    </w:p>
    <w:p>
      <w:pPr>
        <w:spacing w:before="40" w:after="80" w:line="276" w:lineRule="auto"/>
      </w:pPr>
      <w:r>
        <w:rPr>
          <w:rFonts w:ascii="Calibri" w:hAnsi="Calibri"/>
          <w:b w:val="0"/>
          <w:i w:val="0"/>
          <w:sz w:val="22"/>
        </w:rPr>
        <w:t>When durability is concealed, honest manufacturers who invest in long-lasting products are penalized. Because buyers cannot easily distinguish genuine durability from superficial marketing, they refuse to pay the necessary premium for quality. Deceptive producers who cut manufacturing costs and harvest repeated replacement sales expand their market share, steadily driving conscientious manufacturers into insolvency. In classical economics, inferior goods lead to falling prices. But in captive platform regimes, switching costs prevent this correction. Consumers remain trapped, paying premium prices for disposable goods. This is corrupt industry practice (</w:t>
      </w:r>
      <w:r>
        <w:rPr>
          <w:rFonts w:ascii="Calibri" w:hAnsi="Calibri"/>
          <w:b w:val="0"/>
          <w:i/>
          <w:sz w:val="22"/>
        </w:rPr>
        <w:t>örf-i fâsid</w:t>
      </w:r>
      <w:r>
        <w:rPr>
          <w:rFonts w:ascii="Calibri" w:hAnsi="Calibri"/>
          <w:b w:val="0"/>
          <w:i w:val="0"/>
          <w:sz w:val="22"/>
        </w:rPr>
        <w:t>). Under Islamic jurisprudence, custom that violates statutory norms or public interest carries zero legal authority, even if adopted by an entire industry. The public regulatory authority (</w:t>
      </w:r>
      <w:r>
        <w:rPr>
          <w:rFonts w:ascii="Calibri" w:hAnsi="Calibri"/>
          <w:b w:val="0"/>
          <w:i/>
          <w:sz w:val="22"/>
        </w:rPr>
        <w:t>hisbe</w:t>
      </w:r>
      <w:r>
        <w:rPr>
          <w:rFonts w:ascii="Calibri" w:hAnsi="Calibri"/>
          <w:b w:val="0"/>
          <w:i w:val="0"/>
          <w:sz w:val="22"/>
        </w:rPr>
        <w:t>) is under a mandatory duty to intervene, nullify collusive practices, and establish compulsory durability standards to protect the public trust.</w:t>
      </w:r>
    </w:p>
    <w:p>
      <w:pPr>
        <w:spacing w:before="40" w:after="80" w:line="276" w:lineRule="auto"/>
      </w:pPr>
      <w:r>
        <w:rPr>
          <w:rFonts w:ascii="Calibri" w:hAnsi="Calibri"/>
          <w:b w:val="0"/>
          <w:i w:val="0"/>
          <w:sz w:val="22"/>
        </w:rPr>
        <w:t>Look at the juristic accounting of these principles:</w:t>
      </w:r>
    </w:p>
    <w:p>
      <w:pPr>
        <w:spacing w:before="40" w:after="80" w:line="276" w:lineRule="auto"/>
      </w:pPr>
      <w:r>
        <w:rPr>
          <w:rFonts w:ascii="Calibri" w:hAnsi="Calibri"/>
          <w:b w:val="0"/>
          <w:i w:val="0"/>
          <w:sz w:val="22"/>
        </w:rPr>
        <w:t>Six positive legal grounds (</w:t>
      </w:r>
      <w:r>
        <w:rPr>
          <w:rFonts w:ascii="Calibri" w:hAnsi="Calibri"/>
          <w:b w:val="0"/>
          <w:i/>
          <w:sz w:val="22"/>
        </w:rPr>
        <w:t>ilel-i şer'iyye</w:t>
      </w:r>
      <w:r>
        <w:rPr>
          <w:rFonts w:ascii="Calibri" w:hAnsi="Calibri"/>
          <w:b w:val="0"/>
          <w:i w:val="0"/>
          <w:sz w:val="22"/>
        </w:rPr>
        <w:t>) govern our case:</w:t>
      </w:r>
    </w:p>
    <w:p>
      <w:pPr>
        <w:spacing w:before="40" w:after="80" w:line="276" w:lineRule="auto"/>
      </w:pPr>
      <w:r>
        <w:rPr>
          <w:rFonts w:ascii="Calibri" w:hAnsi="Calibri"/>
          <w:b w:val="0"/>
          <w:i w:val="0"/>
          <w:sz w:val="22"/>
        </w:rPr>
        <w:t>1. Unlawful appropriation of wealth (</w:t>
      </w:r>
      <w:r>
        <w:rPr>
          <w:rFonts w:ascii="Calibri" w:hAnsi="Calibri"/>
          <w:b w:val="0"/>
          <w:i/>
          <w:sz w:val="22"/>
        </w:rPr>
        <w:t>ekl-i emvâl bi'l-bâtıl</w:t>
      </w:r>
      <w:r>
        <w:rPr>
          <w:rFonts w:ascii="Calibri" w:hAnsi="Calibri"/>
          <w:b w:val="0"/>
          <w:i w:val="0"/>
          <w:sz w:val="22"/>
        </w:rPr>
        <w:t>), demonstrated under Evidence 1.</w:t>
      </w:r>
    </w:p>
    <w:p>
      <w:pPr>
        <w:spacing w:before="40" w:after="80" w:line="276" w:lineRule="auto"/>
      </w:pPr>
      <w:r>
        <w:rPr>
          <w:rFonts w:ascii="Calibri" w:hAnsi="Calibri"/>
          <w:b w:val="0"/>
          <w:i w:val="0"/>
          <w:sz w:val="22"/>
        </w:rPr>
        <w:t>2. Unconscionable disparity between price and utility (</w:t>
      </w:r>
      <w:r>
        <w:rPr>
          <w:rFonts w:ascii="Calibri" w:hAnsi="Calibri"/>
          <w:b w:val="0"/>
          <w:i/>
          <w:sz w:val="22"/>
        </w:rPr>
        <w:t>gabn-i fâhiş</w:t>
      </w:r>
      <w:r>
        <w:rPr>
          <w:rFonts w:ascii="Calibri" w:hAnsi="Calibri"/>
          <w:b w:val="0"/>
          <w:i w:val="0"/>
          <w:sz w:val="22"/>
        </w:rPr>
        <w:t>), demonstrated under Evidence 1.</w:t>
      </w:r>
    </w:p>
    <w:p>
      <w:pPr>
        <w:spacing w:before="40" w:after="80" w:line="276" w:lineRule="auto"/>
      </w:pPr>
      <w:r>
        <w:rPr>
          <w:rFonts w:ascii="Calibri" w:hAnsi="Calibri"/>
          <w:b w:val="0"/>
          <w:i w:val="0"/>
          <w:sz w:val="22"/>
        </w:rPr>
        <w:t>3. Deceptive concealment and latent defect (</w:t>
      </w:r>
      <w:r>
        <w:rPr>
          <w:rFonts w:ascii="Calibri" w:hAnsi="Calibri"/>
          <w:b w:val="0"/>
          <w:i/>
          <w:sz w:val="22"/>
        </w:rPr>
        <w:t>taghrîr</w:t>
      </w:r>
      <w:r>
        <w:rPr>
          <w:rFonts w:ascii="Calibri" w:hAnsi="Calibri"/>
          <w:b w:val="0"/>
          <w:i w:val="0"/>
          <w:sz w:val="22"/>
        </w:rPr>
        <w:t xml:space="preserve"> and </w:t>
      </w:r>
      <w:r>
        <w:rPr>
          <w:rFonts w:ascii="Calibri" w:hAnsi="Calibri"/>
          <w:b w:val="0"/>
          <w:i/>
          <w:sz w:val="22"/>
        </w:rPr>
        <w:t>ayb-i hafî</w:t>
      </w:r>
      <w:r>
        <w:rPr>
          <w:rFonts w:ascii="Calibri" w:hAnsi="Calibri"/>
          <w:b w:val="0"/>
          <w:i w:val="0"/>
          <w:sz w:val="22"/>
        </w:rPr>
        <w:t>), demonstrated under Evidence 2.</w:t>
      </w:r>
    </w:p>
    <w:p>
      <w:pPr>
        <w:spacing w:before="40" w:after="80" w:line="276" w:lineRule="auto"/>
      </w:pPr>
      <w:r>
        <w:rPr>
          <w:rFonts w:ascii="Calibri" w:hAnsi="Calibri"/>
          <w:b w:val="0"/>
          <w:i w:val="0"/>
          <w:sz w:val="22"/>
        </w:rPr>
        <w:t>4. Constructive total loss and direct destruction (</w:t>
      </w:r>
      <w:r>
        <w:rPr>
          <w:rFonts w:ascii="Calibri" w:hAnsi="Calibri"/>
          <w:b w:val="0"/>
          <w:i/>
          <w:sz w:val="22"/>
        </w:rPr>
        <w:t>mübâşereten itlâf</w:t>
      </w:r>
      <w:r>
        <w:rPr>
          <w:rFonts w:ascii="Calibri" w:hAnsi="Calibri"/>
          <w:b w:val="0"/>
          <w:i w:val="0"/>
          <w:sz w:val="22"/>
        </w:rPr>
        <w:t>), demonstrated under Evidences 1, 3, and 4.</w:t>
      </w:r>
    </w:p>
    <w:p>
      <w:pPr>
        <w:spacing w:before="40" w:after="80" w:line="276" w:lineRule="auto"/>
      </w:pPr>
      <w:r>
        <w:rPr>
          <w:rFonts w:ascii="Calibri" w:hAnsi="Calibri"/>
          <w:b w:val="0"/>
          <w:i w:val="0"/>
          <w:sz w:val="22"/>
        </w:rPr>
        <w:t>5. Unauthorized disposal of another's property and breach of trust (</w:t>
      </w:r>
      <w:r>
        <w:rPr>
          <w:rFonts w:ascii="Calibri" w:hAnsi="Calibri"/>
          <w:b w:val="0"/>
          <w:i/>
          <w:sz w:val="22"/>
        </w:rPr>
        <w:t>tasarruf fî milk al-gayr</w:t>
      </w:r>
      <w:r>
        <w:rPr>
          <w:rFonts w:ascii="Calibri" w:hAnsi="Calibri"/>
          <w:b w:val="0"/>
          <w:i w:val="0"/>
          <w:sz w:val="22"/>
        </w:rPr>
        <w:t>), demonstrated under Evidence 4.</w:t>
      </w:r>
    </w:p>
    <w:p>
      <w:pPr>
        <w:spacing w:before="40" w:after="80" w:line="276" w:lineRule="auto"/>
      </w:pPr>
      <w:r>
        <w:rPr>
          <w:rFonts w:ascii="Calibri" w:hAnsi="Calibri"/>
          <w:b w:val="0"/>
          <w:i w:val="0"/>
          <w:sz w:val="22"/>
        </w:rPr>
        <w:t>6. Void restraints, artificial hoarding, and distress commerce (</w:t>
      </w:r>
      <w:r>
        <w:rPr>
          <w:rFonts w:ascii="Calibri" w:hAnsi="Calibri"/>
          <w:b w:val="0"/>
          <w:i/>
          <w:sz w:val="22"/>
        </w:rPr>
        <w:t>şart-ı fâsid</w:t>
      </w:r>
      <w:r>
        <w:rPr>
          <w:rFonts w:ascii="Calibri" w:hAnsi="Calibri"/>
          <w:b w:val="0"/>
          <w:i w:val="0"/>
          <w:sz w:val="22"/>
        </w:rPr>
        <w:t xml:space="preserve">, </w:t>
      </w:r>
      <w:r>
        <w:rPr>
          <w:rFonts w:ascii="Calibri" w:hAnsi="Calibri"/>
          <w:b w:val="0"/>
          <w:i/>
          <w:sz w:val="22"/>
        </w:rPr>
        <w:t>ihtikâr</w:t>
      </w:r>
      <w:r>
        <w:rPr>
          <w:rFonts w:ascii="Calibri" w:hAnsi="Calibri"/>
          <w:b w:val="0"/>
          <w:i w:val="0"/>
          <w:sz w:val="22"/>
        </w:rPr>
        <w:t xml:space="preserve">, and </w:t>
      </w:r>
      <w:r>
        <w:rPr>
          <w:rFonts w:ascii="Calibri" w:hAnsi="Calibri"/>
          <w:b w:val="0"/>
          <w:i/>
          <w:sz w:val="22"/>
        </w:rPr>
        <w:t>bay'u'l-mudtarr</w:t>
      </w:r>
      <w:r>
        <w:rPr>
          <w:rFonts w:ascii="Calibri" w:hAnsi="Calibri"/>
          <w:b w:val="0"/>
          <w:i w:val="0"/>
          <w:sz w:val="22"/>
        </w:rPr>
        <w:t>), demonstrated under Evidences 3 and 5.</w:t>
      </w:r>
    </w:p>
    <w:p>
      <w:pPr>
        <w:spacing w:before="40" w:after="80" w:line="276" w:lineRule="auto"/>
      </w:pPr>
      <w:r>
        <w:rPr>
          <w:rFonts w:ascii="Calibri" w:hAnsi="Calibri"/>
          <w:b w:val="0"/>
          <w:i w:val="0"/>
          <w:sz w:val="22"/>
        </w:rPr>
        <w:t>Alongside these stand four objective systemic harms:</w:t>
      </w:r>
    </w:p>
    <w:p>
      <w:pPr>
        <w:spacing w:before="40" w:after="80" w:line="276" w:lineRule="auto"/>
      </w:pPr>
      <w:r>
        <w:rPr>
          <w:rFonts w:ascii="Calibri" w:hAnsi="Calibri"/>
          <w:b w:val="0"/>
          <w:i w:val="0"/>
          <w:sz w:val="22"/>
        </w:rPr>
        <w:t>7. The unlawful acceleration of gain (</w:t>
      </w:r>
      <w:r>
        <w:rPr>
          <w:rFonts w:ascii="Calibri" w:hAnsi="Calibri"/>
          <w:b w:val="0"/>
          <w:i/>
          <w:sz w:val="22"/>
        </w:rPr>
        <w:t>isti'cel</w:t>
      </w:r>
      <w:r>
        <w:rPr>
          <w:rFonts w:ascii="Calibri" w:hAnsi="Calibri"/>
          <w:b w:val="0"/>
          <w:i w:val="0"/>
          <w:sz w:val="22"/>
        </w:rPr>
        <w:t xml:space="preserve"> under Mecelle 99).</w:t>
      </w:r>
    </w:p>
    <w:p>
      <w:pPr>
        <w:spacing w:before="40" w:after="80" w:line="276" w:lineRule="auto"/>
      </w:pPr>
      <w:r>
        <w:rPr>
          <w:rFonts w:ascii="Calibri" w:hAnsi="Calibri"/>
          <w:b w:val="0"/>
          <w:i w:val="0"/>
          <w:sz w:val="22"/>
        </w:rPr>
        <w:t>8. The reckless squandering of productive societal capital.</w:t>
      </w:r>
    </w:p>
    <w:p>
      <w:pPr>
        <w:spacing w:before="40" w:after="80" w:line="276" w:lineRule="auto"/>
      </w:pPr>
      <w:r>
        <w:rPr>
          <w:rFonts w:ascii="Calibri" w:hAnsi="Calibri"/>
          <w:b w:val="0"/>
          <w:i w:val="0"/>
          <w:sz w:val="22"/>
        </w:rPr>
        <w:t>9. Ecological depravation and public injury (</w:t>
      </w:r>
      <w:r>
        <w:rPr>
          <w:rFonts w:ascii="Calibri" w:hAnsi="Calibri"/>
          <w:b w:val="0"/>
          <w:i/>
          <w:sz w:val="22"/>
        </w:rPr>
        <w:t>ifsâd fi'l-arz</w:t>
      </w:r>
      <w:r>
        <w:rPr>
          <w:rFonts w:ascii="Calibri" w:hAnsi="Calibri"/>
          <w:b w:val="0"/>
          <w:i w:val="0"/>
          <w:sz w:val="22"/>
        </w:rPr>
        <w:t xml:space="preserve"> and </w:t>
      </w:r>
      <w:r>
        <w:rPr>
          <w:rFonts w:ascii="Calibri" w:hAnsi="Calibri"/>
          <w:b w:val="0"/>
          <w:i/>
          <w:sz w:val="22"/>
        </w:rPr>
        <w:t>darar-ı âmm</w:t>
      </w:r>
      <w:r>
        <w:rPr>
          <w:rFonts w:ascii="Calibri" w:hAnsi="Calibri"/>
          <w:b w:val="0"/>
          <w:i w:val="0"/>
          <w:sz w:val="22"/>
        </w:rPr>
        <w:t xml:space="preserve"> under Mecelle 26).</w:t>
      </w:r>
    </w:p>
    <w:p>
      <w:pPr>
        <w:spacing w:before="40" w:after="80" w:line="276" w:lineRule="auto"/>
      </w:pPr>
      <w:r>
        <w:rPr>
          <w:rFonts w:ascii="Calibri" w:hAnsi="Calibri"/>
          <w:b w:val="0"/>
          <w:i w:val="0"/>
          <w:sz w:val="22"/>
        </w:rPr>
        <w:t>10. The systemic corruption of the market through adverse selection.</w:t>
      </w:r>
    </w:p>
    <w:p>
      <w:pPr>
        <w:spacing w:before="40" w:after="80" w:line="276" w:lineRule="auto"/>
      </w:pPr>
      <w:r>
        <w:rPr>
          <w:rFonts w:ascii="Calibri" w:hAnsi="Calibri"/>
          <w:b w:val="0"/>
          <w:i w:val="0"/>
          <w:sz w:val="22"/>
        </w:rPr>
        <w:t>Now let us confront the four primary defenses offered by manufacturers.</w:t>
      </w:r>
    </w:p>
    <w:p>
      <w:pPr>
        <w:spacing w:before="40" w:after="80" w:line="276" w:lineRule="auto"/>
      </w:pPr>
      <w:r>
        <w:rPr>
          <w:rFonts w:ascii="Calibri" w:hAnsi="Calibri"/>
          <w:b w:val="0"/>
          <w:i w:val="0"/>
          <w:sz w:val="22"/>
        </w:rPr>
        <w:t>First, the defense of contract: "The buyer accepted our terms of service and software license. There was full disclosure and consent."</w:t>
      </w:r>
    </w:p>
    <w:p>
      <w:pPr>
        <w:spacing w:before="40" w:after="80" w:line="276" w:lineRule="auto"/>
      </w:pPr>
      <w:r>
        <w:rPr>
          <w:rFonts w:ascii="Calibri" w:hAnsi="Calibri"/>
          <w:b w:val="0"/>
          <w:i w:val="0"/>
          <w:sz w:val="22"/>
        </w:rPr>
        <w:t xml:space="preserve">This defense fails on two distinct levels. In private contract law, consent must be free, genuine, and directed toward a lawful subject matter. Manufacturers never openly disclose their premature termination routines; their business model depends upon charging for sound life while secretly delivering a truncated good. Furthermore, terms that grant a seller the ongoing power to destroy conveyed property are void ab initio. A standard adhesion contract cannot sanitize an unlawful act. More fundamentally, even if a maker stamped in bold letters on the box, "This machine will self-destruct after four units of time and cannot be repaired," that disclosure only addresses bilateral deception; it does not authorize the destruction of our shared planetary commons. Private individuals cannot lawfully consent to </w:t>
      </w:r>
      <w:r>
        <w:rPr>
          <w:rFonts w:ascii="Calibri" w:hAnsi="Calibri"/>
          <w:b w:val="0"/>
          <w:i/>
          <w:sz w:val="22"/>
        </w:rPr>
        <w:t>ifsâd fi'l-arz</w:t>
      </w:r>
      <w:r>
        <w:rPr>
          <w:rFonts w:ascii="Calibri" w:hAnsi="Calibri"/>
          <w:b w:val="0"/>
          <w:i w:val="0"/>
          <w:sz w:val="22"/>
        </w:rPr>
        <w:t>. The regulatory authority is duty-bound to prohibit such waste regardless of private agreement.</w:t>
      </w:r>
    </w:p>
    <w:p>
      <w:pPr>
        <w:spacing w:before="40" w:after="80" w:line="276" w:lineRule="auto"/>
      </w:pPr>
      <w:r>
        <w:rPr>
          <w:rFonts w:ascii="Calibri" w:hAnsi="Calibri"/>
          <w:b w:val="0"/>
          <w:i w:val="0"/>
          <w:sz w:val="22"/>
        </w:rPr>
        <w:t>Second, the defense of necessity: "We had no alternative. We intervened to protect system stability, sub-component safety, and regulatory compliance."</w:t>
      </w:r>
    </w:p>
    <w:p>
      <w:pPr>
        <w:spacing w:before="40" w:after="80" w:line="276" w:lineRule="auto"/>
      </w:pPr>
      <w:r>
        <w:rPr>
          <w:rFonts w:ascii="Calibri" w:hAnsi="Calibri"/>
          <w:b w:val="0"/>
          <w:i w:val="0"/>
          <w:sz w:val="22"/>
        </w:rPr>
        <w:t>This argument seeks to convert technical necessity (</w:t>
      </w:r>
      <w:r>
        <w:rPr>
          <w:rFonts w:ascii="Calibri" w:hAnsi="Calibri"/>
          <w:b w:val="0"/>
          <w:i/>
          <w:sz w:val="22"/>
        </w:rPr>
        <w:t>TeknikZaruret</w:t>
      </w:r>
      <w:r>
        <w:rPr>
          <w:rFonts w:ascii="Calibri" w:hAnsi="Calibri"/>
          <w:b w:val="0"/>
          <w:i w:val="0"/>
          <w:sz w:val="22"/>
        </w:rPr>
        <w:t xml:space="preserve">) into an absolute shield. But the law rejects false dilemmas. Necessity is strictly bounded by proportionality under Article 22 of the Mecelle. When a subordinate internal consumable reaches natural fatigue, that localized exhaustion does not give the manufacturer license to throttle the entire system and force the customer into buying a replacement. More decisively, Article 33 of the Mecelle establishes an unbending rule: </w:t>
      </w:r>
      <w:r>
        <w:rPr>
          <w:rFonts w:ascii="Calibri" w:hAnsi="Calibri"/>
          <w:b w:val="0"/>
          <w:i/>
          <w:sz w:val="22"/>
        </w:rPr>
        <w:t>Al-idtirâru lâ yubtilu haqqa'l-gayr</w:t>
      </w:r>
      <w:r>
        <w:rPr>
          <w:rFonts w:ascii="Calibri" w:hAnsi="Calibri"/>
          <w:b w:val="0"/>
          <w:i w:val="0"/>
          <w:sz w:val="22"/>
        </w:rPr>
        <w:t>—necessity does not extinguish the vested property right of another. If an authentic operational hazard arises, the maker must issue transparent notices, provide replacement components at reasonable cost, and restore the device to sound operation. Packaging commercial obsolescence as safety is not engineering; it is corporate subterfuge masquerading as necessity.</w:t>
      </w:r>
    </w:p>
    <w:p>
      <w:pPr>
        <w:spacing w:before="40" w:after="80" w:line="276" w:lineRule="auto"/>
      </w:pPr>
      <w:r>
        <w:rPr>
          <w:rFonts w:ascii="Calibri" w:hAnsi="Calibri"/>
          <w:b w:val="0"/>
          <w:i w:val="0"/>
          <w:sz w:val="22"/>
        </w:rPr>
        <w:t>Now direct your gaze to the sixth panel, which dismantles the third corporate defense: the appeal to intellectual property.</w:t>
      </w:r>
    </w:p>
    <w:p>
      <w:pPr>
        <w:spacing w:before="40" w:after="80" w:line="276" w:lineRule="auto"/>
      </w:pPr>
      <w:r>
        <w:rPr>
          <w:rFonts w:ascii="Calibri" w:hAnsi="Calibri"/>
          <w:b w:val="0"/>
          <w:i w:val="0"/>
          <w:sz w:val="22"/>
        </w:rPr>
        <w:t>Listen to how corporate attorneys routinely frame their position: they tell us that while the consumer bought the physical casing, the vendor retained absolute copyright over the underlying firmware, turning modern connected electronics into perpetual software leases rather than tangible private property.</w:t>
      </w:r>
    </w:p>
    <w:p>
      <w:pPr>
        <w:spacing w:before="40" w:after="80" w:line="276" w:lineRule="auto"/>
      </w:pPr>
      <w:r>
        <w:rPr>
          <w:rFonts w:ascii="Calibri" w:hAnsi="Calibri"/>
          <w:b w:val="0"/>
          <w:i w:val="0"/>
          <w:sz w:val="22"/>
        </w:rPr>
        <w:t>They imagine that copyright law can simply dissolve centuries of property jurisprudence with a single stroke. Yet classical law answers this without denying authorial rights, applying instead the universal First Sale Doctrine—expressed in Islamic jurisprudence as patent and copyright exhaustion (</w:t>
      </w:r>
      <w:r>
        <w:rPr>
          <w:rFonts w:ascii="Calibri" w:hAnsi="Calibri"/>
          <w:b w:val="0"/>
          <w:i/>
          <w:sz w:val="22"/>
        </w:rPr>
        <w:t>İstihlâk-ı Hak bi'l-Bey'i'l-Evvel</w:t>
      </w:r>
      <w:r>
        <w:rPr>
          <w:rFonts w:ascii="Calibri" w:hAnsi="Calibri"/>
          <w:b w:val="0"/>
          <w:i w:val="0"/>
          <w:sz w:val="22"/>
        </w:rPr>
        <w:t xml:space="preserve">). The moment a creator sells a device for an agreed price </w:t>
      </w:r>
      <w:r>
        <w:rPr>
          <w:rFonts w:ascii="Calibri" w:hAnsi="Calibri"/>
          <w:b w:val="0"/>
          <w:i/>
          <w:sz w:val="22"/>
        </w:rPr>
        <w:t>Semen</w:t>
      </w:r>
      <w:r>
        <w:rPr>
          <w:rFonts w:ascii="Calibri" w:hAnsi="Calibri"/>
          <w:b w:val="0"/>
          <w:i w:val="0"/>
          <w:sz w:val="22"/>
        </w:rPr>
        <w:t>, their legal mandate over the physical operation, maintenance, and lifespan of that specific, embodied specimen (</w:t>
      </w:r>
      <w:r>
        <w:rPr>
          <w:rFonts w:ascii="Calibri" w:hAnsi="Calibri"/>
          <w:b w:val="0"/>
          <w:i/>
          <w:sz w:val="22"/>
        </w:rPr>
        <w:t>Milk al-Nuskha</w:t>
      </w:r>
      <w:r>
        <w:rPr>
          <w:rFonts w:ascii="Calibri" w:hAnsi="Calibri"/>
          <w:b w:val="0"/>
          <w:i w:val="0"/>
          <w:sz w:val="22"/>
        </w:rPr>
        <w:t>) is spent. By all means, prevent rogue actors from copying and distributing your operating system for profit; but you have zero license to reach into a customer’s living room and intentionally break their hardware. To cite intellectual property as justification for remote throttling or repair blockades is an actionable abuse of right and a null condition (</w:t>
      </w:r>
      <w:r>
        <w:rPr>
          <w:rFonts w:ascii="Calibri" w:hAnsi="Calibri"/>
          <w:b w:val="0"/>
          <w:i/>
          <w:sz w:val="22"/>
        </w:rPr>
        <w:t>şart-ı fâsid</w:t>
      </w:r>
      <w:r>
        <w:rPr>
          <w:rFonts w:ascii="Calibri" w:hAnsi="Calibri"/>
          <w:b w:val="0"/>
          <w:i w:val="0"/>
          <w:sz w:val="22"/>
        </w:rPr>
        <w:t>) under Article 100 of the Mecelle. Remote software pipes are held under custodial trust (</w:t>
      </w:r>
      <w:r>
        <w:rPr>
          <w:rFonts w:ascii="Calibri" w:hAnsi="Calibri"/>
          <w:b w:val="0"/>
          <w:i/>
          <w:sz w:val="22"/>
        </w:rPr>
        <w:t>amânat al-hifz</w:t>
      </w:r>
      <w:r>
        <w:rPr>
          <w:rFonts w:ascii="Calibri" w:hAnsi="Calibri"/>
          <w:b w:val="0"/>
          <w:i w:val="0"/>
          <w:sz w:val="22"/>
        </w:rPr>
        <w:t>); they are meant for defensive security, not covert commercial sabotage. The duty of the maker is unmistakable: dismantle cryptographic locks that reject unbranded spare parts, and release local signing keys once cloud servers are decommissioned. If a tech firm wishes to preserve absolute operational authority, let them draft an honest lease (</w:t>
      </w:r>
      <w:r>
        <w:rPr>
          <w:rFonts w:ascii="Calibri" w:hAnsi="Calibri"/>
          <w:b w:val="0"/>
          <w:i/>
          <w:sz w:val="22"/>
        </w:rPr>
        <w:t>icâre</w:t>
      </w:r>
      <w:r>
        <w:rPr>
          <w:rFonts w:ascii="Calibri" w:hAnsi="Calibri"/>
          <w:b w:val="0"/>
          <w:i w:val="0"/>
          <w:sz w:val="22"/>
        </w:rPr>
        <w:t>), carrying the physical asset on their own corporate balance sheet and shouldering every maintenance dollar. But they must not take an outright sale price at the register while reserving the perpetual tyranny of an absentee landlord.</w:t>
      </w:r>
    </w:p>
    <w:p>
      <w:pPr>
        <w:spacing w:before="40" w:after="80" w:line="276" w:lineRule="auto"/>
      </w:pPr>
      <w:r>
        <w:rPr>
          <w:rFonts w:ascii="Calibri" w:hAnsi="Calibri"/>
          <w:b w:val="0"/>
          <w:i w:val="0"/>
          <w:sz w:val="22"/>
        </w:rPr>
        <w:t>Fourth, consider the defense of innovation: "Planned obsolescence funds research and development. Rapid replacement cycles drive technological progress and lower unit costs."</w:t>
      </w:r>
    </w:p>
    <w:p>
      <w:pPr>
        <w:spacing w:before="40" w:after="80" w:line="276" w:lineRule="auto"/>
      </w:pPr>
      <w:r>
        <w:rPr>
          <w:rFonts w:ascii="Calibri" w:hAnsi="Calibri"/>
          <w:b w:val="0"/>
          <w:i w:val="0"/>
          <w:sz w:val="22"/>
        </w:rPr>
        <w:t>This argument collapses under contractual, ethical, and economic scrutiny. First, look at the moral logic: the manufacturer secretly deprives the buyer of agreed lifespan to fund future prototypes. The value of that undelivered utility is taken without consent. A noble end cannot sanctify an unlawful means (</w:t>
      </w:r>
      <w:r>
        <w:rPr>
          <w:rFonts w:ascii="Calibri" w:hAnsi="Calibri"/>
          <w:b w:val="0"/>
          <w:i/>
          <w:sz w:val="22"/>
        </w:rPr>
        <w:t>al-ghâyatu lâ tubarriru'l-wasîlah</w:t>
      </w:r>
      <w:r>
        <w:rPr>
          <w:rFonts w:ascii="Calibri" w:hAnsi="Calibri"/>
          <w:b w:val="0"/>
          <w:i w:val="0"/>
          <w:sz w:val="22"/>
        </w:rPr>
        <w:t>). If buyers truly wanted to fund future research through premature product death, makers would disclose it openly; their secrecy is an admission that consumers would reject the deal. Second, real technological progress thrives on the voluntary adoption of superior performance, not the forced destruction of existing utility. When older hardware cannot support demanding modern software, the maker is entitled to stabilize the legacy operating system and announce the end of major feature upgrades. Preserving a stable baseline maintains functional integrity without destroying the machine. Genuine innovation elevates the production frontier; planned obsolescence destroys existing wealth to generate unearned repeat sales.</w:t>
      </w:r>
    </w:p>
    <w:p>
      <w:pPr>
        <w:spacing w:before="40" w:after="80" w:line="276" w:lineRule="auto"/>
      </w:pPr>
      <w:r>
        <w:rPr>
          <w:rFonts w:ascii="Calibri" w:hAnsi="Calibri"/>
          <w:b w:val="0"/>
          <w:i w:val="0"/>
          <w:sz w:val="22"/>
        </w:rPr>
        <w:t>Finally, direct your gaze to the synthesis matrix on our seventh panel. Stripping away the legal evasions, what is the bottom line? Wherever an enterprise introduces artificial failure ceilings or traps consumers inside walled gardens without proving authentic technical proportionality, reason, positive statute, and classical ethics converge upon an uncompromising verdict.</w:t>
      </w:r>
    </w:p>
    <w:p>
      <w:pPr>
        <w:spacing w:before="40" w:after="80" w:line="276" w:lineRule="auto"/>
      </w:pPr>
      <w:r>
        <w:rPr>
          <w:rFonts w:ascii="Calibri" w:hAnsi="Calibri"/>
          <w:b w:val="0"/>
          <w:i w:val="0"/>
          <w:sz w:val="22"/>
        </w:rPr>
        <w:t>Deliberately truncating lifespan or fencing off spare parts is not forward-looking enterprise; it is upstream fraud (</w:t>
      </w:r>
      <w:r>
        <w:rPr>
          <w:rFonts w:ascii="Calibri" w:hAnsi="Calibri"/>
          <w:b w:val="0"/>
          <w:i/>
          <w:sz w:val="22"/>
        </w:rPr>
        <w:t>taghrîr</w:t>
      </w:r>
      <w:r>
        <w:rPr>
          <w:rFonts w:ascii="Calibri" w:hAnsi="Calibri"/>
          <w:b w:val="0"/>
          <w:i w:val="0"/>
          <w:sz w:val="22"/>
        </w:rPr>
        <w:t>), an actionable latent defect (</w:t>
      </w:r>
      <w:r>
        <w:rPr>
          <w:rFonts w:ascii="Calibri" w:hAnsi="Calibri"/>
          <w:b w:val="0"/>
          <w:i/>
          <w:sz w:val="22"/>
        </w:rPr>
        <w:t>ayb</w:t>
      </w:r>
      <w:r>
        <w:rPr>
          <w:rFonts w:ascii="Calibri" w:hAnsi="Calibri"/>
          <w:b w:val="0"/>
          <w:i w:val="0"/>
          <w:sz w:val="22"/>
        </w:rPr>
        <w:t>), and systematic commercial deceit. Reaching across networks to degrade processor speeds after delivery, or planting digital traps against independent repair benches, constitutes tortious trespass (</w:t>
      </w:r>
      <w:r>
        <w:rPr>
          <w:rFonts w:ascii="Calibri" w:hAnsi="Calibri"/>
          <w:b w:val="0"/>
          <w:i/>
          <w:sz w:val="22"/>
        </w:rPr>
        <w:t>mübâşereten teaddî</w:t>
      </w:r>
      <w:r>
        <w:rPr>
          <w:rFonts w:ascii="Calibri" w:hAnsi="Calibri"/>
          <w:b w:val="0"/>
          <w:i w:val="0"/>
          <w:sz w:val="22"/>
        </w:rPr>
        <w:t>), an unlawful assault on private title, and a breach of custodial trust. And when such premature waste spills into the biosphere, crushing our ecological carrying capacity, it inflicts irremediable planetary harm—</w:t>
      </w:r>
      <w:r>
        <w:rPr>
          <w:rFonts w:ascii="Calibri" w:hAnsi="Calibri"/>
          <w:b w:val="0"/>
          <w:i/>
          <w:sz w:val="22"/>
        </w:rPr>
        <w:t>ifsâd fi'l-arz</w:t>
      </w:r>
      <w:r>
        <w:rPr>
          <w:rFonts w:ascii="Calibri" w:hAnsi="Calibri"/>
          <w:b w:val="0"/>
          <w:i w:val="0"/>
          <w:sz w:val="22"/>
        </w:rPr>
        <w:t xml:space="preserve"> and </w:t>
      </w:r>
      <w:r>
        <w:rPr>
          <w:rFonts w:ascii="Calibri" w:hAnsi="Calibri"/>
          <w:b w:val="0"/>
          <w:i/>
          <w:sz w:val="22"/>
        </w:rPr>
        <w:t>darar-ı âmm</w:t>
      </w:r>
      <w:r>
        <w:rPr>
          <w:rFonts w:ascii="Calibri" w:hAnsi="Calibri"/>
          <w:b w:val="0"/>
          <w:i w:val="0"/>
          <w:sz w:val="22"/>
        </w:rPr>
        <w:t>. That ecological crime completely invalidates the liability disclaimers companies slip into fine print, giving public magistrates full warrant to order restitution and punitive remedies. You cannot wash this clean by wrapping it in the polite language of software licenses, component safety, or corporate innovation; doing so only layers hypocrisy on top of injustice.</w:t>
      </w:r>
    </w:p>
    <w:p>
      <w:pPr>
        <w:spacing w:before="40" w:after="80" w:line="276" w:lineRule="auto"/>
      </w:pPr>
      <w:r>
        <w:rPr>
          <w:rFonts w:ascii="Calibri" w:hAnsi="Calibri"/>
          <w:b w:val="0"/>
          <w:i w:val="0"/>
          <w:sz w:val="22"/>
        </w:rPr>
        <w:t>What then is the mandate for manufacturers, software architects, and platform designers? The standard of justice could not be simpler. When your hardware genuinely encounters its computational horizon, state that truth openly, leave the legacy software unmolested, and surrender the cryptographic keys so owners can run their property locally. If an authentic component hazard emerges, issue a public recall notice and supply modular replacements under the proportionality rule of Article 22 of the Mecelle, rather than sabotaging the device from afar. And if system integrity demands security verification, implement open and verifiable attestation rather than proprietary locks designed to extinguish independent repair.</w:t>
      </w:r>
    </w:p>
    <w:p>
      <w:pPr>
        <w:spacing w:before="40" w:after="80" w:line="276" w:lineRule="auto"/>
      </w:pPr>
      <w:r>
        <w:rPr>
          <w:rFonts w:ascii="Calibri" w:hAnsi="Calibri"/>
          <w:b w:val="0"/>
          <w:i w:val="0"/>
          <w:sz w:val="22"/>
        </w:rPr>
        <w:t>Let transactions reflect the reality of things, not corporate fictions. If you sell an asset, you must relinquish your grip over it. If you wish to maintain ongoing governance, you must step forward into a genuine circular lease (</w:t>
      </w:r>
      <w:r>
        <w:rPr>
          <w:rFonts w:ascii="Calibri" w:hAnsi="Calibri"/>
          <w:b w:val="0"/>
          <w:i/>
          <w:sz w:val="22"/>
        </w:rPr>
        <w:t>icâre</w:t>
      </w:r>
      <w:r>
        <w:rPr>
          <w:rFonts w:ascii="Calibri" w:hAnsi="Calibri"/>
          <w:b w:val="0"/>
          <w:i w:val="0"/>
          <w:sz w:val="22"/>
        </w:rPr>
        <w:t>)—keeping the asset on your own corporate balance sheet and bearing every single life-cycle cost yourself. Any commercial enterprise that pockets the upfront price of an outright sale, while secretly holding the hidden strings to terminate that product from afar, is no longer engaged in lawful trade. It is presiding over an unlawful commercial tyranny.</w:t>
      </w:r>
    </w:p>
    <w:p>
      <w:pPr>
        <w:spacing w:before="40" w:after="80" w:line="276" w:lineRule="auto"/>
      </w:pPr>
      <w:r>
        <w:rPr>
          <w:rFonts w:ascii="Calibri" w:hAnsi="Calibri"/>
          <w:b w:val="0"/>
          <w:i w:val="0"/>
          <w:sz w:val="22"/>
        </w:rPr>
        <w:t>Thank you.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