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pPr>
      <w:r>
        <w:rPr>
          <w:rFonts w:ascii="Calibri" w:hAnsi="Calibri"/>
          <w:b w:val="0"/>
          <w:i w:val="0"/>
          <w:sz w:val="22"/>
        </w:rPr>
        <w:t>Today I will speak about planned obsolescence and its legal, rational and moral ruling.</w:t>
      </w:r>
    </w:p>
    <w:p>
      <w:pPr>
        <w:spacing w:before="40" w:after="80" w:line="276" w:lineRule="auto"/>
      </w:pPr>
      <w:r>
        <w:rPr>
          <w:rFonts w:ascii="Calibri" w:hAnsi="Calibri"/>
          <w:b w:val="0"/>
          <w:i w:val="0"/>
          <w:sz w:val="22"/>
        </w:rPr>
        <w:t>I will not argue from objects. A specific mechanism, an interchangeable component, an energy storage unit or an executable routine carries its own physics, its own safety rules and its own statutory standards, and the moment I name one of them, the argument turns into a debate about that specific artifact and I lose the universal principle. So I will abstract the principle away from every specific physical manifestation. In the language of the jurists this is the purification of the operative legal ground, tenkîh-i menât: I remove the brand, the product category, and the specific material substrate, and I retain only that upon which the legal ruling truly depends. What remains is a model defined by economic architecture, economic and industrial ecosystems, strict delictual liability, and objective normative variables. Every argument in this presentation is built exclusively upon this model and its four archetypes.</w:t>
      </w:r>
    </w:p>
    <w:p>
      <w:pPr>
        <w:spacing w:before="40" w:after="80" w:line="276" w:lineRule="auto"/>
      </w:pPr>
      <w:r>
        <w:rPr>
          <w:rFonts w:ascii="Calibri" w:hAnsi="Calibri"/>
          <w:b w:val="0"/>
          <w:i w:val="0"/>
          <w:sz w:val="22"/>
        </w:rPr>
        <w:t>Here are the variables and governing mathematical axioms.</w:t>
      </w:r>
    </w:p>
    <w:p>
      <w:pPr>
        <w:spacing w:before="40" w:after="80" w:line="276" w:lineRule="auto"/>
      </w:pPr>
      <w:r>
        <w:rPr>
          <w:rFonts w:ascii="Calibri" w:hAnsi="Calibri"/>
          <w:b w:val="0"/>
          <w:i w:val="0"/>
          <w:sz w:val="22"/>
        </w:rPr>
        <w:t>The actors and their jurisdictional standing:</w:t>
      </w:r>
    </w:p>
    <w:p>
      <w:pPr>
        <w:spacing w:before="40" w:after="80" w:line="276" w:lineRule="auto"/>
        <w:ind w:left="360"/>
      </w:pPr>
      <w:r>
        <w:rPr>
          <w:rFonts w:ascii="Calibri" w:hAnsi="Calibri"/>
          <w:b w:val="0"/>
          <w:i w:val="0"/>
          <w:sz w:val="22"/>
        </w:rPr>
        <w:t>•  Sâni (es-Sâni' / Manufacturer / Platform Architect): The actor commanding asymmetric information and engineering power, determining the physical and logical boundaries of the asset.</w:t>
      </w:r>
    </w:p>
    <w:p>
      <w:pPr>
        <w:spacing w:before="40" w:after="80" w:line="276" w:lineRule="auto"/>
        <w:ind w:left="360"/>
      </w:pPr>
      <w:r>
        <w:rPr>
          <w:rFonts w:ascii="Calibri" w:hAnsi="Calibri"/>
          <w:b w:val="0"/>
          <w:i w:val="0"/>
          <w:sz w:val="22"/>
        </w:rPr>
        <w:t>•  Bâi (el-Bâi' / Vendor / Intermediary Distributor): The intermediary party transferring ownership and possession at the time of contract (t0).</w:t>
      </w:r>
    </w:p>
    <w:p>
      <w:pPr>
        <w:spacing w:before="40" w:after="80" w:line="276" w:lineRule="auto"/>
        <w:ind w:left="360"/>
      </w:pPr>
      <w:r>
        <w:rPr>
          <w:rFonts w:ascii="Calibri" w:hAnsi="Calibri"/>
          <w:b w:val="0"/>
          <w:i w:val="0"/>
          <w:sz w:val="22"/>
        </w:rPr>
        <w:t>•  Mâlik (el-Müşterî / Purchaser / Title Holder): The party acquiring full ownership by paying purchase price Semen and assuming the natural temporal risk of wear.</w:t>
      </w:r>
    </w:p>
    <w:p>
      <w:pPr>
        <w:spacing w:before="40" w:after="80" w:line="276" w:lineRule="auto"/>
        <w:ind w:left="360"/>
      </w:pPr>
      <w:r>
        <w:rPr>
          <w:rFonts w:ascii="Calibri" w:hAnsi="Calibri"/>
          <w:b w:val="0"/>
          <w:i w:val="0"/>
          <w:sz w:val="22"/>
        </w:rPr>
        <w:t>•  Hukukullâh (MüştereklerEşiği / Public &amp; Ecological Commons Boundary): The planetary thermodynamic carrying capacity threshold and the systemic order of public trust in commerce.</w:t>
      </w:r>
    </w:p>
    <w:p>
      <w:pPr>
        <w:spacing w:before="40" w:after="80" w:line="276" w:lineRule="auto"/>
      </w:pPr>
      <w:r>
        <w:rPr>
          <w:rFonts w:ascii="Calibri" w:hAnsi="Calibri"/>
          <w:b w:val="0"/>
          <w:i w:val="0"/>
          <w:sz w:val="22"/>
        </w:rPr>
        <w:t>The structural and economic parameters:</w:t>
      </w:r>
    </w:p>
    <w:p>
      <w:pPr>
        <w:spacing w:before="40" w:after="80" w:line="276" w:lineRule="auto"/>
        <w:ind w:left="360"/>
      </w:pPr>
      <w:r>
        <w:rPr>
          <w:rFonts w:ascii="Calibri" w:hAnsi="Calibri"/>
          <w:b w:val="0"/>
          <w:i w:val="0"/>
          <w:sz w:val="22"/>
        </w:rPr>
        <w:t>•  Metâ (el-Metâ el-Muammer / Durable Economic Asset): The manufactured, time-resistant durable asset.</w:t>
      </w:r>
    </w:p>
    <w:p>
      <w:pPr>
        <w:spacing w:before="40" w:after="80" w:line="276" w:lineRule="auto"/>
        <w:ind w:left="360"/>
      </w:pPr>
      <w:r>
        <w:rPr>
          <w:rFonts w:ascii="Calibri" w:hAnsi="Calibri"/>
          <w:b w:val="0"/>
          <w:i w:val="0"/>
          <w:sz w:val="22"/>
        </w:rPr>
        <w:t>•  Semen (Purchase Price / Commutative Value): The consideration paid by Mâlik in exchange for the authentic, uncurtailed baseline capacity of Metâ.</w:t>
      </w:r>
    </w:p>
    <w:p>
      <w:pPr>
        <w:spacing w:before="40" w:after="80" w:line="276" w:lineRule="auto"/>
        <w:ind w:left="360"/>
      </w:pPr>
      <w:r>
        <w:rPr>
          <w:rFonts w:ascii="Calibri" w:hAnsi="Calibri"/>
          <w:b w:val="0"/>
          <w:i w:val="0"/>
          <w:sz w:val="22"/>
        </w:rPr>
        <w:t>•  AsliKapasite (Inherent Capacity / Natural Durability Benchmark): The intrinsic threshold of durability and baseline operational utility embedded by Sâni in the physical architecture, material allocation, and logical constitution of Metâ.</w:t>
      </w:r>
    </w:p>
    <w:p>
      <w:pPr>
        <w:spacing w:before="40" w:after="80" w:line="276" w:lineRule="auto"/>
        <w:ind w:left="360"/>
      </w:pPr>
      <w:r>
        <w:rPr>
          <w:rFonts w:ascii="Calibri" w:hAnsi="Calibri"/>
          <w:b w:val="0"/>
          <w:i w:val="0"/>
          <w:sz w:val="22"/>
        </w:rPr>
        <w:t>•  KasıtlıKısıt (Engineered Limit / Premature Failure Ceiling): The artificial ceiling of premature termination intentionally planted within Metâ, strictly smaller than its inherent capacity (KasıtlıKısıt &lt; AsliKapasite).</w:t>
      </w:r>
    </w:p>
    <w:p>
      <w:pPr>
        <w:spacing w:before="40" w:after="80" w:line="276" w:lineRule="auto"/>
        <w:ind w:left="360"/>
      </w:pPr>
      <w:r>
        <w:rPr>
          <w:rFonts w:ascii="Calibri" w:hAnsi="Calibri"/>
          <w:b w:val="0"/>
          <w:i w:val="0"/>
          <w:sz w:val="22"/>
        </w:rPr>
        <w:t>•  TeknikZaruret (Proportionality Filter / Technical Necessity): The standard of legitimate necessity recognized under Mecelle Article 22:</w:t>
      </w:r>
    </w:p>
    <w:p>
      <w:pPr>
        <w:spacing w:before="40" w:after="80" w:line="276" w:lineRule="auto"/>
      </w:pPr>
      <w:r>
        <w:rPr>
          <w:rFonts w:ascii="Calibri" w:hAnsi="Calibri"/>
          <w:b w:val="0"/>
          <w:i w:val="0"/>
          <w:sz w:val="22"/>
        </w:rPr>
        <w:t>Proportionality Measure: Proportion = TechnicalGainAchieved / OperationalCapacityDestroyed</w:t>
      </w:r>
    </w:p>
    <w:p>
      <w:pPr>
        <w:spacing w:before="40" w:after="80" w:line="276" w:lineRule="auto"/>
      </w:pPr>
      <w:r>
        <w:rPr>
          <w:rFonts w:ascii="Calibri" w:hAnsi="Calibri"/>
          <w:b w:val="0"/>
          <w:i w:val="0"/>
          <w:sz w:val="22"/>
        </w:rPr>
        <w:t>Abuse of Rights Principle: If Proportion approaches zero (technical gain is trivial relative to the destruction of utility), TeknikZaruret is null and void, constituting an abuse of right (sû-i isti'mâl-i hak).</w:t>
      </w:r>
    </w:p>
    <w:p>
      <w:pPr>
        <w:spacing w:before="40" w:after="80" w:line="276" w:lineRule="auto"/>
        <w:ind w:left="360"/>
      </w:pPr>
      <w:r>
        <w:rPr>
          <w:rFonts w:ascii="Calibri" w:hAnsi="Calibri"/>
          <w:b w:val="0"/>
          <w:i w:val="0"/>
          <w:sz w:val="22"/>
        </w:rPr>
        <w:t>•  EsaretKatsayısı (Switching Barrier / Ecosystem Lock-in Index): The index of platform captivity extinguishing consumer mobility (ranging from 0 to 1):</w:t>
      </w:r>
    </w:p>
    <w:p>
      <w:pPr>
        <w:spacing w:before="40" w:after="80" w:line="276" w:lineRule="auto"/>
      </w:pPr>
      <w:r>
        <w:rPr>
          <w:rFonts w:ascii="Calibri" w:hAnsi="Calibri"/>
          <w:b w:val="0"/>
          <w:i w:val="0"/>
          <w:sz w:val="22"/>
        </w:rPr>
        <w:t>Extinction of Exit: As EsaretKatsayısı approaches 1, purchase price Semen does not deflate against engineered limit KasıtlıKısıt; market price discipline collapses and monopolistic extraction operates unimpeded.</w:t>
      </w:r>
    </w:p>
    <w:p>
      <w:pPr>
        <w:spacing w:before="40" w:after="80" w:line="276" w:lineRule="auto"/>
        <w:ind w:left="360"/>
      </w:pPr>
      <w:r>
        <w:rPr>
          <w:rFonts w:ascii="Calibri" w:hAnsi="Calibri"/>
          <w:b w:val="0"/>
          <w:i w:val="0"/>
          <w:sz w:val="22"/>
        </w:rPr>
        <w:t>•  MüştereklerEşiği (Thermodynamic Commons Carrying Capacity): The carrying capacity threshold of social and ecological commons:</w:t>
      </w:r>
    </w:p>
    <w:p>
      <w:pPr>
        <w:spacing w:before="40" w:after="80" w:line="276" w:lineRule="auto"/>
      </w:pPr>
      <w:r>
        <w:rPr>
          <w:rFonts w:ascii="Calibri" w:hAnsi="Calibri"/>
          <w:b w:val="0"/>
          <w:i w:val="0"/>
          <w:sz w:val="22"/>
        </w:rPr>
        <w:t>Public Invalidation Principle: If the cumulative capacity expropriated across society [Sum(AsliKapasite - KasıtlıKısıt)] breaches MüştereklerEşiği, contractual exculpatory waivers are void ab initio (Mecelle Article 26).</w:t>
      </w:r>
    </w:p>
    <w:p>
      <w:pPr>
        <w:spacing w:before="40" w:after="80" w:line="276" w:lineRule="auto"/>
      </w:pPr>
      <w:r>
        <w:rPr>
          <w:rFonts w:ascii="Calibri" w:hAnsi="Calibri"/>
          <w:b w:val="0"/>
          <w:i w:val="0"/>
          <w:sz w:val="22"/>
        </w:rPr>
        <w:t>Mâlik retains complete proprietary sovereignty (Milk Tamm); punitive and compensatory liabilities fall directly upon Sâni (Ta'zîr and Hisbe).</w:t>
      </w:r>
    </w:p>
    <w:p>
      <w:pPr>
        <w:spacing w:before="40" w:after="80" w:line="276" w:lineRule="auto"/>
      </w:pPr>
      <w:r>
        <w:rPr>
          <w:rFonts w:ascii="Calibri" w:hAnsi="Calibri"/>
          <w:b w:val="0"/>
          <w:i/>
          <w:sz w:val="22"/>
        </w:rPr>
        <w:t>(The speaker gestures toward Slide 01 on the screen: Universal Jurisprudential Model &amp; Architecture)</w:t>
      </w:r>
    </w:p>
    <w:p>
      <w:pPr>
        <w:spacing w:before="40" w:after="80" w:line="276" w:lineRule="auto"/>
      </w:pPr>
      <w:r>
        <w:rPr>
          <w:rFonts w:ascii="Calibri" w:hAnsi="Calibri"/>
          <w:b w:val="0"/>
          <w:i w:val="0"/>
          <w:sz w:val="22"/>
        </w:rPr>
        <w:t>THE MATHEMATICAL SPECIFICATION OF THE FOUR ARCHETYPES:</w:t>
      </w:r>
    </w:p>
    <w:p>
      <w:pPr>
        <w:spacing w:before="40" w:after="80" w:line="276" w:lineRule="auto"/>
      </w:pPr>
      <w:r>
        <w:rPr>
          <w:rFonts w:ascii="Calibri" w:hAnsi="Calibri"/>
          <w:b w:val="0"/>
          <w:i w:val="0"/>
          <w:sz w:val="22"/>
        </w:rPr>
        <w:t>1. Upstream Commutative Exploitation (Model 1):</w:t>
      </w:r>
    </w:p>
    <w:p>
      <w:pPr>
        <w:spacing w:before="40" w:after="80" w:line="276" w:lineRule="auto"/>
      </w:pPr>
      <w:r>
        <w:rPr>
          <w:rFonts w:ascii="Calibri" w:hAnsi="Calibri"/>
          <w:b w:val="0"/>
          <w:i w:val="0"/>
          <w:sz w:val="22"/>
        </w:rPr>
        <w:t>Unlawful Price Gain = Semen(AsliKapasite) - Semen(KasıtlıKısıt) &gt; 0 (Under Asymmetric Information) ==&gt; Unlawful Appropriation of Wealth (Ekl-i Emvâl bi'l-Bâtıl, An-Nisâ 29).</w:t>
      </w:r>
    </w:p>
    <w:p>
      <w:pPr>
        <w:spacing w:before="40" w:after="80" w:line="276" w:lineRule="auto"/>
      </w:pPr>
      <w:r>
        <w:rPr>
          <w:rFonts w:ascii="Calibri" w:hAnsi="Calibri"/>
          <w:b w:val="0"/>
          <w:i w:val="0"/>
          <w:sz w:val="22"/>
        </w:rPr>
        <w:t>2. Structural Inseparable Entrapment (Model 1 / Monolithic Captivity):</w:t>
      </w:r>
    </w:p>
    <w:p>
      <w:pPr>
        <w:spacing w:before="40" w:after="80" w:line="276" w:lineRule="auto"/>
      </w:pPr>
      <w:r>
        <w:rPr>
          <w:rFonts w:ascii="Calibri" w:hAnsi="Calibri"/>
          <w:b w:val="0"/>
          <w:i w:val="0"/>
          <w:sz w:val="22"/>
        </w:rPr>
        <w:t>Damage Ratio = Expropriated Residual Utility / Replacement Cost of Depleting Element &gt;&gt; 1 ==&gt; Constructive Total Destruction (Helâk-ı Hükmî).</w:t>
      </w:r>
    </w:p>
    <w:p>
      <w:pPr>
        <w:spacing w:before="40" w:after="80" w:line="276" w:lineRule="auto"/>
      </w:pPr>
      <w:r>
        <w:rPr>
          <w:rFonts w:ascii="Calibri" w:hAnsi="Calibri"/>
          <w:b w:val="0"/>
          <w:i w:val="0"/>
          <w:sz w:val="22"/>
        </w:rPr>
        <w:t>3. Post-Sale Delictual Trespass (Model 2):</w:t>
      </w:r>
    </w:p>
    <w:p>
      <w:pPr>
        <w:spacing w:before="40" w:after="80" w:line="276" w:lineRule="auto"/>
      </w:pPr>
      <w:r>
        <w:rPr>
          <w:rFonts w:ascii="Calibri" w:hAnsi="Calibri"/>
          <w:b w:val="0"/>
          <w:i w:val="0"/>
          <w:sz w:val="22"/>
        </w:rPr>
        <w:t>At All Post-Sale Times (t &gt; t0): Capacity Derivative under Unilateral Intervention of Sâni &lt; 0 ==&gt; Direct Tortious Destruction (Mübâşereten İtlâf, Mecelle Article 92).</w:t>
      </w:r>
    </w:p>
    <w:p>
      <w:pPr>
        <w:spacing w:before="40" w:after="80" w:line="276" w:lineRule="auto"/>
      </w:pPr>
      <w:r>
        <w:rPr>
          <w:rFonts w:ascii="Calibri" w:hAnsi="Calibri"/>
          <w:b w:val="0"/>
          <w:i w:val="0"/>
          <w:sz w:val="22"/>
        </w:rPr>
        <w:t>4. Monopolistic Foreclosure of Maintenance (Model 3):</w:t>
      </w:r>
    </w:p>
    <w:p>
      <w:pPr>
        <w:spacing w:before="40" w:after="80" w:line="276" w:lineRule="auto"/>
      </w:pPr>
      <w:r>
        <w:rPr>
          <w:rFonts w:ascii="Calibri" w:hAnsi="Calibri"/>
          <w:b w:val="0"/>
          <w:i w:val="0"/>
          <w:sz w:val="22"/>
        </w:rPr>
        <w:t>Monopolistic Embargo Ratio = Foreclosed Maintenance / Authentic Security Risk Differential ==&gt; Diverges to Infinity ==&gt; Unlawful Hoarding &amp; Void Restraint (İhtikâr and Şart-ı Fâsid, Mecelle Article 100).</w:t>
      </w:r>
    </w:p>
    <w:p>
      <w:pPr>
        <w:keepNext/>
        <w:spacing w:before="280" w:after="80"/>
      </w:pPr>
      <w:r>
        <w:rPr>
          <w:rFonts w:ascii="Calibri" w:hAnsi="Calibri"/>
          <w:b/>
          <w:sz w:val="26"/>
        </w:rPr>
        <w:t>THE ROOT CHARACTERIZATION: THE SIX JURISTIC HARMONIES.</w:t>
        <w:br/>
        <w:t>Before examining the models, the legal and economic reality of planned obsolescence must be freed from six critical misconceptions:</w:t>
      </w:r>
    </w:p>
    <w:p>
      <w:pPr>
        <w:spacing w:before="40" w:after="80" w:line="276" w:lineRule="auto"/>
      </w:pPr>
      <w:r>
        <w:rPr>
          <w:rFonts w:ascii="Calibri" w:hAnsi="Calibri"/>
          <w:b w:val="0"/>
          <w:i w:val="0"/>
          <w:sz w:val="22"/>
        </w:rPr>
        <w:t>First, The Normative Definition of Defect versus Natural Fatigue Gradient (Ayıp ile Doğal Mukavemet Gradyanı Ayrımı):</w:t>
      </w:r>
    </w:p>
    <w:p>
      <w:pPr>
        <w:spacing w:before="40" w:after="80" w:line="276" w:lineRule="auto"/>
      </w:pPr>
      <w:r>
        <w:rPr>
          <w:rFonts w:ascii="Calibri" w:hAnsi="Calibri"/>
          <w:b w:val="0"/>
          <w:i w:val="0"/>
          <w:sz w:val="22"/>
        </w:rPr>
        <w:t>In reliability engineering and materials science, a complex manufactured asset may incorporate constituent elements possessing divergent rates of natural degradation and physical entropy, or it may constitute an integrated monolithic architecture. Classical jurisprudence recognizes that the measure of defect (ayb) in an asset is not determined by comparing the lifespan of a faster-wearing element against more enduring elements (which would constitute kıyâs-ı maalfârık). Rather, the actionable wrong and latent defect (ayb-i hafî / taghrîr) resides strictly in the deliberate curtailment of intrinsic potential without legitimate proportional justification: whether Sâni intentionally designs the asset as an unserviceable monolithic block to prevent renewal of an exhausted element, deploys artificial functional barriers, or structurally implants a latent premature failure threshold into the asset's chemical, atomic, or logical constitution. The wrong is not natural wear, but the affirmative structural or logical suppression of the asset's inherent operational capacity.</w:t>
      </w:r>
    </w:p>
    <w:p>
      <w:pPr>
        <w:spacing w:before="40" w:after="80" w:line="276" w:lineRule="auto"/>
      </w:pPr>
      <w:r>
        <w:rPr>
          <w:rFonts w:ascii="Calibri" w:hAnsi="Calibri"/>
          <w:b w:val="0"/>
          <w:i w:val="0"/>
          <w:sz w:val="22"/>
        </w:rPr>
        <w:t>Second, Resolving the Lemons Paradox: Dynamic Opacity versus Market Equilibrium (Limon Piyasası ile Gabn Geriliminin Çözümü):</w:t>
      </w:r>
    </w:p>
    <w:p>
      <w:pPr>
        <w:spacing w:before="40" w:after="80" w:line="276" w:lineRule="auto"/>
      </w:pPr>
      <w:r>
        <w:rPr>
          <w:rFonts w:ascii="Calibri" w:hAnsi="Calibri"/>
          <w:b w:val="0"/>
          <w:i w:val="0"/>
          <w:sz w:val="22"/>
        </w:rPr>
        <w:t>An apparent tension arises between Evidence 1 (Mâlik pays full price Semen expecting durability AsliKapasite) and Evidence 8 (the market degrades into a lemon equilibrium where all goods fail at KasıtlıKısıt and prices adjust). This tension dissolves once the market is understood dynamically rather than statically:</w:t>
      </w:r>
    </w:p>
    <w:p>
      <w:pPr>
        <w:spacing w:before="40" w:after="80" w:line="276" w:lineRule="auto"/>
      </w:pPr>
      <w:r>
        <w:rPr>
          <w:rFonts w:ascii="Calibri" w:hAnsi="Calibri"/>
          <w:b w:val="0"/>
          <w:i w:val="0"/>
          <w:sz w:val="22"/>
        </w:rPr>
        <w:t>At the micro-contract level (Evidence 1), transactions occur under informational opacity (taghrîr) or within platform-locked ecosystems (EsaretKatsayısı), where Sâni extracts a price Semen reflecting customary durability AsliKapasite while secretly delivering KasıtlıKısıt.</w:t>
      </w:r>
    </w:p>
    <w:p>
      <w:pPr>
        <w:spacing w:before="40" w:after="80" w:line="276" w:lineRule="auto"/>
      </w:pPr>
      <w:r>
        <w:rPr>
          <w:rFonts w:ascii="Calibri" w:hAnsi="Calibri"/>
          <w:b w:val="0"/>
          <w:i w:val="0"/>
          <w:sz w:val="22"/>
        </w:rPr>
        <w:t>At the macro-market level (Evidence 8), the lemons dynamic operates as a destructive temporal vector: prolonged deceit systematically drives durable producers out of the market until honesty becomes economically impossible. In platform oligopolies, moreover, switching costs EsaretKatsayısı permanently sever price Semen from competitive discipline, allowing Sâni to charge premium prices for truncated lifespans even when consumers suspect early failure. Thus, Evidence 1 captures the commutative extraction of wealth, while Evidence 8 captures the systemic degradation of commerce.</w:t>
      </w:r>
    </w:p>
    <w:p>
      <w:pPr>
        <w:spacing w:before="40" w:after="80" w:line="276" w:lineRule="auto"/>
      </w:pPr>
      <w:r>
        <w:rPr>
          <w:rFonts w:ascii="Calibri" w:hAnsi="Calibri"/>
          <w:b w:val="0"/>
          <w:i w:val="0"/>
          <w:sz w:val="22"/>
        </w:rPr>
        <w:t>Third, Circular Industrial Commons versus the Forms of Alienation (Döngüsel İktisat ile Akit Kalıpları Dengesi: Bey' ve Hizmet Modeli):</w:t>
      </w:r>
    </w:p>
    <w:p>
      <w:pPr>
        <w:spacing w:before="40" w:after="80" w:line="276" w:lineRule="auto"/>
      </w:pPr>
      <w:r>
        <w:rPr>
          <w:rFonts w:ascii="Calibri" w:hAnsi="Calibri"/>
          <w:b w:val="0"/>
          <w:i w:val="0"/>
          <w:sz w:val="22"/>
        </w:rPr>
        <w:t>A foundational alignment exists between the prevention of planetary waste (ifsâd fi'l-arz) and commercial contract structures:</w:t>
      </w:r>
    </w:p>
    <w:p>
      <w:pPr>
        <w:spacing w:before="40" w:after="80" w:line="276" w:lineRule="auto"/>
      </w:pPr>
      <w:r>
        <w:rPr>
          <w:rFonts w:ascii="Calibri" w:hAnsi="Calibri"/>
          <w:b w:val="0"/>
          <w:i w:val="0"/>
          <w:sz w:val="22"/>
        </w:rPr>
        <w:t>When an asset is conveyed under an absolute sale (bey'), full proprietary sovereignty (milk tamm) vests in Mâlik; Sâni is completely stripped of unilateral post-sale control, remote impairment powers, and monopolistic repair barriers.</w:t>
      </w:r>
    </w:p>
    <w:p>
      <w:pPr>
        <w:spacing w:before="40" w:after="80" w:line="276" w:lineRule="auto"/>
      </w:pPr>
      <w:r>
        <w:rPr>
          <w:rFonts w:ascii="Calibri" w:hAnsi="Calibri"/>
          <w:b w:val="0"/>
          <w:i w:val="0"/>
          <w:sz w:val="22"/>
        </w:rPr>
        <w:t>Conversely, where commercial engineering adopts genuine circular economy frameworks—such as Product-as-a-Service, functional leasing, or closed-loop stewardship (al-icâre ve istisnâ')—the economic incentive for planned obsolescence is organically eliminated: because the physical asset remains on Sâni's balance sheet, every premature failure is a direct financial loss to Sâni, turning maximal durability, modular repairability, and material recycling into Sâni's primary profit drivers. What Islamic law condemns is neither genuine sale nor genuine lease/service, but the exploitative hybrid counterfeit: the coercive pseudo-sale of captive platform regimes, wherein Sâni extracts the capitalized, upfront acquisition price Semen of an outright sale, while surreptitiously retaining the unilateral remote authority of a perpetual feudal overlord, trapping Mâlik in artificial obsolescence.</w:t>
      </w:r>
    </w:p>
    <w:p>
      <w:pPr>
        <w:spacing w:before="40" w:after="80" w:line="276" w:lineRule="auto"/>
      </w:pPr>
      <w:r>
        <w:rPr>
          <w:rFonts w:ascii="Calibri" w:hAnsi="Calibri"/>
          <w:b w:val="0"/>
          <w:i w:val="0"/>
          <w:sz w:val="22"/>
        </w:rPr>
        <w:t>Fourth, Pure Economic Loss versus Post-Sale Trespass (Ayb ile İtlâf ve Economic Loss Doktrini):</w:t>
      </w:r>
    </w:p>
    <w:p>
      <w:pPr>
        <w:spacing w:before="40" w:after="80" w:line="276" w:lineRule="auto"/>
      </w:pPr>
      <w:r>
        <w:rPr>
          <w:rFonts w:ascii="Calibri" w:hAnsi="Calibri"/>
          <w:b w:val="0"/>
          <w:i w:val="0"/>
          <w:sz w:val="22"/>
        </w:rPr>
        <w:t>In tort law, the economic loss doctrine bars delictual recovery when a product merely disappoints commercial expectations or deteriorates through internal defect without harming persons or separate property. The model strictly honors this boundary:</w:t>
      </w:r>
    </w:p>
    <w:p>
      <w:pPr>
        <w:spacing w:before="40" w:after="80" w:line="276" w:lineRule="auto"/>
      </w:pPr>
      <w:r>
        <w:rPr>
          <w:rFonts w:ascii="Calibri" w:hAnsi="Calibri"/>
          <w:b w:val="0"/>
          <w:i w:val="0"/>
          <w:sz w:val="22"/>
        </w:rPr>
        <w:t>In Model One (Factory Phase), premature termination is legally characterized not as a violent external trespass (itlâf), but as an upstream commutative deceit (al-taghrîr al-fi'lî) and intentional delivery of a defective benchmark asset, enforceable through contractual defect options (hıyâru'l-ayb, Mecelle Article 337) against vendor Bâi, with statutory indemnification cascading up the commercial chain to Sâni, and direct regulatory sanctions by the hisbah.</w:t>
      </w:r>
    </w:p>
    <w:p>
      <w:pPr>
        <w:spacing w:before="40" w:after="80" w:line="276" w:lineRule="auto"/>
      </w:pPr>
      <w:r>
        <w:rPr>
          <w:rFonts w:ascii="Calibri" w:hAnsi="Calibri"/>
          <w:b w:val="0"/>
          <w:i w:val="0"/>
          <w:sz w:val="22"/>
        </w:rPr>
        <w:t>In Models Two and Three (Post-Sale Phase), Sâni's liability is not barred by the economic loss doctrine because Sâni commits an affirmative, post-conveyance external trespass (mubâşereten teaddî ve itlâf) upon already-vested external property across communication networks or internal logic triggers, and imposes an artificial monopolistic restraint upon external chattel.</w:t>
      </w:r>
    </w:p>
    <w:p>
      <w:pPr>
        <w:spacing w:before="40" w:after="80" w:line="276" w:lineRule="auto"/>
      </w:pPr>
      <w:r>
        <w:rPr>
          <w:rFonts w:ascii="Calibri" w:hAnsi="Calibri"/>
          <w:b w:val="0"/>
          <w:i w:val="0"/>
          <w:sz w:val="22"/>
        </w:rPr>
        <w:t>Fifth, The Risk of Time versus Sabotage: Honoring Al-Kharâju bi'd-Damân (Zaman Riski ile Kasıtlı İtlaf Ayrımı):</w:t>
      </w:r>
    </w:p>
    <w:p>
      <w:pPr>
        <w:spacing w:before="40" w:after="80" w:line="276" w:lineRule="auto"/>
      </w:pPr>
      <w:r>
        <w:rPr>
          <w:rFonts w:ascii="Calibri" w:hAnsi="Calibri"/>
          <w:b w:val="0"/>
          <w:i w:val="0"/>
          <w:sz w:val="22"/>
        </w:rPr>
        <w:t>Under the foundational Hadith and maxim codified in Mecelle Article 87 ("Al-kharâju bi'd-damân" / Revenue follows liability for loss) and Article 85 ("Al-gurmu bi'l-gunm" / Burden follows benefit), the buyer who reaps the operational yield of a durable asset after delivery (kabz) justly bears the natural temporal risks of physical wear, chemical entropy, and genuine technological depreciation (amortisman ve meşru kesâd). The manufacturer is never an open-ended insurer against time or entropy. The model does not shift post-delivery risk onto Sâni: natural fatigue is strictly borne by Mâlik. What the law prohibits is not the natural wear borne by the owner, but Sâni's affirmative, unannounced planting of artificial self-destruct mechanisms and post-sale remote degradation. Mâlik assumes the risk of nature; Mâlik never assumes the risk of hidden sabotage by the maker.</w:t>
      </w:r>
    </w:p>
    <w:p>
      <w:pPr>
        <w:spacing w:before="40" w:after="80" w:line="276" w:lineRule="auto"/>
      </w:pPr>
      <w:r>
        <w:rPr>
          <w:rFonts w:ascii="Calibri" w:hAnsi="Calibri"/>
          <w:b w:val="0"/>
          <w:i w:val="0"/>
          <w:sz w:val="22"/>
        </w:rPr>
        <w:t>Sixth, Systemic Security Costs versus Disproportionate Impairment (Sıfır-Maliyetli Güvenlik Yanılsamasının Reddi):</w:t>
      </w:r>
    </w:p>
    <w:p>
      <w:pPr>
        <w:spacing w:before="40" w:after="80" w:line="276" w:lineRule="auto"/>
      </w:pPr>
      <w:r>
        <w:rPr>
          <w:rFonts w:ascii="Calibri" w:hAnsi="Calibri"/>
          <w:b w:val="0"/>
          <w:i w:val="0"/>
          <w:sz w:val="22"/>
        </w:rPr>
        <w:t>In complex asset architectures, addressing profound structural security vulnerabilities or evolving integrity standards can unavoidably impose an authentic physical operational penalty (e.g., integrity mitigation overhead). Islamic jurisprudence recognizes the reality of technical necessity (darûrah); however, under Mecelle Article 22, necessity is bounded by strict proportionality (al-darûrâtü tütekkaderu bi-kaderihâ). An authentic security mitigation that incidentally degrades performance within strictly necessary, mathematically demonstrable parameters to repel catastrophic operational failure or compromise is legally recognized; what is prohibited is seizing upon a minor vulnerability or normal wear to engineer massive, unannounced, and permanent functional paralysis that renders the asset useless to coerce repeat purchasing.</w:t>
      </w:r>
    </w:p>
    <w:p>
      <w:pPr>
        <w:spacing w:before="40" w:after="80" w:line="276" w:lineRule="auto"/>
      </w:pPr>
      <w:r>
        <w:rPr>
          <w:rFonts w:ascii="Calibri" w:hAnsi="Calibri"/>
          <w:b w:val="0"/>
          <w:i w:val="0"/>
          <w:sz w:val="22"/>
        </w:rPr>
        <w:t>Planned obsolescence, as an actionable commercial wrong and systemic delict, exists wherever an artificial limit KasıtlıKısıt, anti-repair lock, or ecosystem restraint is imposed without strictly proportionate technical necessity, truncating baseline utility and externalizing ecological damage onto society.</w:t>
      </w:r>
    </w:p>
    <w:p>
      <w:pPr>
        <w:spacing w:before="40" w:after="80" w:line="276" w:lineRule="auto"/>
      </w:pPr>
      <w:r>
        <w:rPr>
          <w:rFonts w:ascii="Calibri" w:hAnsi="Calibri"/>
          <w:b w:val="0"/>
          <w:i w:val="0"/>
          <w:sz w:val="22"/>
        </w:rPr>
        <w:t>The procedural rule of adjudication is objective: Mâlik or the regulatory authority presents a prima facie showing of premature failure, statistical fleet anomaly, or artificial modular lockout. Evidentiary tools—neutral expert (ahl al-khibrah) teardowns, reverse engineering, and operational log audits—shift the burden to Sâni to demonstrate that no less restrictive, open alternative could preserve functionality.</w:t>
      </w:r>
    </w:p>
    <w:p>
      <w:pPr>
        <w:spacing w:before="40" w:after="80" w:line="276" w:lineRule="auto"/>
      </w:pPr>
      <w:r>
        <w:rPr>
          <w:rFonts w:ascii="Calibri" w:hAnsi="Calibri"/>
          <w:b w:val="0"/>
          <w:i w:val="0"/>
          <w:sz w:val="22"/>
        </w:rPr>
        <w:t>By planned obsolescence I mean an affirmative design choice, architectural lockout, or post-conveyance intervention by the maker that artificially and disproportionately shortens the useful capacity of an asset, or affirmatively extinguishes the owner's legal ability to maintain, recalibrate, and operate it. Three boundaries delineate legitimate commerce from unlawful destruction:</w:t>
      </w:r>
    </w:p>
    <w:p>
      <w:pPr>
        <w:spacing w:before="40" w:after="80" w:line="276" w:lineRule="auto"/>
      </w:pPr>
      <w:r>
        <w:rPr>
          <w:rFonts w:ascii="Calibri" w:hAnsi="Calibri"/>
          <w:b w:val="0"/>
          <w:i w:val="0"/>
          <w:sz w:val="22"/>
        </w:rPr>
        <w:t>First, natural material wear, chemical aging, and physical entropy, which are borne by the owner under al-kharâju bi'd-damân.</w:t>
      </w:r>
    </w:p>
    <w:p>
      <w:pPr>
        <w:spacing w:before="40" w:after="80" w:line="276" w:lineRule="auto"/>
      </w:pPr>
      <w:r>
        <w:rPr>
          <w:rFonts w:ascii="Calibri" w:hAnsi="Calibri"/>
          <w:b w:val="0"/>
          <w:i w:val="0"/>
          <w:sz w:val="22"/>
        </w:rPr>
        <w:t>Second, authentic computational exhaustion: where an aging asset lacks the physical or structural capacity to execute newly developed functions, Sâni may cease feature enhancements, leaving existing operating routines intact in their stable working state.</w:t>
      </w:r>
    </w:p>
    <w:p>
      <w:pPr>
        <w:spacing w:before="40" w:after="80" w:line="276" w:lineRule="auto"/>
      </w:pPr>
      <w:r>
        <w:rPr>
          <w:rFonts w:ascii="Calibri" w:hAnsi="Calibri"/>
          <w:b w:val="0"/>
          <w:i w:val="0"/>
          <w:sz w:val="22"/>
        </w:rPr>
        <w:t>Third, legitimate retirement of external continuous replenishment or service channels: where an ancillary external feed terminates with reasonable notice, provided Sâni does not affirmatively brick the local asset or deploy lockouts to block autonomous, standalone local operation.</w:t>
      </w:r>
    </w:p>
    <w:p>
      <w:pPr>
        <w:spacing w:before="40" w:after="80" w:line="276" w:lineRule="auto"/>
      </w:pPr>
      <w:r>
        <w:rPr>
          <w:rFonts w:ascii="Calibri" w:hAnsi="Calibri"/>
          <w:b w:val="0"/>
          <w:i w:val="0"/>
          <w:sz w:val="22"/>
        </w:rPr>
        <w:t>Crucially, declaring a premature structural limit openly in standard contract terms or labeling does not sanitize the act: overt disclosure resolves bilateral deceit (taghrîr), but leaves the systemic ecological offense against the commons subject to regulatory invalidation and prohibition.</w:t>
      </w:r>
    </w:p>
    <w:p>
      <w:pPr>
        <w:spacing w:before="40" w:after="80" w:line="276" w:lineRule="auto"/>
      </w:pPr>
      <w:r>
        <w:rPr>
          <w:rFonts w:ascii="Calibri" w:hAnsi="Calibri"/>
          <w:b w:val="0"/>
          <w:i w:val="0"/>
          <w:sz w:val="22"/>
        </w:rPr>
        <w:t>The talk has two sides. On the first side stand our evidences, eight of them, built on four models. On the second side stand the producer defenses, four of them, and I will refute each one.</w:t>
      </w:r>
    </w:p>
    <w:p>
      <w:pPr>
        <w:keepNext/>
        <w:spacing w:before="280" w:after="80"/>
      </w:pPr>
      <w:r>
        <w:rPr>
          <w:rFonts w:ascii="Calibri" w:hAnsi="Calibri"/>
          <w:b/>
          <w:sz w:val="26"/>
        </w:rPr>
        <w:t>MODEL ONE: THE LIMIT PLANTED BEFORE THE SALE.</w:t>
      </w:r>
    </w:p>
    <w:p>
      <w:pPr>
        <w:spacing w:before="40" w:after="80" w:line="276" w:lineRule="auto"/>
      </w:pPr>
      <w:r>
        <w:rPr>
          <w:rFonts w:ascii="Calibri" w:hAnsi="Calibri"/>
          <w:b w:val="0"/>
          <w:i/>
          <w:sz w:val="22"/>
        </w:rPr>
        <w:t>(The speaker advances to Slide 02 on the screen: Model 1 Factory Phase &amp; Commutative Disparity)</w:t>
      </w:r>
    </w:p>
    <w:p>
      <w:pPr>
        <w:spacing w:before="40" w:after="80" w:line="276" w:lineRule="auto"/>
      </w:pPr>
      <w:r>
        <w:rPr>
          <w:rFonts w:ascii="Calibri" w:hAnsi="Calibri"/>
          <w:b w:val="0"/>
          <w:i w:val="0"/>
          <w:sz w:val="22"/>
        </w:rPr>
        <w:t>Mathematical Specification:</w:t>
      </w:r>
    </w:p>
    <w:p>
      <w:pPr>
        <w:spacing w:before="40" w:after="80" w:line="276" w:lineRule="auto"/>
        <w:ind w:left="360"/>
      </w:pPr>
      <w:r>
        <w:rPr>
          <w:rFonts w:ascii="Calibri" w:hAnsi="Calibri"/>
          <w:b w:val="0"/>
          <w:i w:val="0"/>
          <w:sz w:val="22"/>
        </w:rPr>
        <w:t>•  Structural Restriction: KasıtlıKısıt &lt; AsliKapasite; where Destroyed Utility = integral sum of utility over interval [KasıtlıKısıt, AsliKapasite] &gt; 0.</w:t>
      </w:r>
    </w:p>
    <w:p>
      <w:pPr>
        <w:spacing w:before="40" w:after="80" w:line="276" w:lineRule="auto"/>
        <w:ind w:left="360"/>
      </w:pPr>
      <w:r>
        <w:rPr>
          <w:rFonts w:ascii="Calibri" w:hAnsi="Calibri"/>
          <w:b w:val="0"/>
          <w:i w:val="0"/>
          <w:sz w:val="22"/>
        </w:rPr>
        <w:t>•  Unconscionable Disparity (Gabn-i Fâhiş): Price Disparity = Semen(AsliKapasite) - Semen(KasıtlıKısıt) &gt; 0 ==&gt; Unlawful Appropriation of Wealth (Ekl-i Emvâl bi'l-Bâtıl, An-Nisâ 29).</w:t>
      </w:r>
    </w:p>
    <w:p>
      <w:pPr>
        <w:spacing w:before="40" w:after="80" w:line="276" w:lineRule="auto"/>
        <w:ind w:left="360"/>
      </w:pPr>
      <w:r>
        <w:rPr>
          <w:rFonts w:ascii="Calibri" w:hAnsi="Calibri"/>
          <w:b w:val="0"/>
          <w:i w:val="0"/>
          <w:sz w:val="22"/>
        </w:rPr>
        <w:t>•  Constructive Destruction Damage Ratio: Damage Ratio = (Residual Value between AsliKapasite and KasıtlıKısıt) / (Replacement Cost of Depleting Element) &gt;&gt; 1; where Proportion = TeknikZaruret / (AsliKapasite - KasıtlıKısıt) approaches zero ==&gt; Actionable Latent Defect (Ayb-i Hafî).</w:t>
      </w:r>
    </w:p>
    <w:p>
      <w:pPr>
        <w:spacing w:before="40" w:after="80" w:line="276" w:lineRule="auto"/>
      </w:pPr>
      <w:r>
        <w:rPr>
          <w:rFonts w:ascii="Calibri" w:hAnsi="Calibri"/>
          <w:b w:val="0"/>
          <w:i/>
          <w:sz w:val="22"/>
        </w:rPr>
        <w:t>(Axiom: If monolithic integration is physically inevitable for intrinsic functional efficiency or thermodynamic necessity, Proportion &gt; 0 and constitutes an essential attribute; however, where artificial locks are deployed solely to paralyze renewal without functional gain, Proportion approaches zero, constituting an actionable latent defect).</w:t>
      </w:r>
    </w:p>
    <w:p>
      <w:pPr>
        <w:spacing w:before="40" w:after="80" w:line="276" w:lineRule="auto"/>
      </w:pPr>
      <w:r>
        <w:rPr>
          <w:rFonts w:ascii="Calibri" w:hAnsi="Calibri"/>
          <w:b w:val="0"/>
          <w:i w:val="0"/>
          <w:sz w:val="22"/>
        </w:rPr>
        <w:t>Here is the model. Sâni manufactures durable asset Metâ. In manufacturing, Sâni has two design configurations, A one and A two. A one grants Metâ its authentic uncurtailed functional capacity and structural durability benchmark AsliKapasite inherent in its physical architecture and material allocation, allowing exhausted auxiliary elements to be non-destructively maintained, calibrated, or renewed wherever technically proportionate, and preserving structural integrity. A two imposes an artificial structural, logical, or non-functional barrier that irreversibly couples the lifespan of the entire asset to the earliest-exhausting element, or structurally plants a latent premature failure threshold into the asset's constitution, terminating Metâ at an artificially truncated capacity ceiling KasıtlıKısıt without legitimate functional necessity. Crucially, legitimate monolithic integration engineered for authentic operational efficiency, physical protection, or structural integrity is recognized as an intrinsic functional attribute under proportionality filter TeknikZaruret; what Model One condemns is the deliberate, non-functional obstructive assembly or unannounced latent temporal truncation designed to accelerate captive replacement. Between A one and A two, any claimed technical or cost difference TeknikZaruret is either nonexistent or grossly trivial and disproportionate to the massive destruction of operational utility (AsliKapasite - KasıtlıKısıt). Mâlik is bound to Sâni's ecosystem by switching barriers EsaretKatsayısı. Sâni chooses A two to accelerate replacement demand within its captive domain. At conveyance t0, Mâlik observes the customary market benchmark AsliKapasite and pays price Semen corresponding to a sound, serviceable asset. For analytical clarity, let AsliKapasite represent ten units of baseline functional capacity, and let KasıtlıKısıt represent an engineered ceiling of four units. Semen was paid upon the normative assumption of ten units of unhindered capacity.</w:t>
      </w:r>
    </w:p>
    <w:p>
      <w:pPr>
        <w:keepNext/>
        <w:spacing w:before="240" w:after="60"/>
      </w:pPr>
      <w:r>
        <w:rPr>
          <w:rFonts w:ascii="Calibri" w:hAnsi="Calibri"/>
          <w:b/>
          <w:sz w:val="23"/>
        </w:rPr>
        <w:t>OUR FIRST EVIDENCE: COMMUTATIVE DISPARITY, LATENT DEFECT, AND UPSTREAM FRAUD.</w:t>
        <w:br/>
        <w:t>The claim: in commutative transactions, fair market valuation is determined by intrinsic operational capacity and fatigue resistance; introducing an artificial structural or non-functional bottleneck constitutes an actionable upstream latent defect (ayb) and fraudulent disparity (gabn-i fâhiş bi't-taghrîr), enforceable via contractual rescission against Bâi and upstream restitutionary indemnification against Sâni.</w:t>
        <w:br/>
        <w:t>The proof: durable assets are acquired for their authentic capacity and unhindered stream of utility. When Sâni manufactures asset Metâ with engineered limitation KasıtlıKısıt, Sâni introduces an objective defect into the commercial stream of commerce. In the period of informational opacity, or under switching barrier EsaretKatsayısı, price Semen is maintained at the valuation of sound benchmark capacity AsliKapasite. While contract law tolerates minor subjective valuation differences (gabn-i yesîr), neutral commercial appraisers (ahl al-khibrah) evaluate the true financial value of an asset whose intrinsic utility is structurally curtailed from ten units of capacity to four. Because an asset designed to force premature abandonment through artificial non-functional impediments loses a major proportion of its commercial value at the very moment of exchange, the resulting gap between the price paid Semen and the true objective value constitutes an unconscionable disparity (gabn-i fâhiş) accompanied by active fraudulent concealment (taghrîr). Under the economic loss doctrine and classical sales jurisprudence, this upstream factory-phase flaw is strictly categorized as an original latent defect (ayb-i kadîm / ayb-i hafî)—not an external physical trespass (itlâf)—because the failure occurs purely within the internal commercial boundary of the asset itself.</w:t>
        <w:br/>
        <w:t>The Qur'an commands in Surah An-Nisa, verse 29: "Do not consume your wealth among yourselves by false ways." Extracting the full market price of a durable, serviceable good while delivering an asset burdened with an engineered kill-condition is consuming property by falsehood (ekl-i emvâl bi'l-bâtıl).</w:t>
        <w:br/>
        <w:t>The rule: against immediate seller Bâi, under Mecelle Article 356, Mâlik possesses the contractual remedy of rescission (faskh): Mâlik may cancel the contract and recover purchase price Semen upon tendering restitution. Under Mecelle Article 358, where restitution of the physical good is barred due to alteration or consumption, contractual rescission strictly lapses. Crucially, intermediate seller Bâi is an innocent retailer; once Bâi compensates Mâlik or accepts rescission, Bâi possesses the established right of upstream recourse (rücû') against manufacturer Sâni to recover all disbursed sums. Furthermore, where Sâni organized the deceptive distribution scheme, public commercial law and hisbah regulations compel Sâni to directly disgorge the unearned price differential (noksan-ı semen).</w:t>
      </w:r>
    </w:p>
    <w:p>
      <w:pPr>
        <w:keepNext/>
        <w:spacing w:before="240" w:after="60"/>
      </w:pPr>
      <w:r>
        <w:rPr>
          <w:rFonts w:ascii="Calibri" w:hAnsi="Calibri"/>
          <w:b/>
          <w:sz w:val="23"/>
        </w:rPr>
        <w:t>OUR SECOND EVIDENCE: OBJECTIVE LATENT DEFECT AND CASCADE INDEMNIFICATION.</w:t>
        <w:br/>
        <w:t>The claim: an engineered durability limit KasıtlıKısıt constitutes an objective original latent defect (ayb-i hafî), entitling Mâlik to contractual defect remedies (khiyâr al-ayb) against Bâi and cascade indemnification from Sâni, without requiring proof of subjective internal malice.</w:t>
        <w:br/>
        <w:t>The proof: durability in a durable asset is an implied core condition of fitness and merchantable quality within its chosen price tier. Sâni alone holds the proprietary design specifications, operational logic, and architecture containing limit KasıtlıKısıt; neither intermediate seller Bâi nor buyer Mâlik has the means of discovering it at t0. The distribution of an artificially curtailed good into commerce creates an objective misrepresentation by conduct, warranting that the good conforms to sound custom and unadulterated baseline engineering. The Prophet, peace be upon him, forbade the transaction infected with gharar, reported by Muslim. He also stated: "Whoever deceives us is not one of us," establishing the universal prohibition against active commercial concealment (taghrîr). Limit KasıtlıKısıt is the covert concealment of an internal defect beneath an outwardly sound presentation. The legal wrong is not Sâni's failure to build an impossible ideal, but the covert embedding of an artificial failure bottleneck below the asset's own physical and structural threshold.</w:t>
        <w:br/>
        <w:t>Model Proof: Mâlik examines Metâ at conveyance t0 and observes standard baseline durability AsliKapasite. The engineered limit KasıtlıKısıt (KasıtlıKısıt &lt; AsliKapasite) is withheld within Sâni's asymmetric design specification, constituting latent defect (ayb-i hafî).</w:t>
        <w:br/>
        <w:t>The rule: under the governing law of latent defects (khiyâr al-ayb, Mecelle Article 337), Mâlik holds the fundamental option to return Metâ to Bâi and recover the full price Semen. Crucially, where restitution is rendered legally or physically impossible—such as where prolonged usage constitutes a legal bar to return (mâni'-i radd)—the action does not perish. Under Mecelle Articles 343, 344, and 345, Mâlik is entitled to sue directly for the pecuniary price diminution (noksan-ı semen / arsh). Under the rules of commercial subrogation, retail vendor Bâi cascades this liability directly to manufacturer Sâni. This preserves both the privity of contract and the economic loss rule: contractual ayb governs the internal failure of the good, while tortious itlâf is reserved for post-sale external trespasses.</w:t>
      </w:r>
    </w:p>
    <w:p>
      <w:pPr>
        <w:keepNext/>
        <w:spacing w:before="240" w:after="60"/>
      </w:pPr>
      <w:r>
        <w:rPr>
          <w:rFonts w:ascii="Calibri" w:hAnsi="Calibri"/>
          <w:b/>
          <w:sz w:val="23"/>
        </w:rPr>
        <w:t>OUR THIRD EVIDENCE: MANUFACTURED CAPTIVITY, UNLAWFUL ENRICHMENT, AND THE PREEMPTION OF BENEFIT.</w:t>
        <w:br/>
        <w:t>The claim: no commercial entity may manufacture platform captivity to profit from the engineered destruction of its own products.</w:t>
        <w:br/>
        <w:t xml:space="preserve">The proof: in a competitive, unencumbered market, an early failure would drive Mâlik to a competitor. But Sâni constructs high switching barriers EsaretKatsayısı—locking Mâlik's data, peripheral assets, and cumulative capital investments within Sâni's closed ecosystem. When Sâni curtails Metâ to KasıtlıKısıt, Sâni does not face competitive elimination; instead, Sâni exploits Mâlik's captive state to force a repeat purchase. Sâni's accelerated revenue is derived directly from Mâlik's artificial deprivation. A nominal engineering pretext TeknikZaruret cannot sanitize this destruction: where the alleged technical saving is trivial while the loss of life is severe, the defense of necessity is defeated by the doctrine of proportionality (Mecelle Article 22). </w:t>
        <w:br/>
        <w:t>The legal principles are two. First, Mecelle Article 19: "Harm is eliminated" (Al-dararu yuzâl). Second, the fundamental maxim codified in Mecelle Article 99: "Men iste'cele şey'en kable evânihî ûkıbe bi-hırmânih" (Whoever hastens something before its due time by an illegitimate means is penalized with deprivation thereof). In strict liability, whether categorized as direct destruction (mubâşir, Mecelle Article 92) or causal inducement (mutasabbib, Mecelle Article 93), the objective reality is that Sâni engineered the premature failure to harvest repeat revenue; the law deprives Sâni of that ill-gotten benefit through mandatory restitution, restitutionary damages (arsh), and the disgorgement of unearned replacement profits.</w:t>
        <w:br/>
        <w:t>Model Proof: At operational threshold KasıtlıKısıt, Metâ terminates while (AsliKapasite - KasıtlıKısıt) remains unexhausted. Because switching barrier EsaretKatsayısı -&gt; 1, Mâlik cannot exit to competing alternatives, and Sâni extracts repeated acquisition price Semen from Mâlik's captive state.</w:t>
      </w:r>
    </w:p>
    <w:p>
      <w:pPr>
        <w:keepNext/>
        <w:spacing w:before="280" w:after="80"/>
      </w:pPr>
      <w:r>
        <w:rPr>
          <w:rFonts w:ascii="Calibri" w:hAnsi="Calibri"/>
          <w:b/>
          <w:sz w:val="26"/>
        </w:rPr>
        <w:t>MODEL TWO: THE ACT ON THE GOOD AFTER THE SALE.</w:t>
      </w:r>
    </w:p>
    <w:p>
      <w:pPr>
        <w:spacing w:before="40" w:after="80" w:line="276" w:lineRule="auto"/>
      </w:pPr>
      <w:r>
        <w:rPr>
          <w:rFonts w:ascii="Calibri" w:hAnsi="Calibri"/>
          <w:b w:val="0"/>
          <w:i/>
          <w:sz w:val="22"/>
        </w:rPr>
        <w:t>(The speaker advances to Slide 03 on the screen: Model 2 Post-Sale External Trespass &amp; Direct Destruction)</w:t>
      </w:r>
    </w:p>
    <w:p>
      <w:pPr>
        <w:spacing w:before="40" w:after="80" w:line="276" w:lineRule="auto"/>
      </w:pPr>
      <w:r>
        <w:rPr>
          <w:rFonts w:ascii="Calibri" w:hAnsi="Calibri"/>
          <w:b w:val="0"/>
          <w:i w:val="0"/>
          <w:sz w:val="22"/>
        </w:rPr>
        <w:t>Mathematical Specification:</w:t>
      </w:r>
    </w:p>
    <w:p>
      <w:pPr>
        <w:spacing w:before="40" w:after="80" w:line="276" w:lineRule="auto"/>
        <w:ind w:left="360"/>
      </w:pPr>
      <w:r>
        <w:rPr>
          <w:rFonts w:ascii="Calibri" w:hAnsi="Calibri"/>
          <w:b w:val="0"/>
          <w:i w:val="0"/>
          <w:sz w:val="22"/>
        </w:rPr>
        <w:t>•  Unilateral Degradation Gradient: At all times after conveyance (t &gt; t0), Capacity Derivative under intervention of Sâni &lt; 0 while Proportion approaches zero ==&gt; Direct Property Destruction (Mübâşereten İtlâf).</w:t>
      </w:r>
    </w:p>
    <w:p>
      <w:pPr>
        <w:spacing w:before="40" w:after="80" w:line="276" w:lineRule="auto"/>
        <w:ind w:left="360"/>
      </w:pPr>
      <w:r>
        <w:rPr>
          <w:rFonts w:ascii="Calibri" w:hAnsi="Calibri"/>
          <w:b w:val="0"/>
          <w:i w:val="0"/>
          <w:sz w:val="22"/>
        </w:rPr>
        <w:t>•  Strict Restitutionary Liability of the Tortfeasor (Damân al-Mütlif): Sâni's Liability = Pre-Intervention Value of Metâ - Post-Intervention Value of Metâ + Expropriated Usufruct (Menâfi Gasbı).</w:t>
      </w:r>
    </w:p>
    <w:p>
      <w:pPr>
        <w:spacing w:before="40" w:after="80" w:line="276" w:lineRule="auto"/>
      </w:pPr>
      <w:r>
        <w:rPr>
          <w:rFonts w:ascii="Calibri" w:hAnsi="Calibri"/>
          <w:b w:val="0"/>
          <w:i w:val="0"/>
          <w:sz w:val="22"/>
        </w:rPr>
        <w:t>The model: the transaction is finalized at t0, and complete ownership and physical custody reside with Mâlik. No imminent threat to systemic integrity arises, or any claimed justification TeknikZaruret is grossly disproportionate to the damage inflicted. Metâ performs every warranted function. At a subsequent time t1, Sâni utilizes a retained logical trigger, deferred instruction, or external modification channel to unilaterally throttle performance, disable existing functional capacities, or induce artificial system rejection of compatible maintenance interventions.</w:t>
      </w:r>
    </w:p>
    <w:p>
      <w:pPr>
        <w:keepNext/>
        <w:spacing w:before="240" w:after="60"/>
      </w:pPr>
      <w:r>
        <w:rPr>
          <w:rFonts w:ascii="Calibri" w:hAnsi="Calibri"/>
          <w:b/>
          <w:sz w:val="23"/>
        </w:rPr>
        <w:t>OUR FOURTH EVIDENCE: UNLAWFUL TRESPASS, DIRECT DESTRUCTION, AND ABUSE OF CUSTODIAL ACCESS.</w:t>
        <w:br/>
        <w:t>The claim: upon conveyance of ownership, Sâni's proprietary authority over Metâ is completely extinguished; any subsequent unilateral adverse modification constitutes an unlawful trespass and direct property destruction (mubâşereten itlâf).</w:t>
        <w:br/>
        <w:t>The proof: sale transfers exclusive ownership (milk tamm) to Mâlik, encompassing the sole right to use, preserve, alter, recalibrate, or repair the asset. When Sâni argues that Mâlik consented to background modifications via a standard-form adhesion clause, contract law dictates that consent given for operational security and maintenance cannot be converted into a license to impair the good. In Islamic jurisprudence, custodial authority delegated for maintenance and preservation (amânat al-hifz) strictly excludes any act of impairment (itlâf); exceeding delegated custodial boundaries constitutes unauthorized disposal in another's property (tasarruf fî milk al-ghayr) and an actionable breach of trust. Under Mecelle Article 92, the direct actor (mubâşir) is strictly liable for property damage (itlâf) regardless of whether the act was executed with subjective malice or claimed administrative convenience.</w:t>
        <w:br/>
        <w:t>Model Proof: In the post-sale phase (t1 &gt; t0), while Metâ is operating at full baseline capacity AsliKapasite, Sâni unilaterally initiates a negative capacity gradient (Capacity Reduction &lt; 0). Operational capacity is forcibly depressed from AsliKapasite to KasıtlıKısıt; this constitutes an unlawful external trespass and direct property destruction (mubâşereten itlâf).</w:t>
        <w:br/>
        <w:t>The rule: Sâni executed the adverse alteration directly through algorithmic intervention, acting as the direct tortfeasor (mubâshir). Under Mecelle Article 92, Sâni is strictly liable for property damage. Mâlik is entitled to injunctive relief, specific performance—the full restoration of Metâ to its warranted operating state—and compensatory damages for the incurred devaluation and lost utility.</w:t>
      </w:r>
    </w:p>
    <w:p>
      <w:pPr>
        <w:keepNext/>
        <w:spacing w:before="280" w:after="80"/>
      </w:pPr>
      <w:r>
        <w:rPr>
          <w:rFonts w:ascii="Calibri" w:hAnsi="Calibri"/>
          <w:b/>
          <w:sz w:val="26"/>
        </w:rPr>
        <w:t>MODEL THREE: THE CLOSING OF REPAIR.</w:t>
      </w:r>
    </w:p>
    <w:p>
      <w:pPr>
        <w:spacing w:before="40" w:after="80" w:line="276" w:lineRule="auto"/>
      </w:pPr>
      <w:r>
        <w:rPr>
          <w:rFonts w:ascii="Calibri" w:hAnsi="Calibri"/>
          <w:b w:val="0"/>
          <w:i/>
          <w:sz w:val="22"/>
        </w:rPr>
        <w:t>(The speaker advances to Slide 04 on the screen: Model 3 Maintenance Foreclosure &amp; Artificial Monopoly)</w:t>
      </w:r>
    </w:p>
    <w:p>
      <w:pPr>
        <w:spacing w:before="40" w:after="80" w:line="276" w:lineRule="auto"/>
      </w:pPr>
      <w:r>
        <w:rPr>
          <w:rFonts w:ascii="Calibri" w:hAnsi="Calibri"/>
          <w:b w:val="0"/>
          <w:i w:val="0"/>
          <w:sz w:val="22"/>
        </w:rPr>
        <w:t>Mathematical Specification:</w:t>
      </w:r>
    </w:p>
    <w:p>
      <w:pPr>
        <w:spacing w:before="40" w:after="80" w:line="276" w:lineRule="auto"/>
        <w:ind w:left="360"/>
      </w:pPr>
      <w:r>
        <w:rPr>
          <w:rFonts w:ascii="Calibri" w:hAnsi="Calibri"/>
          <w:b w:val="0"/>
          <w:i w:val="0"/>
          <w:sz w:val="22"/>
        </w:rPr>
        <w:t>•  Monopolistic Embargo Ratio: Embargo Ratio = Maintenance and Renewal Loss / Authentic Security Threat Differential ==&gt; Diverges to Infinity ==&gt; Void Restraint and Unlawful Hoarding (Şart-ı Fâsid and İhtikâr).</w:t>
      </w:r>
    </w:p>
    <w:p>
      <w:pPr>
        <w:spacing w:before="40" w:after="80" w:line="276" w:lineRule="auto"/>
        <w:ind w:left="360"/>
      </w:pPr>
      <w:r>
        <w:rPr>
          <w:rFonts w:ascii="Calibri" w:hAnsi="Calibri"/>
          <w:b w:val="0"/>
          <w:i w:val="0"/>
          <w:sz w:val="22"/>
        </w:rPr>
        <w:t>•  Coerced Distress Premium: Forced Repair Markup = Sâni's Monopoly Price - Competitive Market Price ==&gt; Exploitative Transaction in Distress (Bay' al-Mudtarr, Void).</w:t>
      </w:r>
    </w:p>
    <w:p>
      <w:pPr>
        <w:spacing w:before="40" w:after="80" w:line="276" w:lineRule="auto"/>
      </w:pPr>
      <w:r>
        <w:rPr>
          <w:rFonts w:ascii="Calibri" w:hAnsi="Calibri"/>
          <w:b w:val="0"/>
          <w:i w:val="0"/>
          <w:sz w:val="22"/>
        </w:rPr>
        <w:t>The model: An auxiliary sub-component within Metâ exhausts its natural operational lifespan (SubComponentLifespan &lt; AssetChassisLifespan). Mâlik, or a competent independent artisan, possesses the full technical capability to renew or recalibrate this sub-component. The intervention is executed using standard compliant inputs without compromising core security thresholds (Proportion = TechnicalGain / ForfeitedCapacity approaches zero). Sâni conceals diagnostic protocols, implants monopolistic cryptographic locks that artificially reject compliant components, or affirmatively paralyzes independent calibration capability.</w:t>
      </w:r>
    </w:p>
    <w:p>
      <w:pPr>
        <w:keepNext/>
        <w:spacing w:before="240" w:after="60"/>
      </w:pPr>
      <w:r>
        <w:rPr>
          <w:rFonts w:ascii="Calibri" w:hAnsi="Calibri"/>
          <w:b/>
          <w:sz w:val="23"/>
        </w:rPr>
        <w:t>OUR FIFTH EVIDENCE: VOID RESTRAINTS, MANUFACTURED DISTRESS, AND MONOPOLISTIC IMPEDIMENTS.</w:t>
        <w:br/>
        <w:t>The claim: when Sâni conditions the operation of Metâ upon an absolute prohibition of external maintenance, Sâni imposes a void restraint that contradicts the essence of ownership, manufactures artificial scarcity, and exploits the owner's necessitous state.</w:t>
        <w:br/>
        <w:t xml:space="preserve">The proof has three steps. </w:t>
        <w:br/>
        <w:t xml:space="preserve">First, an absolute conveyance inherently transfers the unrestricted right of functional maintenance, servicing, and recalibration to the owner. A restraint imposed by Sâni—whether by contractual clause, artificial proprietary validation locks, or algorithmic calibration barriers—prohibiting the owner from accessing, servicing, or recalibrating his property directly contradicts the essence of sale (muqtadâ al-aqd). Under Islamic jurisprudence, a condition that strips the buyer of the essential prerogatives of ownership while securing an unearned monopoly for the maker is a corrupting condition (shart fâsid), rendering the restriction null and void ab initio. </w:t>
        <w:br/>
        <w:t xml:space="preserve">Second, when Sâni bundles auxiliary component verification into the core security root of trust under the pretext of systemic integrity, Sâni manufactures artificial scarcity (ihtikâr) in essential maintenance inputs. Modern systems architecture confirms that systemic integrity is fully preserved through standard open verification protocols and decoupled authorization hierarchies, which permit modular element renewal and logical recalibration without exposing private master credentials or core security keystores (Monopolistic Embargo Ratio diverges to infinity). Conflating auxiliary maintenance with core credential exposure is an engineered evasion (sû-i isti'mâl-i hak). In legal methodology, the operative ground of ihtikâr is not confined to specific historical commodities, but extends by systematic extrapolation (takhrîj) to any vital functional input, replacement element, diagnostic protocol, or calibration tool whose monopolistic withholding inflicts systemic hardship (haraj) and unearned extraction upon the public. </w:t>
        <w:br/>
        <w:t>Third, by locking all independent maintenance avenues, Sâni forces the owner into a state of captive distress (iztirâr), compelling Mâlik to pay whatever extortionate fee Sâni dictates or prematurely discard Metâ. Abu Dawud reports from Ali, may God be pleased with him, that the Prophet forbade the exploitative transaction forced upon a person in distress (bay' al-mudtarr).</w:t>
        <w:br/>
        <w:t>Model Proof: When an auxiliary constituent element reaches natural fatigue, Sâni's monopolistic barrier rejects compatible renewal and diagnostic re-calibration (Monopolistic Embargo Ratio diverges to infinity). Mâlik is forced into distress pricing Forced Repair Markup or total constructive forfeiture of residual utility (AsliKapasite - KasıtlıKısıt).</w:t>
        <w:br/>
        <w:t>The rule: under Mecelle Article 100, Sâni's attempt to restrict completed ownership is legally void. The restrictive lock is an unlawful impediment, and Mâlik has the untrammeled right to repair, recalibrate, and sustain his property through any competent provider.</w:t>
      </w:r>
    </w:p>
    <w:p>
      <w:pPr>
        <w:keepNext/>
        <w:spacing w:before="280" w:after="80"/>
      </w:pPr>
      <w:r>
        <w:rPr>
          <w:rFonts w:ascii="Calibri" w:hAnsi="Calibri"/>
          <w:b/>
          <w:sz w:val="26"/>
        </w:rPr>
        <w:t>MODEL FOUR: THE PLATFORM AND SECTOR DYNAMICS.</w:t>
      </w:r>
    </w:p>
    <w:p>
      <w:pPr>
        <w:spacing w:before="40" w:after="80" w:line="276" w:lineRule="auto"/>
      </w:pPr>
      <w:r>
        <w:rPr>
          <w:rFonts w:ascii="Calibri" w:hAnsi="Calibri"/>
          <w:b w:val="0"/>
          <w:i/>
          <w:sz w:val="22"/>
        </w:rPr>
        <w:t>(The speaker advances to Slide 05 on the screen: Model 4 Sector Collapse, Lemons Dynamic &amp; The Commons)</w:t>
      </w:r>
    </w:p>
    <w:p>
      <w:pPr>
        <w:spacing w:before="40" w:after="80" w:line="276" w:lineRule="auto"/>
      </w:pPr>
      <w:r>
        <w:rPr>
          <w:rFonts w:ascii="Calibri" w:hAnsi="Calibri"/>
          <w:b w:val="0"/>
          <w:i w:val="0"/>
          <w:sz w:val="22"/>
        </w:rPr>
        <w:t>Mathematical Specification:</w:t>
      </w:r>
    </w:p>
    <w:p>
      <w:pPr>
        <w:spacing w:before="40" w:after="80" w:line="276" w:lineRule="auto"/>
        <w:ind w:left="360"/>
      </w:pPr>
      <w:r>
        <w:rPr>
          <w:rFonts w:ascii="Calibri" w:hAnsi="Calibri"/>
          <w:b w:val="0"/>
          <w:i w:val="0"/>
          <w:sz w:val="22"/>
        </w:rPr>
        <w:t>•  Dynamic Adverse Selection (Lemons Collapse): Deceptive Sâni Profit &gt; Honest Sâni Profit &lt;=&gt; Semen(AsliKapasite) - Cost(KasıtlıKısıt) &gt; Semen(AsliKapasite) - Cost(AsliKapasite) ==&gt; Honest Sâni Driven from Commerce.</w:t>
      </w:r>
    </w:p>
    <w:p>
      <w:pPr>
        <w:spacing w:before="40" w:after="80" w:line="276" w:lineRule="auto"/>
        <w:ind w:left="360"/>
      </w:pPr>
      <w:r>
        <w:rPr>
          <w:rFonts w:ascii="Calibri" w:hAnsi="Calibri"/>
          <w:b w:val="0"/>
          <w:i w:val="0"/>
          <w:sz w:val="22"/>
        </w:rPr>
        <w:t>•  Captive Extraction Paradox: As EsaretKatsayısı approaches 1, Price Derivative with respect to Restriction approaches zero and Demand Elasticity approaches zero ==&gt; Monopolistic Unjust Enrichment.</w:t>
      </w:r>
    </w:p>
    <w:p>
      <w:pPr>
        <w:spacing w:before="40" w:after="80" w:line="276" w:lineRule="auto"/>
        <w:ind w:left="360"/>
      </w:pPr>
      <w:r>
        <w:rPr>
          <w:rFonts w:ascii="Calibri" w:hAnsi="Calibri"/>
          <w:b w:val="0"/>
          <w:i w:val="0"/>
          <w:sz w:val="22"/>
        </w:rPr>
        <w:t xml:space="preserve">•  Planetary Metabolic Debt &amp; Invalidation: When cumulative embodied ecological loss across time [Sum EmbodiedEnergy </w:t>
      </w:r>
      <w:r>
        <w:rPr>
          <w:rFonts w:ascii="Calibri" w:hAnsi="Calibri"/>
          <w:b w:val="0"/>
          <w:i w:val="0"/>
          <w:sz w:val="22"/>
        </w:rPr>
        <w:t xml:space="preserve"> (AsliKapasite - KasıtlıKısıt) / AsliKapasite] breaches MüştereklerEşiği ==&gt; Private Contractual Exculpations are Void ab initio.</w:t>
      </w:r>
    </w:p>
    <w:p>
      <w:pPr>
        <w:spacing w:before="40" w:after="80" w:line="276" w:lineRule="auto"/>
      </w:pPr>
      <w:r>
        <w:rPr>
          <w:rFonts w:ascii="Calibri" w:hAnsi="Calibri"/>
          <w:b w:val="0"/>
          <w:i w:val="0"/>
          <w:sz w:val="22"/>
        </w:rPr>
        <w:t>The model: Models One, Two and Three expand from isolated practices into an industry-wide platform oligopoly or cartel. In this market, manufacturers leverage high switching barriers EsaretKatsayısı (structural lock-in, non-interoperable peripherals, closed interfaces, and cumulative capital dependencies) to extinguish consumer exit. The model analyzes two successive phases: the informational opacity phase where captive repeat purchases occur, followed by the revelation phase where collective resource squandering and public harm erupt.</w:t>
      </w:r>
    </w:p>
    <w:p>
      <w:pPr>
        <w:keepNext/>
        <w:spacing w:before="240" w:after="60"/>
      </w:pPr>
      <w:r>
        <w:rPr>
          <w:rFonts w:ascii="Calibri" w:hAnsi="Calibri"/>
          <w:b/>
          <w:sz w:val="23"/>
        </w:rPr>
        <w:t>OUR SIXTH EVIDENCE: SYSTEMIC SQUANDERING AND THE INALIENABLE COMMONS.</w:t>
        <w:br/>
        <w:t>The claim: premature artificial obsolescence externalizes catastrophic ecological burdens onto the planetary commons (ifsâd fi'l-arz), a public harm (darar âmm) that cannot be validated or legalized by private buyer consent, nor justified under the guise of life-cycle optimization.</w:t>
        <w:br/>
        <w:t xml:space="preserve">The proof: in an industrial metabolic cycle, truncating the operational capacity of an asset from AsliKapasite to KasıtlıKısıt forces society to extract, refine, manufacture, and discard complex materials at an accelerated velocity. In environmental economics and Life-Cycle Assessment (LCA), the primary ecological violence of complex manufactured goods resides not merely in discarded mass, but in the irrecoverable thermodynamic, chemical, and mineral manufacturing debt incurred during initial fabrication. By prematurely ending the useful life of the composite asset at KasıtlıKısıt through engineered truncation or lockouts, Sâni externalizes uncompensated entropy and toxicity onto the biosphere while the initial thermodynamic investment remains unamortized. </w:t>
        <w:br/>
        <w:t>Sâni cannot evade this liability by pointing to marginal operational energy improvements in newer models: under rigorous Life-Cycle Assessment, microscopic operational gains cannot offset the massive embodied ecological footprint and resource extraction required to fabricate an entirely new replacement asset. Accelerating asset turnover through anti-repair design systematically breaches the planetary carrying capacity, generating irreversible public corruption (ifsâd fi'l-arz).</w:t>
        <w:br/>
        <w:t>Regarding causal liability: Mâlik is merely the innocent consumer trapped within Sâni's locked ecosystem. Sâni is the platform architect who engineered premature mortality. In tort, Sâni's liability is objective: Sâni introduces an engineered agent of destruction into the public stream of commerce.</w:t>
        <w:br/>
        <w:t>The foundational maxims of the Mecelle govern this destruction: a private commercial interest is overridden to repel a general public harm (Article 26); the greater harm is removed by the lesser (Article 27); and the burden follows the benefit (Mecelle Article 85: "Al-gurmu bi'l-gunm"). In Islamic jurisprudence, private contractual autonomy (al-hurriyyah al-ta'âqudiyyah) is strictly bounded by public welfare (al-maslahah al-'âmmah). Private contractual autonomy cannot validate the externalization of uncompensated thermodynamic entropy onto the commons. The public trust (MüştereklerEşiği) is inalienable.</w:t>
        <w:br/>
        <w:t>Model Proof: For a population of N assets requiring cumulative utility, truncating lifespan from AsliKapasite to KasıtlıKısıt scales systemic throughput by a factor of AsliKapasite/KasıtlıKısıt. The cumulative metabolic deficit sum(E_i - L_i) breaches commons threshold MüştereklerEşiği, rendering private exculpatory waivers void ab initio.</w:t>
      </w:r>
    </w:p>
    <w:p>
      <w:pPr>
        <w:keepNext/>
        <w:spacing w:before="240" w:after="60"/>
      </w:pPr>
      <w:r>
        <w:rPr>
          <w:rFonts w:ascii="Calibri" w:hAnsi="Calibri"/>
          <w:b/>
          <w:sz w:val="23"/>
        </w:rPr>
        <w:t>OUR SEVENTH EVIDENCE: LEGISLATIVE WISDOM: ENMITY AND THE CORROSION OF TRUST.</w:t>
        <w:br/>
        <w:t>The claim: the systemic practice of planned obsolescence breeds widespread social hostility and institutional cynicism once discovered, defeating the overarching legislative purpose of commercial ethics.</w:t>
        <w:br/>
        <w:t>In juristic methodology, enmity is not the operative legal ground (illa) of the prohibition, because an illa must be an objective, measurable attribute. The operative grounds are objective constructive destruction (helâk-ı hükmî), unconscionable disparity (Unlawful Price Disparity / Gabn-i Fâhiş), and tortious damage (itlâf). Systemic friction and institutional enmity represent the underlying legislative wisdom (hikma) of the prohibition, as established in the universal legal rationale against practices engineered to sow bad faith and institutional hostility. The identical wisdom underpins the prohibition of commercial betrayal and platform entrapment.</w:t>
        <w:br/>
        <w:t>The proof: when a durable asset perishes of natural fatigue (Zaman &gt;= AsliKapasite) or unavoidable thermodynamic decay, Mâlik harbors no grievance; the loss conforms to baseline expectations. But when the hidden restriction KasıtlıKısıt, the unilateral throttling routine (Kapasite Azalımı &lt; 0), or the monopolistic foreclosure of maintenance is revealed at revelation time, commutative trust collapses. The resulting friction erupts into collective disputes, welfare destruction, and market cynicism.</w:t>
        <w:br/>
        <w:t>Model Proof: At revelation time (Time &gt;= RevelationTime), public discovery of the hidden artificial ceiling (KasıtlıKısıt &lt; AsliKapasite) destroys contractual good faith, converting commercial exchange into predatory expropriation and systemic institutional friction (Trust Deficit &gt;&gt; 0).</w:t>
        <w:br/>
        <w:t>The rule: the prohibition stands firmly upon its operative grounds of latent defect, constructive destruction, and delictual damage, and the eruption of public enmity confirms the legislative wisdom of the law.</w:t>
      </w:r>
    </w:p>
    <w:p>
      <w:pPr>
        <w:keepNext/>
        <w:spacing w:before="240" w:after="60"/>
      </w:pPr>
      <w:r>
        <w:rPr>
          <w:rFonts w:ascii="Calibri" w:hAnsi="Calibri"/>
          <w:b/>
          <w:sz w:val="23"/>
        </w:rPr>
        <w:t>OUR EIGHTH EVIDENCE: ADVERSE SELECTION AND THE CAPTIVITY OF HONEST TRADE.</w:t>
        <w:br/>
        <w:t>The claim: across market timelines, the concealment of durability systematically drives honest producers out of the marketplace, while platform lock-in prevents the natural price deflation predicted by classic lemon theory.</w:t>
        <w:br/>
        <w:t>The proof: in textbook economic theory, a market infected with hidden defects collapses into a "market for lemons" where consumer willingness-to-pay drops to the quality of the lemon. But in captive platform regimes, two structural distortions prevent this benign self-correction:</w:t>
        <w:br/>
        <w:t>First, dynamic temporal opacity: before the systemic reality of limit KasıtlıKısıt is publicly exposed, buyers cannot distinguish between honest durable goods and engineered goods. Honest producer Sâni-1, who builds for baseline durability AsliKapasite, cannot command a fair longevity premium because Sâni-2 masks limit KasıtlıKısıt behind identical exterior aesthetics and marketing. Uninformed buyers attribute premature failure to accidental misfortune or natural component decay, repeatedly purchasing from Sâni-2. Sâni-2 captures outsized replacement revenues and marketing dominance, systematically bankrupting Sâni-1.</w:t>
        <w:br/>
        <w:t>Second, platform switching captivity (EsaretKatsayısı): once consumers become aware that all market assets fail prematurely, classic theory predicts that price Semen should deflate to match truncated capacity KasıtlıKısıt. However, captive switching barriers (proprietary formats, tied equipment, non-exportable capital investments, and closed architectures) paralyze consumer exit. Because abandoning Sâni-2 entails devastating capital and interoperability switching costs, Sâni-2 continues to extract premium price Semen for truncated capacity KasıtlıKısıt. The market never reaches an honest competitive price equilibrium; it degrades into a coercive tollbooth where consumers pay full price for shortened lifecycles.</w:t>
        <w:br/>
        <w:t>The rule: harm must be eliminated (Mecelle Article 19), and private gain cannot be tolerated when it destroys market integrity (Mecelle Article 26). Here the procedural duality of Islamic law resolves the tension between micro-contract remedies and macro-market order: while individual buyers utilize contractual options (hıyârât) against retailers Bâi and product liability claims against makers Sâni, prolonged societal use and widespread adoption can never convert a predatory practice into binding law. Under the foundational maxims of Islamic jurisprudence, a corrupt custom (al-'urf al-fâsid) that conflicts with clear legal texts and general welfare carries zero normative authority—even if it achieves universal industry prevalence. Consequently, the public regulatory authority (hisbah and siyâsah shar'iyyah) bears the non-delegable duty to intervene ex officio: invalidating collusive industry conventions, enforcing statutory transparency and minimum durability benchmarks, and penalizing engineered obsolescence to preserve authentic commerce and public trust.</w:t>
      </w:r>
    </w:p>
    <w:p>
      <w:pPr>
        <w:keepNext/>
        <w:spacing w:before="280" w:after="80"/>
      </w:pPr>
      <w:r>
        <w:rPr>
          <w:rFonts w:ascii="Calibri" w:hAnsi="Calibri"/>
          <w:b/>
          <w:sz w:val="26"/>
        </w:rPr>
        <w:t>THE JURISTIC ACCOUNTING OF GROUNDS AND SYSTEMIC HARMS.</w:t>
        <w:br/>
        <w:t>To preserve precise methodology, the grounds are categorized into operative legal grounds (illal) and objective rational harms (mafâsid):</w:t>
      </w:r>
    </w:p>
    <w:p>
      <w:pPr>
        <w:spacing w:before="40" w:after="80" w:line="276" w:lineRule="auto"/>
      </w:pPr>
      <w:r>
        <w:rPr>
          <w:rFonts w:ascii="Calibri" w:hAnsi="Calibri"/>
          <w:b w:val="0"/>
          <w:i w:val="0"/>
          <w:sz w:val="22"/>
        </w:rPr>
        <w:t>Six operative legal grounds (illal) derive from the texts, contract law, and the law of delict:</w:t>
      </w:r>
    </w:p>
    <w:p>
      <w:pPr>
        <w:spacing w:before="40" w:after="80" w:line="276" w:lineRule="auto"/>
      </w:pPr>
      <w:r>
        <w:rPr>
          <w:rFonts w:ascii="Calibri" w:hAnsi="Calibri"/>
          <w:b w:val="0"/>
          <w:i w:val="0"/>
          <w:sz w:val="22"/>
        </w:rPr>
        <w:t>1. Eating wealth unjustly (ekl-i emvâl bi'l-bâtıl), in Evidence 1.</w:t>
      </w:r>
    </w:p>
    <w:p>
      <w:pPr>
        <w:spacing w:before="40" w:after="80" w:line="276" w:lineRule="auto"/>
      </w:pPr>
      <w:r>
        <w:rPr>
          <w:rFonts w:ascii="Calibri" w:hAnsi="Calibri"/>
          <w:b w:val="0"/>
          <w:i w:val="0"/>
          <w:sz w:val="22"/>
        </w:rPr>
        <w:t>2. Gross disparity between price and utility (gabn-i fâhiş), in Evidence 1.</w:t>
      </w:r>
    </w:p>
    <w:p>
      <w:pPr>
        <w:spacing w:before="40" w:after="80" w:line="276" w:lineRule="auto"/>
      </w:pPr>
      <w:r>
        <w:rPr>
          <w:rFonts w:ascii="Calibri" w:hAnsi="Calibri"/>
          <w:b w:val="0"/>
          <w:i w:val="0"/>
          <w:sz w:val="22"/>
        </w:rPr>
        <w:t>3. Concealment and unannounced defects (taghrîr and ayb-i hafî), in Evidence 2.</w:t>
      </w:r>
    </w:p>
    <w:p>
      <w:pPr>
        <w:spacing w:before="40" w:after="80" w:line="276" w:lineRule="auto"/>
      </w:pPr>
      <w:r>
        <w:rPr>
          <w:rFonts w:ascii="Calibri" w:hAnsi="Calibri"/>
          <w:b w:val="0"/>
          <w:i w:val="0"/>
          <w:sz w:val="22"/>
        </w:rPr>
        <w:t>4. Objective constructive destruction and tortious damage (helâk-ı hükmî ve itlâf, Mecelle Articles 92 and 93), in Evidences 1, 3 and 4.</w:t>
      </w:r>
    </w:p>
    <w:p>
      <w:pPr>
        <w:spacing w:before="40" w:after="80" w:line="276" w:lineRule="auto"/>
      </w:pPr>
      <w:r>
        <w:rPr>
          <w:rFonts w:ascii="Calibri" w:hAnsi="Calibri"/>
          <w:b w:val="0"/>
          <w:i w:val="0"/>
          <w:sz w:val="22"/>
        </w:rPr>
        <w:t>5. Unauthorized disposal and abuse of custodial access (tasarruf fî milk al-ghayr ve teaddî), in Evidence 4.</w:t>
      </w:r>
    </w:p>
    <w:p>
      <w:pPr>
        <w:spacing w:before="40" w:after="80" w:line="276" w:lineRule="auto"/>
      </w:pPr>
      <w:r>
        <w:rPr>
          <w:rFonts w:ascii="Calibri" w:hAnsi="Calibri"/>
          <w:b w:val="0"/>
          <w:i w:val="0"/>
          <w:sz w:val="22"/>
        </w:rPr>
        <w:t>6. The corrupting restraint, artificial withholding, and exploitation of captive distress (shart fâsid, ihtikâr, and bay' al-mudtarr), in Evidences 3 and 5.</w:t>
      </w:r>
    </w:p>
    <w:p>
      <w:pPr>
        <w:spacing w:before="40" w:after="80" w:line="276" w:lineRule="auto"/>
      </w:pPr>
      <w:r>
        <w:rPr>
          <w:rFonts w:ascii="Calibri" w:hAnsi="Calibri"/>
          <w:b w:val="0"/>
          <w:i w:val="0"/>
          <w:sz w:val="22"/>
        </w:rPr>
        <w:t>Four objective rational and systemic harms (mafâsid) derive from economic facts and legal maxims:</w:t>
      </w:r>
    </w:p>
    <w:p>
      <w:pPr>
        <w:spacing w:before="40" w:after="80" w:line="276" w:lineRule="auto"/>
      </w:pPr>
      <w:r>
        <w:rPr>
          <w:rFonts w:ascii="Calibri" w:hAnsi="Calibri"/>
          <w:b w:val="0"/>
          <w:i w:val="0"/>
          <w:sz w:val="22"/>
        </w:rPr>
        <w:t>7. Unlawful preemption and premature appropriation of benefit (isticel, Mecelle Article 99), in Evidence 3.</w:t>
      </w:r>
    </w:p>
    <w:p>
      <w:pPr>
        <w:spacing w:before="40" w:after="80" w:line="276" w:lineRule="auto"/>
      </w:pPr>
      <w:r>
        <w:rPr>
          <w:rFonts w:ascii="Calibri" w:hAnsi="Calibri"/>
          <w:b w:val="0"/>
          <w:i w:val="0"/>
          <w:sz w:val="22"/>
        </w:rPr>
        <w:t>8. Systemic misallocation of productive capital, in Evidence 3.</w:t>
      </w:r>
    </w:p>
    <w:p>
      <w:pPr>
        <w:spacing w:before="40" w:after="80" w:line="276" w:lineRule="auto"/>
      </w:pPr>
      <w:r>
        <w:rPr>
          <w:rFonts w:ascii="Calibri" w:hAnsi="Calibri"/>
          <w:b w:val="0"/>
          <w:i w:val="0"/>
          <w:sz w:val="22"/>
        </w:rPr>
        <w:t>9. Ecological waste and public harm to the commons (darar âmm / ifsâd fi'l-arz, Mecelle Article 26), in Evidence 6.</w:t>
      </w:r>
    </w:p>
    <w:p>
      <w:pPr>
        <w:spacing w:before="40" w:after="80" w:line="276" w:lineRule="auto"/>
      </w:pPr>
      <w:r>
        <w:rPr>
          <w:rFonts w:ascii="Calibri" w:hAnsi="Calibri"/>
          <w:b w:val="0"/>
          <w:i w:val="0"/>
          <w:sz w:val="22"/>
        </w:rPr>
        <w:t>10. Systemic market collapse through adverse selection and platform lock-in, in Evidence 8.</w:t>
      </w:r>
    </w:p>
    <w:p>
      <w:pPr>
        <w:spacing w:before="40" w:after="80" w:line="276" w:lineRule="auto"/>
      </w:pPr>
      <w:r>
        <w:rPr>
          <w:rFonts w:ascii="Calibri" w:hAnsi="Calibri"/>
          <w:b w:val="0"/>
          <w:i w:val="0"/>
          <w:sz w:val="22"/>
        </w:rPr>
        <w:t>Enmity (adâvet) remains the overarching legislative wisdom (hikma) and is not counted among the operative causes.</w:t>
      </w:r>
    </w:p>
    <w:p>
      <w:pPr>
        <w:spacing w:before="40" w:after="80" w:line="276" w:lineRule="auto"/>
      </w:pPr>
      <w:r>
        <w:rPr>
          <w:rFonts w:ascii="Calibri" w:hAnsi="Calibri"/>
          <w:b w:val="0"/>
          <w:i w:val="0"/>
          <w:sz w:val="22"/>
        </w:rPr>
        <w:t>Under the higher objectives of Islamic law (Maqâsid al-Sharî'ah), planned obsolescence violates the protection of property (hifz al-mâl), commutative justice, social peace, and environmental balance.</w:t>
      </w:r>
    </w:p>
    <w:p>
      <w:pPr>
        <w:keepNext/>
        <w:spacing w:before="280" w:after="80"/>
      </w:pPr>
      <w:r>
        <w:rPr>
          <w:rFonts w:ascii="Calibri" w:hAnsi="Calibri"/>
          <w:b/>
          <w:sz w:val="26"/>
        </w:rPr>
        <w:t>NOW THE DEFENSES OF THE PRODUCERS.</w:t>
      </w:r>
    </w:p>
    <w:p>
      <w:pPr>
        <w:spacing w:before="40" w:after="80" w:line="276" w:lineRule="auto"/>
      </w:pPr>
      <w:r>
        <w:rPr>
          <w:rFonts w:ascii="Calibri" w:hAnsi="Calibri"/>
          <w:b w:val="0"/>
          <w:i w:val="0"/>
          <w:sz w:val="22"/>
        </w:rPr>
        <w:t>The first defense: "The buyer accepted the terms of sale and license agreements. Full disclosure and consent were given."</w:t>
      </w:r>
    </w:p>
    <w:p>
      <w:pPr>
        <w:spacing w:before="40" w:after="80" w:line="276" w:lineRule="auto"/>
      </w:pPr>
      <w:r>
        <w:rPr>
          <w:rFonts w:ascii="Calibri" w:hAnsi="Calibri"/>
          <w:b w:val="0"/>
          <w:i w:val="0"/>
          <w:sz w:val="22"/>
        </w:rPr>
        <w:t>The refutation: this defense fails on two distinct juristic planes—the plane of private contract and the plane of the public commons.</w:t>
      </w:r>
    </w:p>
    <w:p>
      <w:pPr>
        <w:spacing w:before="40" w:after="80" w:line="276" w:lineRule="auto"/>
      </w:pPr>
      <w:r>
        <w:rPr>
          <w:rFonts w:ascii="Calibri" w:hAnsi="Calibri"/>
          <w:b w:val="0"/>
          <w:i w:val="0"/>
          <w:sz w:val="22"/>
        </w:rPr>
        <w:t>First, in private contract law, consent must be free, informed, and directed toward a lawful subject matter. Modern manufacturers never disclose engineered mortality; their business model relies on concealing KasıtlıKısıt while charging the price of AsliKapasite. Furthermore, adhesion clauses where Mâlik supposedly agrees that Sâni may unilaterally degrade performance or brick functions remotely are void ab initio. In Islamic jurisprudence, a condition that negates the core objective of the contract (muqtadâ al-aqd) is a corrupting condition (shart fâsid). A standard-form adhesion clause cannot legalize an unlawful tort or property destruction.</w:t>
      </w:r>
    </w:p>
    <w:p>
      <w:pPr>
        <w:spacing w:before="40" w:after="80" w:line="276" w:lineRule="auto"/>
      </w:pPr>
      <w:r>
        <w:rPr>
          <w:rFonts w:ascii="Calibri" w:hAnsi="Calibri"/>
          <w:b w:val="0"/>
          <w:i w:val="0"/>
          <w:sz w:val="22"/>
        </w:rPr>
        <w:t>Second, and most fundamentally: even if Sâni placed an explicit notice in standard terms or labeling stating: "This asset is engineered to terminate at four units of operational capacity and cannot be repaired," that disclosure merely cures bilateral deceit (taghrîr); it does not legalize the systemic destruction of the commons. Private consent cannot sanctify public corruption (ifsâd fi'l-arz) or the wanton generation of irreversible environmental devastation and thermodynamic squandering (darar âmm). The public authority (hisbah) retains the peremptory obligation to outlaw engineered obsolescence regardless of private contractual assent.</w:t>
      </w:r>
    </w:p>
    <w:p>
      <w:pPr>
        <w:spacing w:before="40" w:after="80" w:line="276" w:lineRule="auto"/>
      </w:pPr>
      <w:r>
        <w:rPr>
          <w:rFonts w:ascii="Calibri" w:hAnsi="Calibri"/>
          <w:b w:val="0"/>
          <w:i w:val="0"/>
          <w:sz w:val="22"/>
        </w:rPr>
        <w:t>The second defense: "We had no choice. For systemic safety, component fatigue mitigation, or statutory environmental compliance, we had to intervene and restrict the asset."</w:t>
      </w:r>
    </w:p>
    <w:p>
      <w:pPr>
        <w:spacing w:before="40" w:after="80" w:line="276" w:lineRule="auto"/>
      </w:pPr>
      <w:r>
        <w:rPr>
          <w:rFonts w:ascii="Calibri" w:hAnsi="Calibri"/>
          <w:b w:val="0"/>
          <w:i w:val="0"/>
          <w:sz w:val="22"/>
        </w:rPr>
        <w:t>The refutation: this is the classic attempt to use a nominal technical factor TeknikZaruret as an absolute immunity shield. But modern jurisprudence rejects the binary fallacy: TeknikZaruret is governed by proportionality (al-tenâsüb) and the prohibition of abuse of rights (sû-i isti'mâl-i hak).</w:t>
      </w:r>
    </w:p>
    <w:p>
      <w:pPr>
        <w:spacing w:before="40" w:after="80" w:line="276" w:lineRule="auto"/>
      </w:pPr>
      <w:r>
        <w:rPr>
          <w:rFonts w:ascii="Calibri" w:hAnsi="Calibri"/>
          <w:b w:val="0"/>
          <w:i w:val="0"/>
          <w:sz w:val="22"/>
        </w:rPr>
        <w:t>First, under Mecelle Article 22, "Necessities are measured by their true proportion" (Al-darûrâtü tütekkaderu bi-kaderihâ). When an internal component wear-differential emerges (AltBileşenÖmrü &lt;&lt; MetâGövdeÖmrü), a manufacturer cannot seize upon that localized exhaustion as an excuse to impose permanent, unannounced system-wide throttling that coerces the owner into discarding the enduring asset (Proportion = TechnicalGain / CapacityLoss approaches zero).</w:t>
      </w:r>
    </w:p>
    <w:p>
      <w:pPr>
        <w:spacing w:before="40" w:after="80" w:line="276" w:lineRule="auto"/>
      </w:pPr>
      <w:r>
        <w:rPr>
          <w:rFonts w:ascii="Calibri" w:hAnsi="Calibri"/>
          <w:b w:val="0"/>
          <w:i w:val="0"/>
          <w:sz w:val="22"/>
        </w:rPr>
        <w:t>Second, necessity does not extinguish liability: Mecelle Article 33 establishes the timeless maxim: "Al-idtirâru lâ yubtilu haqqa'l-ghayr" (Necessity does not invalidate the right of another). Where an authentic, unavoidable safety hazard emerges, Sâni is duty-bound to protect safety, but Sâni cannot inflict uncompensated, permanent property devaluation upon Mâlik. Under product liability principles, Sâni remains strictly bound to remedy the underlying bottleneck: Sâni must issue a transparent safety notification, preserve non-destructive component renewal or recalibration at cost or under warranty, and restore Metâ to sound operating condition. Converting an internal wear-differential into an irreversible system slowdown that manufactures replacement demand is not safety engineering; it is an unlawful evasion (hile-i şer'iyye) and commercial deceit masquerading as necessity.</w:t>
      </w:r>
    </w:p>
    <w:p>
      <w:pPr>
        <w:spacing w:before="40" w:after="80" w:line="276" w:lineRule="auto"/>
      </w:pPr>
      <w:r>
        <w:rPr>
          <w:rFonts w:ascii="Calibri" w:hAnsi="Calibri"/>
          <w:b w:val="0"/>
          <w:i w:val="0"/>
          <w:sz w:val="22"/>
        </w:rPr>
        <w:t>The third defense: "We sold the physical substrate, but we retained the intellectual property in the governing logic. We licensed the code, and modern connected composite assets are dynamic continuous services, not static chattel."</w:t>
      </w:r>
    </w:p>
    <w:p>
      <w:pPr>
        <w:spacing w:before="40" w:after="80" w:line="276" w:lineRule="auto"/>
      </w:pPr>
      <w:r>
        <w:rPr>
          <w:rFonts w:ascii="Calibri" w:hAnsi="Calibri"/>
          <w:b w:val="0"/>
          <w:i w:val="0"/>
          <w:sz w:val="22"/>
        </w:rPr>
        <w:t>The refutation: this defense invokes intellectual property to dissolve personal chattel ownership, creating an artificial hybrid tyranny. The resolution does not deny intellectual property, nor does it rely on an archaic, physicalist misapplication of Mecelle Article 47. Rather, it resolves the tension through the foundational, universal doctrine of Patent/Copyright Exhaustion (The First Sale Doctrine / İstihlâk-ı Hak bi'l-Bey'i'l-Evvel) and the strict demarcation between Copy Ownership (Milk al-Nuskha) and Intellectual Monopoly (Hakk al-Müellif):</w:t>
      </w:r>
    </w:p>
    <w:p>
      <w:pPr>
        <w:spacing w:before="40" w:after="80" w:line="276" w:lineRule="auto"/>
      </w:pPr>
      <w:r>
        <w:rPr>
          <w:rFonts w:ascii="Calibri" w:hAnsi="Calibri"/>
          <w:b w:val="0"/>
          <w:i/>
          <w:sz w:val="22"/>
        </w:rPr>
        <w:t>(The speaker advances to Slide 06 on the screen: First Sale Doctrine, Exhaustion &amp; Chattel Ownership Plane)</w:t>
      </w:r>
    </w:p>
    <w:p>
      <w:pPr>
        <w:spacing w:before="40" w:after="80" w:line="276" w:lineRule="auto"/>
      </w:pPr>
      <w:r>
        <w:rPr>
          <w:rFonts w:ascii="Calibri" w:hAnsi="Calibri"/>
          <w:b w:val="0"/>
          <w:i w:val="0"/>
          <w:sz w:val="22"/>
        </w:rPr>
        <w:t>Mathematical &amp; Jurisprudential Specification:</w:t>
      </w:r>
    </w:p>
    <w:p>
      <w:pPr>
        <w:spacing w:before="40" w:after="80" w:line="276" w:lineRule="auto"/>
        <w:ind w:left="360"/>
      </w:pPr>
      <w:r>
        <w:rPr>
          <w:rFonts w:ascii="Calibri" w:hAnsi="Calibri"/>
          <w:b w:val="0"/>
          <w:i w:val="0"/>
          <w:sz w:val="22"/>
        </w:rPr>
        <w:t>•  Exhaustion Boundary (İstihlâk-ı Hak):</w:t>
      </w:r>
    </w:p>
    <w:p>
      <w:pPr>
        <w:spacing w:before="40" w:after="80" w:line="276" w:lineRule="auto"/>
      </w:pPr>
      <w:r>
        <w:rPr>
          <w:rFonts w:ascii="Calibri" w:hAnsi="Calibri"/>
          <w:b w:val="0"/>
          <w:i w:val="0"/>
          <w:sz w:val="22"/>
        </w:rPr>
        <w:t>At all post-sale times (t &gt; t0): The intersection between Sâni's Discretionary Authority and the Conveyed Individual Asset Metâ is strictly empty.</w:t>
      </w:r>
    </w:p>
    <w:p>
      <w:pPr>
        <w:spacing w:before="40" w:after="80" w:line="276" w:lineRule="auto"/>
      </w:pPr>
      <w:r>
        <w:rPr>
          <w:rFonts w:ascii="Calibri" w:hAnsi="Calibri"/>
          <w:b w:val="0"/>
          <w:i w:val="0"/>
          <w:sz w:val="22"/>
        </w:rPr>
        <w:t>Sâni's Intellectual Right: Strictly confined to preventing unauthorized wholesale reproduction and commercial piracy (Universal Disposal / Küllî Tasarruf).</w:t>
      </w:r>
    </w:p>
    <w:p>
      <w:pPr>
        <w:spacing w:before="40" w:after="80" w:line="276" w:lineRule="auto"/>
      </w:pPr>
      <w:r>
        <w:rPr>
          <w:rFonts w:ascii="Calibri" w:hAnsi="Calibri"/>
          <w:b w:val="0"/>
          <w:i w:val="0"/>
          <w:sz w:val="22"/>
        </w:rPr>
        <w:t>Mâlik's First-Sale Right: Grants absolute authority to execute, operate, maintain, repair, and locally modify the purchased individual copy (Particular Disposal / Cüz'î Tasarruf).</w:t>
      </w:r>
    </w:p>
    <w:p>
      <w:pPr>
        <w:spacing w:before="40" w:after="80" w:line="276" w:lineRule="auto"/>
      </w:pPr>
      <w:r>
        <w:rPr>
          <w:rFonts w:ascii="Calibri" w:hAnsi="Calibri"/>
          <w:b w:val="0"/>
          <w:i w:val="0"/>
          <w:sz w:val="22"/>
        </w:rPr>
        <w:t>Governing operational logic and ongoing service channels must therefore be categorized across three distinct juristic planes:</w:t>
      </w:r>
    </w:p>
    <w:p>
      <w:pPr>
        <w:spacing w:before="40" w:after="80" w:line="276" w:lineRule="auto"/>
      </w:pPr>
      <w:r>
        <w:rPr>
          <w:rFonts w:ascii="Calibri" w:hAnsi="Calibri"/>
          <w:b w:val="0"/>
          <w:i w:val="0"/>
          <w:sz w:val="22"/>
        </w:rPr>
        <w:t>First, independent auxiliary routines acquired separately: this can be legitimately licensed under copyright terms as an autonomous, unbundled intangible asset.</w:t>
      </w:r>
    </w:p>
    <w:p>
      <w:pPr>
        <w:spacing w:before="40" w:after="80" w:line="276" w:lineRule="auto"/>
      </w:pPr>
      <w:r>
        <w:rPr>
          <w:rFonts w:ascii="Calibri" w:hAnsi="Calibri"/>
          <w:b w:val="0"/>
          <w:i w:val="0"/>
          <w:sz w:val="22"/>
        </w:rPr>
        <w:t>Second, embedded functional logic indispensable to the asset's operation: without this code, Metâ is reduced to an inert piece of material substrate. Under the doctrine of exhaustion (istihlâk-ı hak), when Sâni sells Metâ for full purchase price Semen, Sâni's exclusive right to restrict the local use, maintenance, and execution of that specific embodied instance of logic is completely exhausted. Sâni retains the exclusive negative right against commercial unauthorized copying or public distribution of the code (preventing Mâlik or third parties from cloning and pirating Sâni's proprietary logic design). But Sâni cannot convert an intellectual property right into a perpetual negative easement or remote demolition authority over the conveyed chattel. To argue that retaining copyright justifies remote throttling or blocking repair tools is an actionable abuse of right (sû-i isti'mâl-i hak) and a void restraint (shart fâsid, Mecelle Article 100).</w:t>
      </w:r>
    </w:p>
    <w:p>
      <w:pPr>
        <w:spacing w:before="40" w:after="80" w:line="276" w:lineRule="auto"/>
      </w:pPr>
      <w:r>
        <w:rPr>
          <w:rFonts w:ascii="Calibri" w:hAnsi="Calibri"/>
          <w:b w:val="0"/>
          <w:i w:val="0"/>
          <w:sz w:val="22"/>
        </w:rPr>
        <w:t>Third, connected network services and ongoing maintenance channels: connected composite assets require security updates against evolving threats. Here, ongoing custodial access is legally categorized as a delegated trust (amânat al-hifz). Sâni is empowered to deploy defensive security mitigations; where mitigating a catastrophic systemic vulnerability unavoidably imposes a measurable operational overhead, that trade-off is recognized under strict necessity (darûrah) provided it satisfies strict proportionality (Mecelle Article 22: Proportion = TechnicalGain / CapacityLoss &gt; 0). However, Sâni is strictly forbidden from using this custodial channel to execute arbitrary, unannounced property impairments.</w:t>
      </w:r>
    </w:p>
    <w:p>
      <w:pPr>
        <w:spacing w:before="40" w:after="80" w:line="276" w:lineRule="auto"/>
      </w:pPr>
      <w:r>
        <w:rPr>
          <w:rFonts w:ascii="Calibri" w:hAnsi="Calibri"/>
          <w:b w:val="0"/>
          <w:i w:val="0"/>
          <w:sz w:val="22"/>
        </w:rPr>
        <w:t>Furthermore, justice does not demand theoretical architectural impossibilities; nor does it demand that Sâni maintain external host infrastructure forever at its own expense. The legal mandate is strictly negative and structural:</w:t>
      </w:r>
    </w:p>
    <w:p>
      <w:pPr>
        <w:spacing w:before="40" w:after="80" w:line="276" w:lineRule="auto"/>
      </w:pPr>
      <w:r>
        <w:rPr>
          <w:rFonts w:ascii="Calibri" w:hAnsi="Calibri"/>
          <w:b w:val="0"/>
          <w:i w:val="0"/>
          <w:sz w:val="22"/>
        </w:rPr>
        <w:t>1. Negative Duty: Sâni must cease affirmative cryptographic serialization locks designed solely to block standard compatible replacement parts where no authentic safety root is exposed.</w:t>
      </w:r>
    </w:p>
    <w:p>
      <w:pPr>
        <w:spacing w:before="40" w:after="80" w:line="276" w:lineRule="auto"/>
      </w:pPr>
      <w:r>
        <w:rPr>
          <w:rFonts w:ascii="Calibri" w:hAnsi="Calibri"/>
          <w:b w:val="0"/>
          <w:i w:val="0"/>
          <w:sz w:val="22"/>
        </w:rPr>
        <w:t>2. Architecture of Release: When Sâni legitimately terminates continuous service feeds, Sâni must not leave the asset permanently paralyzed; Sâni must release diagnostic authorization or open local maintenance interfaces, restoring full standalone autonomy to Mâlik.</w:t>
      </w:r>
    </w:p>
    <w:p>
      <w:pPr>
        <w:spacing w:before="40" w:after="80" w:line="276" w:lineRule="auto"/>
      </w:pPr>
      <w:r>
        <w:rPr>
          <w:rFonts w:ascii="Calibri" w:hAnsi="Calibri"/>
          <w:b w:val="0"/>
          <w:i w:val="0"/>
          <w:sz w:val="22"/>
        </w:rPr>
        <w:t>Moreover, regarding contractual forms and circular sustainability: Islamic jurisprudence honors both absolute sales (bey') and authentic operational service contracts (al-icâre / Product-as-a-Service). What circular industrial ecology proves is that genuine service models—where the physical asset remains on Sâni's balance sheet—naturally align profits with maximal asset longevity and zero-waste recovery. What Islamic law condemns as unlawful exploitation (tahakküm ve gabn) is the fraudulent counterfeit: where Sâni charges the full capitalized purchase price Semen of an outright sale, but covertly retains the remote powers of a landlord, denying the buyer both the prerogatives of ownership and the maintenance warranties of a true lessor.</w:t>
      </w:r>
    </w:p>
    <w:p>
      <w:pPr>
        <w:spacing w:before="40" w:after="80" w:line="276" w:lineRule="auto"/>
      </w:pPr>
      <w:r>
        <w:rPr>
          <w:rFonts w:ascii="Calibri" w:hAnsi="Calibri"/>
          <w:b w:val="0"/>
          <w:i w:val="0"/>
          <w:sz w:val="22"/>
        </w:rPr>
        <w:t>The fourth defense: "Planned obsolescence finances innovation. Accelerated replacement cycles generate the revenue required for research and development, lowering hedonic unit costs and driving rapid technological progress."</w:t>
      </w:r>
    </w:p>
    <w:p>
      <w:pPr>
        <w:spacing w:before="40" w:after="80" w:line="276" w:lineRule="auto"/>
      </w:pPr>
      <w:r>
        <w:rPr>
          <w:rFonts w:ascii="Calibri" w:hAnsi="Calibri"/>
          <w:b w:val="0"/>
          <w:i w:val="0"/>
          <w:sz w:val="22"/>
        </w:rPr>
        <w:t>The refutation: this defense fails on contractual, ethical, and economic grounds.</w:t>
      </w:r>
    </w:p>
    <w:p>
      <w:pPr>
        <w:spacing w:before="40" w:after="80" w:line="276" w:lineRule="auto"/>
      </w:pPr>
      <w:r>
        <w:rPr>
          <w:rFonts w:ascii="Calibri" w:hAnsi="Calibri"/>
          <w:b w:val="0"/>
          <w:i w:val="0"/>
          <w:sz w:val="22"/>
        </w:rPr>
        <w:t>First, put it into the model. Sâni secretly curtails Metâ to KasıtlıKısıt, withholding this from Mâlik, and justifies the premature replacement sale as financing the next generation of goods. Mâlik paid for AsliKapasite and received KasıtlıKısıt. The value of the unreceived life was expropriated for an unagreed research fund. A noble end cannot sanctify an unlawful means (al-ghâyatu lâ tubarriru'l-wasîlah). If Mâlik were willing to fund future research through premature obsolescence, Sâni would disclose it openly; Sâni's concealment is proof that Mâlik would reject the bargain.</w:t>
      </w:r>
    </w:p>
    <w:p>
      <w:pPr>
        <w:spacing w:before="40" w:after="80" w:line="276" w:lineRule="auto"/>
      </w:pPr>
      <w:r>
        <w:rPr>
          <w:rFonts w:ascii="Calibri" w:hAnsi="Calibri"/>
          <w:b w:val="0"/>
          <w:i w:val="0"/>
          <w:sz w:val="22"/>
        </w:rPr>
        <w:t>Second, hedonic price deflation—the real decline in manufacturing and production cost per unit of operational output along technological efficiency curves—is an authentic triumph of human industry, but it cannot justify artificial obsolescence. If the next-generation good is genuinely superior, consumers have an authentic incentive to upgrade voluntarily, without their existing property being artificially sabotaged. Genuine progress thrives on voluntary adoption of superior utility, not the forced destruction of existing value. If an older asset substrate cannot support the demanding requirements of newer operational routines, Sâni is fully entitled to cease feature expansions or transition the asset to a stable, unchanging operational baseline, clearly announcing the end of lifecycle expansion. Preserving a stable baseline maintains existing functional integrity without destroying the asset. Genuine innovation elevates the production frontier through superior utility; planned obsolescence artificially extinguishes existing functional utility to force replacement.</w:t>
      </w:r>
    </w:p>
    <w:p>
      <w:pPr>
        <w:keepNext/>
        <w:spacing w:before="280" w:after="80"/>
      </w:pPr>
      <w:r>
        <w:rPr>
          <w:rFonts w:ascii="Calibri" w:hAnsi="Calibri"/>
          <w:b/>
          <w:sz w:val="26"/>
        </w:rPr>
        <w:t>CONCLUSION.</w:t>
        <w:br/>
        <w:t>The legal, rational, and moral ruling on planned obsolescence is definitively established wherever an artificial limit KasıtlıKısıt or ecosystem lock-in is imposed without proportional necessity, or where a nominal technical pretext TeknikZaruret is deployed to engineer unearned replacement sales:</w:t>
        <w:br/>
        <w:t>First: to engineer premature failure KasıtlıKısıt into a durable good by deploying non-functional structural barriers against renewal or embedding unannounced latent kill-conditions is an act of upstream commutative deceit (taghrîr), latent defect (ayb), and actionable commercial fraud within the supply chain.</w:t>
        <w:br/>
        <w:t>Second: to remotely degrade an asset after conveyance, or to deploy locks that paralyze independent maintenance and calibration, is an unlawful post-sale trespass (mubâşereten teaddî), an abuse of custodial trust, and a nullification of ownership.</w:t>
        <w:br/>
        <w:t>Third: to force durable assets prematurely past their designed capacity threshold [Toplam(AsliKapasite - KasıtlıKısıt) &gt; MüştereklerEşiği] externalizes irrecoverable thermodynamic entropy onto the planetary commons (ifsâd fi'l-arz / darar âmm) that invalidates exculpatory contractual waivers without diminishing the buyer's vested ownership, triggering peremptory regulatory sanctions and restitution against the maker.</w:t>
        <w:br/>
        <w:t>Fourth: to cloak these practices under the labels of license, safety, ecosystem security, or innovation does not diminish the wrong; it merely layers legal evasion upon public destruction.</w:t>
      </w:r>
    </w:p>
    <w:p>
      <w:pPr>
        <w:spacing w:before="40" w:after="80" w:line="276" w:lineRule="auto"/>
      </w:pPr>
      <w:r>
        <w:rPr>
          <w:rFonts w:ascii="Calibri" w:hAnsi="Calibri"/>
          <w:b w:val="0"/>
          <w:i w:val="0"/>
          <w:sz w:val="22"/>
        </w:rPr>
        <w:t>For manufacturers and platform architects, the boundary is clear and just:</w:t>
      </w:r>
    </w:p>
    <w:p>
      <w:pPr>
        <w:spacing w:before="40" w:after="80" w:line="276" w:lineRule="auto"/>
      </w:pPr>
      <w:r>
        <w:rPr>
          <w:rFonts w:ascii="Calibri" w:hAnsi="Calibri"/>
          <w:b w:val="0"/>
          <w:i w:val="0"/>
          <w:sz w:val="22"/>
        </w:rPr>
        <w:t>If your asset reaches its physical or computational capacity limit, declare the end of expansion transparently, maintain the operating regime in a stable state, and decouple authorization layers to preserve local autonomy.</w:t>
      </w:r>
    </w:p>
    <w:p>
      <w:pPr>
        <w:spacing w:before="40" w:after="80" w:line="276" w:lineRule="auto"/>
      </w:pPr>
      <w:r>
        <w:rPr>
          <w:rFonts w:ascii="Calibri" w:hAnsi="Calibri"/>
          <w:b w:val="0"/>
          <w:i w:val="0"/>
          <w:sz w:val="22"/>
        </w:rPr>
        <w:t>If an authentic safety hazard or localized material fatigue arises, intervene openly, issue a notice, and enable modular renewal or repair without coercive functional degradation under the doctrine of proportionality (Mecelle Article 22).</w:t>
      </w:r>
    </w:p>
    <w:p>
      <w:pPr>
        <w:spacing w:before="40" w:after="80" w:line="276" w:lineRule="auto"/>
      </w:pPr>
      <w:r>
        <w:rPr>
          <w:rFonts w:ascii="Calibri" w:hAnsi="Calibri"/>
          <w:b w:val="0"/>
          <w:i w:val="0"/>
          <w:sz w:val="22"/>
        </w:rPr>
        <w:t>If systemic security requires cryptographic validation, employ compartmentalized verification rather than proprietary monopoly locks that paralyze modular maintenance.</w:t>
      </w:r>
    </w:p>
    <w:p>
      <w:pPr>
        <w:spacing w:before="40" w:after="80" w:line="276" w:lineRule="auto"/>
      </w:pPr>
      <w:r>
        <w:rPr>
          <w:rFonts w:ascii="Calibri" w:hAnsi="Calibri"/>
          <w:b w:val="0"/>
          <w:i w:val="0"/>
          <w:sz w:val="22"/>
        </w:rPr>
        <w:t>Transactions must be honest in form and substance: if conveyed through sale, proprietary control must be fully relinquished; if structured as circular service (icâre), the maker must bear full operational maintenance and life-cycle stewardship. Any commercial scheme that extracts the price of absolute sale while retaining the unilateral power to extinguish the good is not commerce; it is an unlawful commercial tyranny.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