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850"/>
          <w:sz w:val="32"/>
        </w:rPr>
        <w:t>PLANNED OBSOLESCENCE: ITS LEGAL, RATIONAL AND MORAL RULING</w:t>
      </w:r>
    </w:p>
    <w:p>
      <w:pPr>
        <w:jc w:val="center"/>
      </w:pPr>
      <w:r>
        <w:rPr>
          <w:i/>
          <w:color w:val="646464"/>
          <w:sz w:val="22"/>
        </w:rPr>
        <w:t>A Formal Juristic &amp; Economic Model: Resolving the Sale vs. Guardianship Dichotomy</w:t>
      </w:r>
    </w:p>
    <w:p/>
    <w:p>
      <w:pPr>
        <w:spacing w:after="120" w:line="276" w:lineRule="auto"/>
      </w:pPr>
      <w:r>
        <w:rPr>
          <w:sz w:val="21"/>
        </w:rPr>
        <w:t>Today I will speak about planned obsolescence and its legal, rational and moral ruling.</w:t>
        <w:br/>
        <w:t>I will not argue from objects. A machine, a part, a battery or a program carries its own physics, its own safety rules and its own laws, and the moment I name one of them, the argument turns into a debate about that thing and I lose the principle. So I will take the principle out of every object. In the language of the jurists this is the purification of the ground, tenkîh-i menât: I remove the brand, the model and the material, and I keep only what the ruling really depends on. What remains is a model with parties, a contract, ownership and a few variables. Every example in this talk is built only on this model and on its four forms.</w:t>
      </w:r>
    </w:p>
    <w:p>
      <w:pPr>
        <w:spacing w:after="120" w:line="276" w:lineRule="auto"/>
      </w:pPr>
      <w:r>
        <w:rPr>
          <w:sz w:val="21"/>
        </w:rPr>
        <w:t>Here are the variables. The seller is S. The buyer is B. The durable good that is sold is X. The price that B pays is P. The expected durable life of X, which nature, material science and the custom of the market give it, is E, measured in units of operational time. The artificial limit that S engineers or imposes on the life of X without disclosure is L, also measured in units of operational time, where L is strictly shorter than E. And there is one filter that I call the technical filter: T. It stands for every objective technical, safety or statutory necessity: protection of life, material integrity, emission standards, or cryptographic integrity. T equals zero when no such necessity exists.</w:t>
      </w:r>
    </w:p>
    <w:p>
      <w:pPr>
        <w:spacing w:before="240" w:after="80"/>
      </w:pPr>
      <w:r>
        <w:rPr>
          <w:b/>
          <w:color w:val="1E3C6E"/>
          <w:sz w:val="24"/>
        </w:rPr>
        <w:t>THE ROOT CHARACTERIZATION: SALE VERSUS DIGITAL GUARDIANSHIP.</w:t>
        <w:br/>
        <w:t xml:space="preserve">Before examining the models, the root conflict must be defined. Modern industry creates a profound contradiction in the law of obligations: S sells X under the outward form and full consideration of an absolute sale (bay'), pocketing a purchase price P that reflects complete transfer of ownership. Yet S simultaneously retains unilateral remote control, cryptographic locks, and telemetry channels, treating X as an ongoing servile custody or revocable license. </w:t>
        <w:br/>
        <w:t xml:space="preserve">Islamic jurisprudence and universal contract law reject this hybrid distortion: contracts are judged by their legal reality and substance, not by formalistic labels (Mecelle Article 3: "Al-ibratu fi'l-uqûd li'l-maqâsid wa'l-ma'ânî, lâ li'l-alfâz wa'l-mabânî"). </w:t>
        <w:br/>
        <w:t>If S sells X, ownership (milk) passes unconditionally to B; S's authority over X ceases entirely. S cannot collect the price of ownership while retaining the keys of lordship. If S wishes to retain remote disposal, ongoing operational control, and unilateral modification rights, S must honestly designate the transaction as a lease (ijârah) or a continuous service contract, charging periodic rent and assuming the full lessor's obligation to maintain and repair the asset. But to collect the capital price of absolute sale while maintaining remote guardianship is an unlawful combination that corrupts the contract.</w:t>
      </w:r>
    </w:p>
    <w:p>
      <w:pPr>
        <w:spacing w:after="120" w:line="276" w:lineRule="auto"/>
      </w:pPr>
      <w:r>
        <w:rPr>
          <w:sz w:val="21"/>
        </w:rPr>
        <w:t>Planned obsolescence, as an unlawful commercial wrong, begins where T equals zero. The procedural rule of adjudication is preserved: in a court of law, B as claimant bears the initial burden under Mecelle Article 76 to present a prima facie showing of premature failure or artificial restriction L. Once this objective fact is demonstrated, the burden shifts to S to establish that the restriction was mandated by an authentic technical or safety constraint T. If S fails to prove any such engineering or legal necessity, T is established as zero.</w:t>
      </w:r>
    </w:p>
    <w:p>
      <w:pPr>
        <w:spacing w:after="120" w:line="276" w:lineRule="auto"/>
      </w:pPr>
      <w:r>
        <w:rPr>
          <w:sz w:val="21"/>
        </w:rPr>
        <w:t>By planned obsolescence I mean a deliberate choice by the maker that artificially shortens the useful life of a good, or extinguishes the owner's legal ability to maintain and repair it, where T is zero. Four things remain strictly outside this definition:</w:t>
        <w:br/>
        <w:t>First, natural material wear, which is unintended.</w:t>
        <w:br/>
        <w:t>Second, declared design limits: where S openly discloses the minimum rated operational cycle (MTBF or rated cycle) on the packaging or contract, because custom and explicit stipulation govern the terms (Mecelle Article 43: "Al-ma'rûfu urfan ka'l-mashrûti shartan").</w:t>
        <w:br/>
        <w:t>Third, authentic hardware exhaustion: where older hardware lacks the physical computational capacity to run newly developed programs, S may decline to offer new feature upgrades, freezing the legacy software in its working state.</w:t>
        <w:br/>
        <w:t>Fourth, third-party service discontinuation, provided S did not conceal an intrinsic dependency.</w:t>
        <w:br/>
        <w:t>S may stop adding features. S may conclude a declared service with reasonable notice. S may not sabotage what has been sold.</w:t>
      </w:r>
    </w:p>
    <w:p>
      <w:pPr>
        <w:spacing w:after="120" w:line="276" w:lineRule="auto"/>
      </w:pPr>
      <w:r>
        <w:rPr>
          <w:sz w:val="21"/>
        </w:rPr>
        <w:t>The talk has two sides. On the first side stand our evidences, eight of them, built on four models. On the second side stand the producer defenses, four of them, and I will refute each one.</w:t>
      </w:r>
    </w:p>
    <w:p>
      <w:pPr>
        <w:spacing w:before="240" w:after="80"/>
      </w:pPr>
      <w:r>
        <w:rPr>
          <w:b/>
          <w:color w:val="1E3C6E"/>
          <w:sz w:val="24"/>
        </w:rPr>
        <w:t>MODEL ONE: THE LIMIT PLANTED BEFORE THE SALE.</w:t>
        <w:br/>
        <w:t>Here is the model. S manufactures X. In manufacturing, S has two technical choices, A one and A two. A one grants X its customary durable lifespan E. A two imposes an artificial design limit that terminates X at L. Between A one and A two there is no difference in manufacturing cost, weight, safety or statutory compliance, so T equals zero. S chooses A two solely to accelerate replacement demand. At time t zero, B observes customary market longevity E and pays price P, which incorporates that durable utility. For clarity of demonstration, let E be ten units of operational time and L be four units of operational time. P was determined upon the expectation of ten units.</w:t>
      </w:r>
    </w:p>
    <w:p>
      <w:pPr>
        <w:spacing w:before="240" w:after="80"/>
      </w:pPr>
      <w:r>
        <w:rPr>
          <w:b/>
          <w:color w:val="1E3C6E"/>
          <w:sz w:val="24"/>
        </w:rPr>
        <w:t>OUR FIRST EVIDENCE: FRAUDULENT DISPARITY AND CONCEALMENT OF VALUE.</w:t>
        <w:br/>
        <w:t>The claim: in commutative contracts (mu'âwadât), mutual consent requires transparency regarding the essential attributes that define value, and price extracted through deliberate concealment of a lifespan-halving defect constitutes unlawful appropriation of property.</w:t>
        <w:br/>
        <w:t>The proof: durable goods are acquired for their continuous stream of utility over time. When S intentionally plants limit L before sale, S knows the good is inherently defective in durability, while B cannot detect this latent defect at t zero. B pays price P expecting ten units of operational life, but receives an asset engineered to terminate at four. While contract law tolerates minor subjective discrepancies (gabn-i yesîr) in commercial goods, a deliberate truncation from ten units of life to four units constitutes an egregious, unconscionable disparity (gabn-i fâhiş) accompanied by active concealment (taghrîr).</w:t>
        <w:br/>
        <w:t>The Qur'an commands in Surah An-Nisa, verse 29: "Do not consume your wealth among yourselves by false ways." Extracting the full market price of a durable good while concealing that more than half of its natural lifespan has been engineered out is consuming property by falsehood (ekl-i emvâl bi'l-bâtıl).</w:t>
        <w:br/>
        <w:t>The rule: a sale tainted by fraudulent concealment (taghrîr) and gross disparity (gabn-i fâhiş) is non-binding (ghayr lâzim) on the deceived buyer. Under Mecelle Article 356, B possesses the legal option to rescind the sale and recover the purchase price P in full upon returning X. If returning the good is barred due to consumption, destruction, or irreversible alteration, the governing rules of latent defect (Mecelle Articles 343, 344 and 345) entitle B to financial compensation for the price diminution (noksan-ı semen / arsh). The seller S cannot retain the full price.</w:t>
      </w:r>
    </w:p>
    <w:p>
      <w:pPr>
        <w:spacing w:before="240" w:after="80"/>
      </w:pPr>
      <w:r>
        <w:rPr>
          <w:b/>
          <w:color w:val="1E3C6E"/>
          <w:sz w:val="24"/>
        </w:rPr>
        <w:t>OUR SECOND EVIDENCE: A CONCEALED ATTRIBUTE AND DECEIT.</w:t>
        <w:br/>
        <w:t>The claim: when the seller intentionally conceals a latent durability defect that governs market valuation, the contract is vitiated by deception (taghrîr) and uncertainty (gharar).</w:t>
        <w:br/>
        <w:t>The proof: durability in a durable asset is an implied core condition of fitness. S alone knows the hidden limit L, and B has no means of discovering it at t zero. A seller who maintains silence regarding an engineered flaw makes an affirmative misrepresentation by conduct, falsely warranting that the good conforms to sound custom. The Prophet, peace be upon him, forbade the sale infected with gharar, reported by Muslim. He also stated: "Whoever deceives us is not one of us," reproaching the merchant who concealed wet grain beneath dry grain. Hidden limit L is the wet grain at the bottom of the vessel. In Hanafi jurisprudence, a latent defect (ayb-i hafî) in a specific identified good does not void the contract ab initio, but strips it of binding force, creating an absolute option of defect.</w:t>
        <w:br/>
        <w:t>The instance: B examines X at purchase and finds no visible flaw; the premature termination code or weak link resides solely in S's hidden blueprint.</w:t>
        <w:br/>
        <w:t>The rule: because limit L existed at t zero, it is an original latent defect (ayb-i hafî). B holds the option of defect (khiyâr al-ayb). Under Mecelle Articles 337 and 356, B may rescind the transaction and recover P in full. If restitution of X is impossible, B recovers the price discount (noksan-ı semen) under Mecelle Articles 343-345.</w:t>
      </w:r>
    </w:p>
    <w:p>
      <w:pPr>
        <w:spacing w:before="240" w:after="80"/>
      </w:pPr>
      <w:r>
        <w:rPr>
          <w:b/>
          <w:color w:val="1E3C6E"/>
          <w:sz w:val="24"/>
        </w:rPr>
        <w:t>OUR THIRD EVIDENCE: DELIBERATE HARM AND UNLAWFUL ACCELERATION OF BENEFIT.</w:t>
        <w:br/>
        <w:t>The claim: nobody may intentionally inflict damage upon another and derive commercial enrichment from that harm.</w:t>
        <w:br/>
        <w:t>The proof: natural degradation is an act of time; engineered failure is an act of design. S engineers failure at four units of operational time specifically so that B must replace X six units earlier than expected. S's accelerated sale is derived directly from B's artificial deprivation. A restriction devoid of technical justification (T=0) yields no lawful benefit. Furthermore, the capital that B is forced to spend prematurely is diverted from education, healthcare, and productive welfare into replacing an asset that should not have failed.</w:t>
        <w:br/>
        <w:t>The legal principles are two. First, Mecelle Article 19: "Harm is eliminated" (Al-dararu yuzâl). Second, the fundamental maxim codified in Mecelle Article 99: "Men iste'cele şey'en kable evânihî ûkıbe bi-hırmânih" (Whoever hastens something before its due time by an illegitimate means is penalized with deprivation thereof). In classical law, the heir who murders his benefactor to hasten inheritance is disqualified from inheriting. Applying this maxim by strict juristic analogy (qiyâs), S illegitimately hastens the second sale by sabotaging the first; the law deprives S of that ill-gotten benefit. S is a causal actor (mutasabbib) who acted with deliberate intent, and under Mecelle Article 93, the intentional causer is strictly liable for the resulting damage.</w:t>
        <w:br/>
        <w:t>The instance: at four units of time, B is forced to buy a replacement. The replacement was due after ten units, and S has artificially accelerated the second expenditure six units ahead of time.</w:t>
      </w:r>
    </w:p>
    <w:p>
      <w:pPr>
        <w:spacing w:before="240" w:after="80"/>
      </w:pPr>
      <w:r>
        <w:rPr>
          <w:b/>
          <w:color w:val="1E3C6E"/>
          <w:sz w:val="24"/>
        </w:rPr>
        <w:t>MODEL TWO: THE ACT ON THE GOOD AFTER THE SALE.</w:t>
        <w:br/>
        <w:t>The model: the sale is finalized at t zero, and complete ownership and physical custody reside with B. No imminent peril to life, safety or security arises, so T equals zero. X performs every warranted function. At a later time t one, S utilizes a retained remote telemetry channel to unilaterally strip a capability, throttle performance, or trigger hardware rejection of authentic replacement components.</w:t>
      </w:r>
    </w:p>
    <w:p>
      <w:pPr>
        <w:spacing w:before="240" w:after="80"/>
      </w:pPr>
      <w:r>
        <w:rPr>
          <w:b/>
          <w:color w:val="1E3C6E"/>
          <w:sz w:val="24"/>
        </w:rPr>
        <w:t>OUR FOURTH EVIDENCE: UNLAWFUL TRESPASS AND EXCEEDING DELEGATED AUTHORITY.</w:t>
        <w:br/>
        <w:t>The claim: upon completion of sale, S's proprietary authority over X is extinguished, and any subsequent unilateral adverse modification constitutes an unauthorized disposal in another man's property.</w:t>
        <w:br/>
        <w:t>The proof: sale transfers exclusive ownership (milk tamm) to B, encompassing the sole right to use, alter, preserve, or repair the asset. When S argues that B clicked "accept" to software updates at initial setup, contract law dictates that general consent given for operational stability and security maintenance cannot be converted into a license to degrade the good. In Islamic jurisprudence, an agent or trustee granted authority for maintenance (hifz) cannot execute an act of impairment (itlaf); acting beyond the scope of delegated authority constitutes unauthorized disposal (tasarruf fî milk al-ghayr) and breach of trust. Mecelle Article 96 establishes that no one may dispose of another's property without permission, and Article 100 provides that whoever attempts to revoke what has been perfected on his part, his attempt is rejected.</w:t>
        <w:br/>
        <w:t>The instance: at t one, X is functioning properly. S sends a remote firmware change. B discovers that performance is degraded or standard replacement parts are rejected. S has directly impaired B's property.</w:t>
        <w:br/>
        <w:t>The rule: S executed the code modification directly, acting as the direct actor (mubâshir). Under Mecelle Article 92, the direct actor is liable for damages even without subjective malice. B is entitled to specific performance—the restoration of X to its warranted state—and full compensation for the incurred devaluation.</w:t>
      </w:r>
    </w:p>
    <w:p>
      <w:pPr>
        <w:spacing w:before="240" w:after="80"/>
      </w:pPr>
      <w:r>
        <w:rPr>
          <w:b/>
          <w:color w:val="1E3C6E"/>
          <w:sz w:val="24"/>
        </w:rPr>
        <w:t>MODEL THREE: THE CLOSING OF REPAIR.</w:t>
        <w:br/>
        <w:t>The model: X suffers an ordinary mechanical or electronic fault. B, or an independent qualified technician, can repair it. The repair involves standard physical parts and does not touch any proprietary root of trust, biometric encryption keys, or cryptographic authentication essential to user data protection, so T equals zero. S withholds the diagnostic trouble codes, or locks X with software serialization that rejects any component not sold through S's proprietary channel.</w:t>
      </w:r>
    </w:p>
    <w:p>
      <w:pPr>
        <w:spacing w:before="240" w:after="80"/>
      </w:pPr>
      <w:r>
        <w:rPr>
          <w:b/>
          <w:color w:val="1E3C6E"/>
          <w:sz w:val="24"/>
        </w:rPr>
        <w:t>OUR FIFTH EVIDENCE: VOID RESTRAINTS ON OWNERSHIP AND MANUFACTURED DISTRESS.</w:t>
        <w:br/>
        <w:t>The claim: when S conditions the sale of X upon an absolute prohibition of external repair, S imposes a void condition that contradicts the essence of ownership, manufactures artificial scarcity, and exploits the owner's necessitous state.</w:t>
        <w:br/>
        <w:t xml:space="preserve">The proof has three steps. </w:t>
        <w:br/>
        <w:t xml:space="preserve">First, an absolute sale inherently transfers the unrestricted right of maintenance to the buyer. A condition imposed by S—whether by contractual clause or software lock—prohibiting the owner from opening, repairing, or servicing his property directly contradicts the contractual essence of sale (muqtadâ al-aqd). Under Islamic contract law, a condition that negates the essential rights of ownership while benefiting only the seller is a corrupting condition (shart fâsid), rendering the restraint null and void. </w:t>
        <w:br/>
        <w:t xml:space="preserve">Second, when S restricts diagnostic tools and parts to an exclusive network, S manufactures an artificial scarcity of essential maintenance. While classical ihtikâr focused on grain, leading jurists, including Abu Yusuf, extend the prohibition of ihtikâr to any deliberate withholding of necessary goods or repair services that inflicts general hardship (haraj) on the public. </w:t>
        <w:br/>
        <w:t>Third, by locking all independent doors, S forces the owner into a state of captive distress, compelling B to pay whatever inflated price S dictates or discard the asset. Abu Dawud reports from Ali, may God be pleased with him, that the Prophet forbade the exploitative transaction forced upon a person in distress (bay' al-mudtarr).</w:t>
        <w:br/>
        <w:t>The instance: an unbonded physical sensor fails. S's serialization lock rejects an identical, certified replacement, forcing B to pay tenfold at S's exclusive facility or discard X.</w:t>
        <w:br/>
        <w:t>The rule: under Mecelle Article 100, S's attempt to restrict the completed conveyance of ownership is legally void. The restrictive lock is an unlawful impediment, and B has the untrammeled right to repair his property through any competent provider.</w:t>
      </w:r>
    </w:p>
    <w:p>
      <w:pPr>
        <w:spacing w:before="240" w:after="80"/>
      </w:pPr>
      <w:r>
        <w:rPr>
          <w:b/>
          <w:color w:val="1E3C6E"/>
          <w:sz w:val="24"/>
        </w:rPr>
        <w:t>MODEL FOUR: THE SECTOR DYNAMICS.</w:t>
        <w:br/>
        <w:t>The model: Models One, Two and Three expand from isolated practices into an industry-wide dynamic. In this market, producers who implement concealed limits compete against producers who engineer durable goods. Natural replacement driven by consumer preference or authentic technological breakthroughs is excluded. The model encompasses only replacement compelled by premature breakdown, remote degradation, or repair monopolies.</w:t>
      </w:r>
    </w:p>
    <w:p>
      <w:pPr>
        <w:spacing w:before="240" w:after="80"/>
      </w:pPr>
      <w:r>
        <w:rPr>
          <w:b/>
          <w:color w:val="1E3C6E"/>
          <w:sz w:val="24"/>
        </w:rPr>
        <w:t>OUR SIXTH EVIDENCE: SYSTEMIC WASTE AND EXTERNALIZED DAMAGE TO THE COMMONS.</w:t>
        <w:br/>
        <w:t>The claim: the private profit of premature replacement sales is captured by S, while the externalized ecological degradation and material burdens are cast upon society and the environment.</w:t>
        <w:br/>
        <w:t xml:space="preserve">The proof: in a linear or partially circular production model, truncating the operational lifespan of a good from E to L forces society to manufacture, transport, and dispose of goods at a vastly accelerated rate. Even accounting for modern industrial recycling, material recovery is inherently imperfect: substantial thermodynamic, chemical, and energetic losses occur, while toxic e-waste accumulates. The United Nations Global E-waste Monitor documented sixty-two million tonnes of electronic waste in 2022, less than a quarter of which was formally recycled, identifying shortened life cycles and restricted repairability as primary drivers. </w:t>
        <w:br/>
        <w:t xml:space="preserve">Regarding causal liability: B is merely the last hand carrying the dead unit to the bin. S is the designer who engineered the premature end. When S degrades X remotely, S is the direct actor (mubâshir). When S designs X to fail at L, S is the causal actor (mutasabbib) who acted with intent. </w:t>
        <w:br/>
        <w:t>The maxims of the Mecelle govern this harm: a particular private harm is borne to repel a general public harm (Article 26); the greater harm is removed by the lesser (Article 27); and the burden follows the benefit (Article 87). The squandering of planetary resources and the poisoning of the commons constitute an undeniable public harm (darar âmm). S's commercial desire for recurring sales is merely a private interest. To prevent the public harm, the door of artificial obsolescence must be closed.</w:t>
        <w:br/>
        <w:t>The instance: a population of N users requires durable utility over a timeline of twelve units. When E equals ten, replacement demand is minimal; when L is curtailed to four, the volume of extracted, processed, and discarded units multiplies, needlessly burdening the ecological commons.</w:t>
      </w:r>
    </w:p>
    <w:p>
      <w:pPr>
        <w:spacing w:before="240" w:after="80"/>
      </w:pPr>
      <w:r>
        <w:rPr>
          <w:b/>
          <w:color w:val="1E3C6E"/>
          <w:sz w:val="24"/>
        </w:rPr>
        <w:t>OUR SEVENTH EVIDENCE: LEGISLATIVE WISDOM: ENMITY AND THE CORROSION OF TRUST.</w:t>
        <w:br/>
        <w:t>The claim: the systemic practice of planned obsolescence breeds widespread social hostility and enmity, defeating the overarching legislative purpose of commercial ethics.</w:t>
        <w:br/>
        <w:t>In juristic methodology, enmity is not the operative legal ground (illa) of the prohibition, because an illa must be an objective, measurable attribute. The operative ground is deceit (taghrîr), established in our second evidence. Enmity is the underlying legislative wisdom (hikma) of the prohibition. The Qur'an states in Surah Al-Ma'idah, verse 91: "Satan only seeks to sow enmity and hatred among you." The identical wisdom underpins the prohibition of commercial cheating.</w:t>
        <w:br/>
        <w:t>The proof: when a good perishes of natural wear, B harbors no grievance; he recognizes physical reality. But when B discovers that the failure was programmed by design or triggered by firmware, his view of S transforms from a trading partner into an adversary. This generates measurable societal friction: collective litigation, consumer outrage, and institutional distrust.</w:t>
        <w:br/>
        <w:t>The instance: B1 discovers the hidden limit L, publishes the evidence, and the disclosure spreads. Mutual commercial goodwill is destroyed, replaced by adversarial cynicism.</w:t>
        <w:br/>
        <w:t>The rule: the prohibition stands firmly upon its operative ground of deceit, and the eruption of public enmity confirms the legislative wisdom of the law.</w:t>
      </w:r>
    </w:p>
    <w:p>
      <w:pPr>
        <w:spacing w:before="240" w:after="80"/>
      </w:pPr>
      <w:r>
        <w:rPr>
          <w:b/>
          <w:color w:val="1E3C6E"/>
          <w:sz w:val="24"/>
        </w:rPr>
        <w:t>OUR EIGHTH EVIDENCE: ADVERSE SELECTION AND THE DESTRUCTION OF HONEST TRADE.</w:t>
        <w:br/>
        <w:t>The claim: when artificial limits are concealed, dishonest goods systematically drive durable, honest goods out of the market.</w:t>
        <w:br/>
        <w:t>The proof: consumers cannot directly verify the internal lifespan of a complex durable good at the point of sale. Market prices are established based upon observable features. Consequently, an honest producer S1 who builds X for durability E at the same initial cost cannot communicate that hidden longevity to justify fair pricing. Meanwhile, producer S2 who limits X to L accelerates his repurchase cycle, collecting multiple sale prices over the same period. S2 captures outsized returns and deploys aggressive marketing. The honest producer S1, receiving no market premium for durability, is forced either to adopt artificial limits L or be driven out of business. A conventional commercial warranty does not resolve this information failure: a warranty merely guarantees repair during an introductory period and discloses nothing about post-warranty longevity; S2 simply programs L to trigger shortly after the warranty expires. This dynamic represents classic adverse selection—the market for lemons—originating directly from the concealment of lifespan L.</w:t>
        <w:br/>
        <w:t>The instance: two producers, S1 and S2, offer goods of identical outward utility at price P. S1 builds for durability E; S2 programs limit L. S2 accelerates repeat sales, squeezing S1 out of the market until only truncated goods remain.</w:t>
        <w:br/>
        <w:t>The rule: harm must be eliminated (Mecelle Article 19), and a private gain cannot be tolerated when it destroys market integrity (Mecelle Article 26). The public regulatory authority (hisbah / market supervision) has the affirmative duty to prohibit concealed limits and mandate repairability standards to protect honest commerce.</w:t>
      </w:r>
    </w:p>
    <w:p>
      <w:pPr>
        <w:spacing w:before="240" w:after="80"/>
      </w:pPr>
      <w:r>
        <w:rPr>
          <w:b/>
          <w:color w:val="1E3C6E"/>
          <w:sz w:val="24"/>
        </w:rPr>
        <w:t>THE JURISTIC ACCOUNTING OF GROUNDS AND SYSTEMIC HARMS.</w:t>
        <w:br/>
        <w:t>To preserve precise methodology, the grounds are categorized into operative legal grounds (illal) and objective rational harms (mafâsid):</w:t>
      </w:r>
    </w:p>
    <w:p>
      <w:pPr>
        <w:spacing w:after="120" w:line="276" w:lineRule="auto"/>
      </w:pPr>
      <w:r>
        <w:rPr>
          <w:sz w:val="21"/>
        </w:rPr>
        <w:t>Six operative legal grounds (illal) derive from the texts and contract law:</w:t>
        <w:br/>
        <w:t>1. Eating wealth unjustly (ekl-i emvâl bi'l-bâtıl), in Evidence 1.</w:t>
        <w:br/>
        <w:t>2. Gross disparity between price and value (gabn-i fâhiş), in Evidence 1.</w:t>
        <w:br/>
        <w:t>3. Concealment and deceit (taghrîr and gharar), in Evidence 2.</w:t>
        <w:br/>
        <w:t>4. Causing intentional harm (dırâr), in Evidence 3.</w:t>
        <w:br/>
        <w:t>5. Unauthorized disposal in another's property (tasarruf fî milk al-ghayr), in Evidence 4.</w:t>
        <w:br/>
        <w:t>6. The corrupting condition, artificial withholding, and exploitation of distress (shart fâsid, ihtikâr, and bay' al-mudtarr), in Evidence 5.</w:t>
      </w:r>
    </w:p>
    <w:p>
      <w:pPr>
        <w:spacing w:after="120" w:line="276" w:lineRule="auto"/>
      </w:pPr>
      <w:r>
        <w:rPr>
          <w:sz w:val="21"/>
        </w:rPr>
        <w:t>Four objective rational and systemic harms (mafâsid) derive from economic facts and legal maxims:</w:t>
        <w:br/>
        <w:t>7. Unlawful preemption and premature appropriation of benefit (isticel, Mecelle Article 99), in Evidence 3.</w:t>
        <w:br/>
        <w:t>8. Systemic misallocation of productive capital, in Evidence 3.</w:t>
        <w:br/>
        <w:t>9. Ecological waste and public harm to the commons (darar âmm, Mecelle Article 26), in Evidence 6.</w:t>
        <w:br/>
        <w:t>10. Systemic market collapse through adverse selection, in Evidence 8.</w:t>
      </w:r>
    </w:p>
    <w:p>
      <w:pPr>
        <w:spacing w:after="120" w:line="276" w:lineRule="auto"/>
      </w:pPr>
      <w:r>
        <w:rPr>
          <w:sz w:val="21"/>
        </w:rPr>
        <w:t xml:space="preserve">Enmity (adâvet) remains the overarching legislative wisdom (hikma) and is not counted among the operative causes. </w:t>
        <w:br/>
        <w:t>Under the higher objectives of Islamic law (Maqâsid al-Sharî'ah), planned obsolescence violates the protection of property (hifz al-mâl), contractual trust, social peace, and environmental balance.</w:t>
      </w:r>
    </w:p>
    <w:p>
      <w:pPr>
        <w:spacing w:before="240" w:after="80"/>
      </w:pPr>
      <w:r>
        <w:rPr>
          <w:b/>
          <w:color w:val="1E3C6E"/>
          <w:sz w:val="24"/>
        </w:rPr>
        <w:t>NOW THE DEFENSES OF THE PRODUCERS.</w:t>
      </w:r>
    </w:p>
    <w:p>
      <w:pPr>
        <w:spacing w:after="120" w:line="276" w:lineRule="auto"/>
      </w:pPr>
      <w:r>
        <w:rPr>
          <w:sz w:val="21"/>
        </w:rPr>
        <w:t>The first defense: "The buyer accepted the end-user license agreement and service terms. Consent was given."</w:t>
        <w:br/>
        <w:t xml:space="preserve">The refutation: in contract law, consent must be free, informed, and directed toward a lawful subject matter. </w:t>
        <w:br/>
        <w:t>First, if S openly declared on the box or at contract: "This good will terminate after four units of time, and its repair is closed," B's purchase would constitute valid consent to a truncated asset, and S would be vindicated—provided S does not subsequently trespass upon the good. But modern producers never make this disclosure; their business model relies on concealing L while charging the price of E.</w:t>
        <w:br/>
        <w:t>Second, regarding clauses where B supposedly agrees that S may unilaterally degrade performance or brick functions remotely: such terms are legally void ab initio. In Islamic jurisprudence and modern unconscionability doctrine, a contractual term that negates the core objective of the contract (muqtadâ al-aqd) is a corrupting term (shart fâsid). A buyer cannot validly consent to the future sabotage of the very property he is purchasing. An adhesion clause buried in an electronic terms-of-service screen cannot legalize an unlawful trespass.</w:t>
      </w:r>
    </w:p>
    <w:p>
      <w:pPr>
        <w:spacing w:after="120" w:line="276" w:lineRule="auto"/>
      </w:pPr>
      <w:r>
        <w:rPr>
          <w:sz w:val="21"/>
        </w:rPr>
        <w:t>The second defense: "We had no choice. For safety, stability, or legal compliance, we had to intervene and limit the good."</w:t>
        <w:br/>
        <w:t xml:space="preserve">The refutation: this is the precise scenario where T is not zero, which lies entirely outside the definition of planned obsolescence. Where an authentic, verifiable safety hazard emerges, the law recognizes the excuse of necessity. </w:t>
        <w:br/>
        <w:t>However, necessity does not extinguish liability. Mecelle Article 33 establishes the timeless maxim: "Al-idtirâru lâ yubtilu haqqa'l-ghayr" (Necessity does not invalidate the right of another). The starving traveler who consumes another's bread to save his life commits no sin, but he remains strictly obligated to compensate the owner for the value of the bread. Therefore, when S discovers a genuine safety hazard in X, S is permitted and required to intervene to protect life. But S cannot use safety as a license to inflict uncompensated losses in secret. S must disclose the hazard transparently, provide an effective remedy, and restore or compensate the owner for any loss of utility. Transparent intervention accompanied by restitution is legitimate engineering; silent degradation that forces the owner to buy a new device is commercial fraud masquerading as safety.</w:t>
      </w:r>
    </w:p>
    <w:p>
      <w:pPr>
        <w:spacing w:after="120" w:line="276" w:lineRule="auto"/>
      </w:pPr>
      <w:r>
        <w:rPr>
          <w:sz w:val="21"/>
        </w:rPr>
        <w:t>The third defense: "We sold the physical hardware, but we retained the software. We licensed the code, and we are free to modify or revoke it."</w:t>
        <w:br/>
        <w:t>The refutation: software must be analyzed according to its juristic reality across three distinct categories:</w:t>
        <w:br/>
        <w:t>First, independent application software acquired separately: this can be legitimately licensed under copyright terms.</w:t>
        <w:br/>
        <w:t>Second, embedded firmware and operating systems essential to the hardware's operation: without this code, X is reduced to an inert piece of metal. In jurisprudence, the accessory follows the principal: Mecelle Article 47 dictates that "what is subordinate to a thing in existence is subordinate to it in its legal ruling" (Al-tâbi'u tâbiun), and Article 48 states that "the subordinate cannot be given an independent ruling contrary to the principal." The hardware is the principal subject of sale; the integrated firmware is its indispensable attribute. The sale of X inherently conveys the permanent right to the functional utility of that embedded code. S retains copyright and patent rights, but S cannot revoke the operational capacity of the sold property.</w:t>
        <w:br/>
        <w:t>Third, remote cloud services hosted on S's infrastructure: here S legitimately asserts that the server infrastructure is his own. If an ongoing cloud service was promised at the time of sale, S is contractually bound to maintain it for the duration represented. When that term ends, S may terminate the cloud service with reasonable advance notice; however, S must leave the local physical good functional, or provide open local interfaces enabling the owner to operate X autonomously. In contracts, legal regard is paid to true meaning and intent, not superficial phrasing (Mecelle Article 3). If S wishes to maintain remote guardianship and unilateral revocation rights, S must honestly structure the transaction as a lease (ijârah) and price it as rent, assuming the ongoing maintenance burdens of a lessor.</w:t>
      </w:r>
    </w:p>
    <w:p>
      <w:pPr>
        <w:spacing w:after="120" w:line="276" w:lineRule="auto"/>
      </w:pPr>
      <w:r>
        <w:rPr>
          <w:sz w:val="21"/>
        </w:rPr>
        <w:t>The fourth defense: "Planned obsolescence finances innovation. Accelerated replacement cycles generate the revenue required for research and development, lowering hedonic unit costs and driving rapid technological progress."</w:t>
        <w:br/>
        <w:t>The refutation: this defense fails on contractual, ethical, and economic grounds.</w:t>
        <w:br/>
        <w:t>First, put it into the model. S secretly curtails X to L, withholding this from B, and justifies the premature replacement sale as financing the next generation of goods. B paid for E and received L. The value of the unreceived life was expropriated for an unagreed research fund. A noble end cannot sanctify an unlawful means (al-ghâyatu lâ tubarriru'l-wasîlah). If B were willing to fund future research through premature obsolescence, S would disclose it openly; S's concealment is proof that B would reject the bargain.</w:t>
        <w:br/>
        <w:t>Second, hedonic price deflation—the real drop in computing cost per unit (such as Moore's Law)—is an authentic triumph of engineering, but it cannot justify artificial obsolescence. If the next-generation good is genuinely superior, consumers have an authentic incentive to upgrade voluntarily, without their existing property being artificially sabotaged. Hedonic progress thrives on voluntary adoption of better technology, not the forced destruction of existing utility. If older hardware cannot support the demanding computational requirements of newer software, S is fully entitled to freeze feature updates for that hardware, clearly announcing the end of support. Freezing feature enhancements preserves existing functionality without destroying the device. Genuine innovation elevates the new; planned obsolescence murders the old.</w:t>
      </w:r>
    </w:p>
    <w:p>
      <w:pPr>
        <w:spacing w:after="120" w:line="276" w:lineRule="auto"/>
      </w:pPr>
      <w:r>
        <w:rPr>
          <w:sz w:val="21"/>
        </w:rPr>
        <w:t>CONCLUSION.</w:t>
        <w:br/>
        <w:t>The legal, rational, and moral ruling on planned obsolescence is definitively established wherever T equals zero:</w:t>
        <w:br/>
        <w:t>First: to secretly engineer premature failure L into a durable good is to give short measure on the scale, an act of deceit and unlawful appropriation of wealth.</w:t>
        <w:br/>
        <w:t>Second: to remotely degrade a good after its sale, or to artificially lock its repair, is an unlawful trespass upon another's property and a nullification of ownership.</w:t>
        <w:br/>
        <w:t>Third: to force durable goods prematurely onto waste heaps generates severe public harm and squanders the earth's finite resources.</w:t>
        <w:br/>
        <w:t>Fourth: to cloak these practices under the labels of license, safety, terms of service, or innovation does not diminish the wrong; it merely layers deceit upon harm.</w:t>
      </w:r>
    </w:p>
    <w:p>
      <w:pPr>
        <w:spacing w:after="120" w:line="276" w:lineRule="auto"/>
      </w:pPr>
      <w:r>
        <w:rPr>
          <w:sz w:val="21"/>
        </w:rPr>
        <w:t>For manufacturers, the boundary is clear and just:</w:t>
        <w:br/>
        <w:t>If you produce economy goods, declare their rated operational lifespan (MTBF or cycle count) honestly and sell them openly.</w:t>
        <w:br/>
        <w:t>If your hardware reaches its technical limit, declare the end of updates transparently and freeze the software in a stable, working state.</w:t>
        <w:br/>
        <w:t>If an authentic safety hazard arises, intervene openly, provide the remedy, and make the owner whole.</w:t>
        <w:br/>
        <w:t>Either sell the good completely and relinquish your proprietary control, or lease it honestly and shoulder the burdens of maintenance. Any practice that extracts the purchase price of sale while exercising the remote power of guardianship is not trade; it is an unlawful imposition.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