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5DCE" w14:textId="77777777" w:rsidR="0095162D" w:rsidRDefault="0095162D">
      <w:pPr>
        <w:tabs>
          <w:tab w:val="left" w:pos="0"/>
        </w:tabs>
        <w:spacing w:after="200" w:line="276" w:lineRule="auto"/>
        <w:ind w:left="720"/>
        <w:contextualSpacing/>
        <w:jc w:val="both"/>
        <w:rPr>
          <w:rFonts w:ascii="Maiandra GD" w:eastAsia="Calibri" w:hAnsi="Maiandra GD" w:cs="Maiandra GD"/>
          <w:sz w:val="24"/>
          <w:szCs w:val="24"/>
        </w:rPr>
      </w:pPr>
    </w:p>
    <w:p w14:paraId="2A2780ED" w14:textId="77777777" w:rsidR="0095162D" w:rsidRDefault="00000000">
      <w:pPr>
        <w:tabs>
          <w:tab w:val="left" w:pos="0"/>
        </w:tabs>
        <w:spacing w:after="200" w:line="276" w:lineRule="auto"/>
        <w:ind w:left="720"/>
        <w:contextualSpacing/>
        <w:jc w:val="center"/>
        <w:rPr>
          <w:rFonts w:ascii="Maiandra GD" w:eastAsia="Segoe UI" w:hAnsi="Maiandra GD" w:cs="Maiandra GD"/>
          <w:color w:val="0F1115"/>
          <w:sz w:val="24"/>
          <w:szCs w:val="24"/>
        </w:rPr>
      </w:pPr>
      <w:r>
        <w:rPr>
          <w:rStyle w:val="lev"/>
          <w:rFonts w:ascii="Maiandra GD" w:eastAsia="Segoe UI" w:hAnsi="Maiandra GD" w:cs="Maiandra GD"/>
          <w:color w:val="0F1115"/>
          <w:sz w:val="24"/>
          <w:szCs w:val="24"/>
          <w:shd w:val="clear" w:color="auto" w:fill="FFFFFF"/>
        </w:rPr>
        <w:t>RAPPORT D’ACTIVITÉS DU CENTRE D’ENSEIGNEMENT VIRTUEL – CEV-UDM - PÉRIODE : 2020 – 2025</w:t>
      </w:r>
    </w:p>
    <w:p w14:paraId="4889DCD0" w14:textId="77777777" w:rsidR="0095162D" w:rsidRPr="00E8514C" w:rsidRDefault="00000000">
      <w:pPr>
        <w:pStyle w:val="Titre3"/>
        <w:shd w:val="clear" w:color="auto" w:fill="FFFFFF"/>
        <w:spacing w:before="384" w:beforeAutospacing="0" w:after="192" w:afterAutospacing="0" w:line="360" w:lineRule="atLeast"/>
        <w:jc w:val="both"/>
        <w:rPr>
          <w:rFonts w:ascii="Maiandra GD" w:eastAsia="Segoe UI" w:hAnsi="Maiandra GD" w:cs="Maiandra GD" w:hint="default"/>
          <w:color w:val="0F1115"/>
          <w:sz w:val="24"/>
          <w:szCs w:val="24"/>
          <w:lang w:val="fr-FR"/>
        </w:rPr>
      </w:pPr>
      <w:r w:rsidRPr="00E8514C">
        <w:rPr>
          <w:rFonts w:ascii="Maiandra GD" w:eastAsia="Segoe UI" w:hAnsi="Maiandra GD" w:cs="Maiandra GD" w:hint="default"/>
          <w:color w:val="0F1115"/>
          <w:sz w:val="24"/>
          <w:szCs w:val="24"/>
          <w:shd w:val="clear" w:color="auto" w:fill="FFFFFF"/>
          <w:lang w:val="fr-FR"/>
        </w:rPr>
        <w:t>1. Présentation</w:t>
      </w:r>
    </w:p>
    <w:p w14:paraId="6BE8F3CC" w14:textId="77777777" w:rsidR="0095162D" w:rsidRDefault="00000000">
      <w:pPr>
        <w:pStyle w:val="NormalWeb"/>
        <w:shd w:val="clear" w:color="auto" w:fill="FFFFFF"/>
        <w:spacing w:before="192" w:after="192"/>
        <w:jc w:val="both"/>
        <w:rPr>
          <w:rFonts w:ascii="Maiandra GD" w:eastAsia="Segoe UI" w:hAnsi="Maiandra GD" w:cs="Maiandra GD"/>
          <w:color w:val="0F1115"/>
        </w:rPr>
      </w:pPr>
      <w:r>
        <w:rPr>
          <w:rFonts w:ascii="Maiandra GD" w:eastAsia="Segoe UI" w:hAnsi="Maiandra GD" w:cs="Maiandra GD"/>
          <w:color w:val="0F1115"/>
          <w:shd w:val="clear" w:color="auto" w:fill="FFFFFF"/>
        </w:rPr>
        <w:t>Le Centre d’Enseignement Virtuel de l’Université des Montagnes (CEV-UdM) a été initié à partir du programme de Master en Santé Publique en Ligne (MASPEL), option Épidémiologie, lors de l’année académique 2020-2021. À son lancement, le programme comptait 15 apprenants, tous de nationalité camerounaise.</w:t>
      </w:r>
    </w:p>
    <w:p w14:paraId="62DDC9F3" w14:textId="77777777" w:rsidR="0095162D" w:rsidRDefault="00000000">
      <w:pPr>
        <w:pStyle w:val="NormalWeb"/>
        <w:shd w:val="clear" w:color="auto" w:fill="FFFFFF"/>
        <w:spacing w:before="192" w:after="192"/>
        <w:jc w:val="both"/>
        <w:rPr>
          <w:rFonts w:ascii="Maiandra GD" w:eastAsia="Segoe UI" w:hAnsi="Maiandra GD" w:cs="Maiandra GD"/>
          <w:color w:val="0F1115"/>
        </w:rPr>
      </w:pPr>
      <w:r>
        <w:rPr>
          <w:rFonts w:ascii="Maiandra GD" w:eastAsia="Segoe UI" w:hAnsi="Maiandra GD" w:cs="Maiandra GD"/>
          <w:color w:val="0F1115"/>
          <w:shd w:val="clear" w:color="auto" w:fill="FFFFFF"/>
        </w:rPr>
        <w:t>Grâce au soutien financier de l’Agence Universitaire de la Francophonie (AUF) à partir de la rentrée 2023-2024, le CEV-UdM a connu une croissance significative, passant de 15 à 76 apprenants. Cette dynamique s’est poursuivie en 2024-2025 avec l’intégration de quatre nouveaux programmes :</w:t>
      </w:r>
    </w:p>
    <w:p w14:paraId="71995E65"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MASQUARIBIO (Master en Assurance Qualité et Ingénierie Biomédicale)</w:t>
      </w:r>
    </w:p>
    <w:p w14:paraId="23C730D8"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MIFA (Master en Ingénierie Financière et Actuariat)</w:t>
      </w:r>
    </w:p>
    <w:p w14:paraId="2BA99487"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MASPEL – Biostatistique, Maladies Infectieuses et Promotion de la Santé</w:t>
      </w:r>
    </w:p>
    <w:p w14:paraId="23B3D284" w14:textId="77777777" w:rsidR="0095162D" w:rsidRDefault="00000000">
      <w:pPr>
        <w:pStyle w:val="NormalWeb"/>
        <w:shd w:val="clear" w:color="auto" w:fill="FFFFFF"/>
        <w:spacing w:before="192" w:after="192"/>
        <w:jc w:val="both"/>
        <w:rPr>
          <w:rFonts w:ascii="Maiandra GD" w:eastAsia="Segoe UI" w:hAnsi="Maiandra GD" w:cs="Maiandra GD"/>
          <w:color w:val="0F1115"/>
        </w:rPr>
      </w:pPr>
      <w:r>
        <w:rPr>
          <w:rFonts w:ascii="Maiandra GD" w:eastAsia="Segoe UI" w:hAnsi="Maiandra GD" w:cs="Maiandra GD"/>
          <w:color w:val="0F1115"/>
          <w:shd w:val="clear" w:color="auto" w:fill="FFFFFF"/>
        </w:rPr>
        <w:t>Ainsi, le centre totalise aujourd’hui </w:t>
      </w:r>
      <w:r>
        <w:rPr>
          <w:rStyle w:val="lev"/>
          <w:rFonts w:ascii="Maiandra GD" w:eastAsia="Segoe UI" w:hAnsi="Maiandra GD" w:cs="Maiandra GD"/>
          <w:color w:val="0F1115"/>
          <w:shd w:val="clear" w:color="auto" w:fill="FFFFFF"/>
        </w:rPr>
        <w:t>151 apprenants</w:t>
      </w:r>
      <w:r>
        <w:rPr>
          <w:rFonts w:ascii="Maiandra GD" w:eastAsia="Segoe UI" w:hAnsi="Maiandra GD" w:cs="Maiandra GD"/>
          <w:color w:val="0F1115"/>
          <w:shd w:val="clear" w:color="auto" w:fill="FFFFFF"/>
        </w:rPr>
        <w:t xml:space="preserve"> et vise </w:t>
      </w:r>
      <w:proofErr w:type="spellStart"/>
      <w:proofErr w:type="gramStart"/>
      <w:r>
        <w:rPr>
          <w:rFonts w:ascii="Maiandra GD" w:eastAsia="Segoe UI" w:hAnsi="Maiandra GD" w:cs="Maiandra GD"/>
          <w:color w:val="0F1115"/>
          <w:shd w:val="clear" w:color="auto" w:fill="FFFFFF"/>
        </w:rPr>
        <w:t>a</w:t>
      </w:r>
      <w:proofErr w:type="spellEnd"/>
      <w:proofErr w:type="gramEnd"/>
      <w:r>
        <w:rPr>
          <w:rFonts w:ascii="Maiandra GD" w:eastAsia="Segoe UI" w:hAnsi="Maiandra GD" w:cs="Maiandra GD"/>
          <w:color w:val="0F1115"/>
          <w:shd w:val="clear" w:color="auto" w:fill="FFFFFF"/>
        </w:rPr>
        <w:t xml:space="preserve"> travers le responsable pédagogique et de sa direction, l’établissement respectif d’une harmonisation pédagogique et administrative des formations en ligne, tout en servant d’interface entre les programmes et l’administration centrale. </w:t>
      </w:r>
      <w:proofErr w:type="gramStart"/>
      <w:r>
        <w:rPr>
          <w:rFonts w:ascii="Maiandra GD" w:eastAsia="Segoe UI" w:hAnsi="Maiandra GD" w:cs="Maiandra GD"/>
          <w:color w:val="0F1115"/>
          <w:shd w:val="clear" w:color="auto" w:fill="FFFFFF"/>
        </w:rPr>
        <w:t>La gestion académiques</w:t>
      </w:r>
      <w:proofErr w:type="gramEnd"/>
      <w:r>
        <w:rPr>
          <w:rFonts w:ascii="Maiandra GD" w:eastAsia="Segoe UI" w:hAnsi="Maiandra GD" w:cs="Maiandra GD"/>
          <w:color w:val="0F1115"/>
          <w:shd w:val="clear" w:color="auto" w:fill="FFFFFF"/>
        </w:rPr>
        <w:t xml:space="preserve"> des programmes en ligne demeure la prérogative des filières hôtes de ces programmes.</w:t>
      </w:r>
    </w:p>
    <w:p w14:paraId="449FD2C4" w14:textId="77777777" w:rsidR="0095162D" w:rsidRPr="00E8514C" w:rsidRDefault="00000000">
      <w:pPr>
        <w:pStyle w:val="Titre3"/>
        <w:shd w:val="clear" w:color="auto" w:fill="FFFFFF"/>
        <w:spacing w:before="384" w:beforeAutospacing="0" w:after="192" w:afterAutospacing="0" w:line="360" w:lineRule="atLeast"/>
        <w:jc w:val="both"/>
        <w:rPr>
          <w:rFonts w:ascii="Maiandra GD" w:eastAsia="Segoe UI" w:hAnsi="Maiandra GD" w:cs="Maiandra GD" w:hint="default"/>
          <w:color w:val="0F1115"/>
          <w:sz w:val="24"/>
          <w:szCs w:val="24"/>
          <w:lang w:val="fr-FR"/>
        </w:rPr>
      </w:pPr>
      <w:r w:rsidRPr="00E8514C">
        <w:rPr>
          <w:rFonts w:ascii="Maiandra GD" w:eastAsia="Segoe UI" w:hAnsi="Maiandra GD" w:cs="Maiandra GD" w:hint="default"/>
          <w:color w:val="0F1115"/>
          <w:sz w:val="24"/>
          <w:szCs w:val="24"/>
          <w:shd w:val="clear" w:color="auto" w:fill="FFFFFF"/>
          <w:lang w:val="fr-FR"/>
        </w:rPr>
        <w:t>2. Profil des apprenants : Évolution 2020 – 2025 et Projection 2026</w:t>
      </w:r>
    </w:p>
    <w:p w14:paraId="4265879D" w14:textId="77777777" w:rsidR="0095162D" w:rsidRDefault="00000000">
      <w:pPr>
        <w:pStyle w:val="NormalWeb"/>
        <w:shd w:val="clear" w:color="auto" w:fill="FFFFFF"/>
        <w:spacing w:before="192" w:after="192"/>
        <w:jc w:val="both"/>
        <w:rPr>
          <w:rFonts w:ascii="Maiandra GD" w:eastAsia="Segoe UI" w:hAnsi="Maiandra GD" w:cs="Maiandra GD"/>
          <w:color w:val="0F1115"/>
        </w:rPr>
      </w:pPr>
      <w:r>
        <w:rPr>
          <w:rStyle w:val="lev"/>
          <w:rFonts w:ascii="Maiandra GD" w:eastAsia="Segoe UI" w:hAnsi="Maiandra GD" w:cs="Maiandra GD"/>
          <w:color w:val="0F1115"/>
          <w:shd w:val="clear" w:color="auto" w:fill="FFFFFF"/>
        </w:rPr>
        <w:t>Analyse de l’évolution</w:t>
      </w:r>
      <w:r>
        <w:rPr>
          <w:rFonts w:ascii="Maiandra GD" w:eastAsia="Segoe UI" w:hAnsi="Maiandra GD" w:cs="Maiandra GD"/>
          <w:color w:val="0F1115"/>
          <w:shd w:val="clear" w:color="auto" w:fill="FFFFFF"/>
        </w:rPr>
        <w:t> :</w:t>
      </w:r>
      <w:r>
        <w:rPr>
          <w:rFonts w:ascii="Maiandra GD" w:eastAsia="Segoe UI" w:hAnsi="Maiandra GD" w:cs="Maiandra GD"/>
          <w:color w:val="0F1115"/>
          <w:shd w:val="clear" w:color="auto" w:fill="FFFFFF"/>
        </w:rPr>
        <w:br/>
        <w:t>Le nombre d’apprenants a été multiplié par </w:t>
      </w:r>
      <w:r>
        <w:rPr>
          <w:rStyle w:val="lev"/>
          <w:rFonts w:ascii="Maiandra GD" w:eastAsia="Segoe UI" w:hAnsi="Maiandra GD" w:cs="Maiandra GD"/>
          <w:color w:val="0F1115"/>
          <w:shd w:val="clear" w:color="auto" w:fill="FFFFFF"/>
        </w:rPr>
        <w:t>10 en 5 ans</w:t>
      </w:r>
      <w:r>
        <w:rPr>
          <w:rFonts w:ascii="Maiandra GD" w:eastAsia="Segoe UI" w:hAnsi="Maiandra GD" w:cs="Maiandra GD"/>
          <w:color w:val="0F1115"/>
          <w:shd w:val="clear" w:color="auto" w:fill="FFFFFF"/>
        </w:rPr>
        <w:t>, passant de 15 en 2020 à 447 projetés en 2026, soit un </w:t>
      </w:r>
      <w:r>
        <w:rPr>
          <w:rStyle w:val="lev"/>
          <w:rFonts w:ascii="Maiandra GD" w:eastAsia="Segoe UI" w:hAnsi="Maiandra GD" w:cs="Maiandra GD"/>
          <w:color w:val="0F1115"/>
          <w:shd w:val="clear" w:color="auto" w:fill="FFFFFF"/>
        </w:rPr>
        <w:t>taux de croissance annuel moyen de plus de 75 %</w:t>
      </w:r>
      <w:r>
        <w:rPr>
          <w:rFonts w:ascii="Maiandra GD" w:eastAsia="Segoe UI" w:hAnsi="Maiandra GD" w:cs="Maiandra GD"/>
          <w:color w:val="0F1115"/>
          <w:shd w:val="clear" w:color="auto" w:fill="FFFFFF"/>
        </w:rPr>
        <w:t>. Cette expansion reflète la pertinence des programmes proposés et l’efficacité du modèle d’enseignement virtuel adopté.</w:t>
      </w:r>
    </w:p>
    <w:p w14:paraId="4C1066C7" w14:textId="77777777" w:rsidR="0095162D" w:rsidRDefault="00000000">
      <w:pPr>
        <w:pStyle w:val="NormalWeb"/>
        <w:shd w:val="clear" w:color="auto" w:fill="FFFFFF"/>
        <w:spacing w:before="192" w:after="192"/>
        <w:jc w:val="both"/>
        <w:rPr>
          <w:rFonts w:ascii="Maiandra GD" w:eastAsia="Segoe UI" w:hAnsi="Maiandra GD" w:cs="Maiandra GD"/>
          <w:b/>
          <w:bCs/>
          <w:color w:val="0F1115"/>
          <w:shd w:val="clear" w:color="auto" w:fill="FFFFFF"/>
        </w:rPr>
      </w:pPr>
      <w:r>
        <w:rPr>
          <w:rFonts w:ascii="Maiandra GD" w:eastAsia="Segoe UI" w:hAnsi="Maiandra GD" w:cs="Maiandra GD"/>
          <w:b/>
          <w:bCs/>
          <w:color w:val="0F1115"/>
          <w:shd w:val="clear" w:color="auto" w:fill="FFFFFF"/>
        </w:rPr>
        <w:t xml:space="preserve">Input </w:t>
      </w:r>
      <w:proofErr w:type="spellStart"/>
      <w:proofErr w:type="gramStart"/>
      <w:r>
        <w:rPr>
          <w:rFonts w:ascii="Maiandra GD" w:eastAsia="Segoe UI" w:hAnsi="Maiandra GD" w:cs="Maiandra GD"/>
          <w:b/>
          <w:bCs/>
          <w:color w:val="0F1115"/>
          <w:shd w:val="clear" w:color="auto" w:fill="FFFFFF"/>
        </w:rPr>
        <w:t>throughput</w:t>
      </w:r>
      <w:proofErr w:type="spellEnd"/>
      <w:r>
        <w:rPr>
          <w:rFonts w:ascii="Maiandra GD" w:eastAsia="Segoe UI" w:hAnsi="Maiandra GD" w:cs="Maiandra GD"/>
          <w:b/>
          <w:bCs/>
          <w:color w:val="0F1115"/>
          <w:shd w:val="clear" w:color="auto" w:fill="FFFFFF"/>
        </w:rPr>
        <w:t>:</w:t>
      </w:r>
      <w:proofErr w:type="gramEnd"/>
      <w:r>
        <w:rPr>
          <w:rFonts w:ascii="Maiandra GD" w:eastAsia="Segoe UI" w:hAnsi="Maiandra GD" w:cs="Maiandra GD"/>
          <w:b/>
          <w:bCs/>
          <w:color w:val="0F1115"/>
          <w:shd w:val="clear" w:color="auto" w:fill="FFFFFF"/>
        </w:rPr>
        <w:t xml:space="preserve"> </w:t>
      </w:r>
    </w:p>
    <w:p w14:paraId="2C43CAD8" w14:textId="77777777" w:rsidR="0095162D" w:rsidRDefault="00000000">
      <w:pPr>
        <w:pStyle w:val="NormalWeb"/>
        <w:spacing w:before="192" w:after="192" w:line="336" w:lineRule="atLeast"/>
        <w:ind w:right="520"/>
        <w:jc w:val="both"/>
        <w:rPr>
          <w:rFonts w:ascii="Maiandra GD" w:hAnsi="Maiandra GD" w:cs="Maiandra GD"/>
        </w:rPr>
      </w:pPr>
      <w:r>
        <w:rPr>
          <w:rFonts w:ascii="Maiandra GD" w:eastAsia="Segoe UI" w:hAnsi="Maiandra GD" w:cs="Maiandra GD"/>
          <w:color w:val="0F1115"/>
          <w:shd w:val="clear" w:color="auto" w:fill="FFFFFF"/>
        </w:rPr>
        <w:t>L'analyse input-</w:t>
      </w:r>
      <w:proofErr w:type="spellStart"/>
      <w:r>
        <w:rPr>
          <w:rFonts w:ascii="Maiandra GD" w:eastAsia="Segoe UI" w:hAnsi="Maiandra GD" w:cs="Maiandra GD"/>
          <w:color w:val="0F1115"/>
          <w:shd w:val="clear" w:color="auto" w:fill="FFFFFF"/>
        </w:rPr>
        <w:t>throughput</w:t>
      </w:r>
      <w:proofErr w:type="spellEnd"/>
      <w:r>
        <w:rPr>
          <w:rFonts w:ascii="Maiandra GD" w:eastAsia="Segoe UI" w:hAnsi="Maiandra GD" w:cs="Maiandra GD"/>
          <w:color w:val="0F1115"/>
          <w:shd w:val="clear" w:color="auto" w:fill="FFFFFF"/>
        </w:rPr>
        <w:t xml:space="preserve"> du CEV-UdM, couvrant la période 2020-2025, permet d'évaluer l'efficacité du parcours de formation sur la base des cohortes ayant achevé leur cycle académique. Les données excluent la cohorte 2024/2025 toujours en cours de formation.</w:t>
      </w:r>
    </w:p>
    <w:p w14:paraId="3FC97F2F" w14:textId="77777777" w:rsidR="0095162D" w:rsidRDefault="0095162D">
      <w:pPr>
        <w:numPr>
          <w:ilvl w:val="254"/>
          <w:numId w:val="2"/>
        </w:numPr>
        <w:tabs>
          <w:tab w:val="left" w:pos="720"/>
        </w:tabs>
        <w:spacing w:after="560" w:line="336" w:lineRule="atLeast"/>
        <w:ind w:left="1034" w:right="1040"/>
      </w:pPr>
    </w:p>
    <w:p w14:paraId="30210930" w14:textId="77777777" w:rsidR="0095162D" w:rsidRDefault="00000000">
      <w:pPr>
        <w:pStyle w:val="NormalWeb"/>
        <w:shd w:val="clear" w:color="auto" w:fill="FFFFFF"/>
        <w:spacing w:before="192" w:after="192"/>
        <w:jc w:val="both"/>
        <w:rPr>
          <w:rFonts w:ascii="Maiandra GD" w:eastAsia="Segoe UI" w:hAnsi="Maiandra GD" w:cs="Maiandra GD"/>
          <w:color w:val="0F1115"/>
          <w:shd w:val="clear" w:color="auto" w:fill="FFFFFF"/>
        </w:rPr>
      </w:pPr>
      <w:r>
        <w:rPr>
          <w:rFonts w:ascii="Maiandra GD" w:eastAsia="Segoe UI" w:hAnsi="Maiandra GD" w:cs="Maiandra GD"/>
          <w:color w:val="0F1115"/>
          <w:shd w:val="clear" w:color="auto" w:fill="FFFFFF"/>
        </w:rPr>
        <w:lastRenderedPageBreak/>
        <w:t>Le tableau ci-dessous retrace l’évolution des effectifs du CEV-UdM depuis sa création, avec une projection pour l’année 2025-2026 :</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1157"/>
        <w:gridCol w:w="1128"/>
        <w:gridCol w:w="1188"/>
        <w:gridCol w:w="1140"/>
        <w:gridCol w:w="1164"/>
        <w:gridCol w:w="864"/>
        <w:gridCol w:w="1152"/>
      </w:tblGrid>
      <w:tr w:rsidR="0095162D" w14:paraId="0C743487" w14:textId="77777777">
        <w:trPr>
          <w:trHeight w:val="758"/>
        </w:trPr>
        <w:tc>
          <w:tcPr>
            <w:tcW w:w="1886" w:type="dxa"/>
          </w:tcPr>
          <w:p w14:paraId="7E6A4B7A" w14:textId="77777777" w:rsidR="0095162D" w:rsidRDefault="00000000">
            <w:pPr>
              <w:jc w:val="both"/>
              <w:rPr>
                <w:rFonts w:ascii="Maiandra GD" w:hAnsi="Maiandra GD" w:cs="Maiandra GD"/>
                <w:sz w:val="24"/>
                <w:szCs w:val="24"/>
              </w:rPr>
            </w:pPr>
            <w:r>
              <w:rPr>
                <w:rFonts w:ascii="Maiandra GD" w:hAnsi="Maiandra GD" w:cs="Maiandra GD"/>
                <w:sz w:val="24"/>
                <w:szCs w:val="24"/>
              </w:rPr>
              <w:t>Programme</w:t>
            </w:r>
          </w:p>
        </w:tc>
        <w:tc>
          <w:tcPr>
            <w:tcW w:w="1157" w:type="dxa"/>
          </w:tcPr>
          <w:p w14:paraId="4EDE8DBE" w14:textId="77777777" w:rsidR="0095162D" w:rsidRDefault="00000000">
            <w:pPr>
              <w:jc w:val="both"/>
              <w:rPr>
                <w:rFonts w:ascii="Maiandra GD" w:hAnsi="Maiandra GD" w:cs="Maiandra GD"/>
                <w:sz w:val="24"/>
                <w:szCs w:val="24"/>
              </w:rPr>
            </w:pPr>
            <w:r>
              <w:rPr>
                <w:rFonts w:ascii="Maiandra GD" w:hAnsi="Maiandra GD" w:cs="Maiandra GD"/>
                <w:sz w:val="24"/>
                <w:szCs w:val="24"/>
              </w:rPr>
              <w:t>2020/21</w:t>
            </w:r>
          </w:p>
        </w:tc>
        <w:tc>
          <w:tcPr>
            <w:tcW w:w="1128" w:type="dxa"/>
          </w:tcPr>
          <w:p w14:paraId="4AF086C4" w14:textId="77777777" w:rsidR="0095162D" w:rsidRDefault="00000000">
            <w:pPr>
              <w:jc w:val="both"/>
              <w:rPr>
                <w:rFonts w:ascii="Maiandra GD" w:hAnsi="Maiandra GD" w:cs="Maiandra GD"/>
                <w:sz w:val="24"/>
                <w:szCs w:val="24"/>
              </w:rPr>
            </w:pPr>
            <w:r>
              <w:rPr>
                <w:rFonts w:ascii="Maiandra GD" w:hAnsi="Maiandra GD" w:cs="Maiandra GD"/>
                <w:sz w:val="24"/>
                <w:szCs w:val="24"/>
              </w:rPr>
              <w:t>2021/22</w:t>
            </w:r>
          </w:p>
        </w:tc>
        <w:tc>
          <w:tcPr>
            <w:tcW w:w="1188" w:type="dxa"/>
          </w:tcPr>
          <w:p w14:paraId="086EF7C1" w14:textId="77777777" w:rsidR="0095162D" w:rsidRDefault="00000000">
            <w:pPr>
              <w:jc w:val="both"/>
              <w:rPr>
                <w:rFonts w:ascii="Maiandra GD" w:hAnsi="Maiandra GD" w:cs="Maiandra GD"/>
                <w:sz w:val="24"/>
                <w:szCs w:val="24"/>
              </w:rPr>
            </w:pPr>
            <w:r>
              <w:rPr>
                <w:rFonts w:ascii="Maiandra GD" w:hAnsi="Maiandra GD" w:cs="Maiandra GD"/>
                <w:sz w:val="24"/>
                <w:szCs w:val="24"/>
              </w:rPr>
              <w:t>2022/23</w:t>
            </w:r>
          </w:p>
        </w:tc>
        <w:tc>
          <w:tcPr>
            <w:tcW w:w="1140" w:type="dxa"/>
          </w:tcPr>
          <w:p w14:paraId="242365D5" w14:textId="77777777" w:rsidR="0095162D" w:rsidRDefault="00000000">
            <w:pPr>
              <w:jc w:val="both"/>
              <w:rPr>
                <w:rFonts w:ascii="Maiandra GD" w:hAnsi="Maiandra GD" w:cs="Maiandra GD"/>
                <w:sz w:val="24"/>
                <w:szCs w:val="24"/>
              </w:rPr>
            </w:pPr>
            <w:r>
              <w:rPr>
                <w:rFonts w:ascii="Maiandra GD" w:hAnsi="Maiandra GD" w:cs="Maiandra GD"/>
                <w:sz w:val="24"/>
                <w:szCs w:val="24"/>
              </w:rPr>
              <w:t>2023/24 AUF</w:t>
            </w:r>
          </w:p>
        </w:tc>
        <w:tc>
          <w:tcPr>
            <w:tcW w:w="1164" w:type="dxa"/>
          </w:tcPr>
          <w:p w14:paraId="7D065120" w14:textId="77777777" w:rsidR="0095162D" w:rsidRDefault="00000000">
            <w:pPr>
              <w:jc w:val="both"/>
              <w:rPr>
                <w:rFonts w:ascii="Maiandra GD" w:hAnsi="Maiandra GD" w:cs="Maiandra GD"/>
                <w:sz w:val="24"/>
                <w:szCs w:val="24"/>
              </w:rPr>
            </w:pPr>
            <w:r>
              <w:rPr>
                <w:rFonts w:ascii="Maiandra GD" w:hAnsi="Maiandra GD" w:cs="Maiandra GD"/>
                <w:sz w:val="24"/>
                <w:szCs w:val="24"/>
              </w:rPr>
              <w:t>2024/25 AUF</w:t>
            </w:r>
          </w:p>
        </w:tc>
        <w:tc>
          <w:tcPr>
            <w:tcW w:w="864" w:type="dxa"/>
          </w:tcPr>
          <w:p w14:paraId="76633407" w14:textId="77777777" w:rsidR="0095162D" w:rsidRDefault="00000000">
            <w:pPr>
              <w:jc w:val="both"/>
              <w:rPr>
                <w:rFonts w:ascii="Maiandra GD" w:hAnsi="Maiandra GD" w:cs="Maiandra GD"/>
                <w:b/>
                <w:bCs/>
                <w:sz w:val="20"/>
                <w:szCs w:val="20"/>
              </w:rPr>
            </w:pPr>
            <w:proofErr w:type="spellStart"/>
            <w:r>
              <w:rPr>
                <w:rFonts w:ascii="Maiandra GD" w:hAnsi="Maiandra GD" w:cs="Maiandra GD"/>
                <w:b/>
                <w:bCs/>
                <w:sz w:val="24"/>
                <w:szCs w:val="24"/>
              </w:rPr>
              <w:t>Sum</w:t>
            </w:r>
            <w:proofErr w:type="spellEnd"/>
            <w:r>
              <w:rPr>
                <w:rFonts w:ascii="Maiandra GD" w:hAnsi="Maiandra GD" w:cs="Maiandra GD"/>
                <w:b/>
                <w:bCs/>
                <w:sz w:val="20"/>
                <w:szCs w:val="20"/>
              </w:rPr>
              <w:t>∑</w:t>
            </w:r>
          </w:p>
          <w:p w14:paraId="56CFF70A" w14:textId="77777777" w:rsidR="0095162D" w:rsidRDefault="00000000">
            <w:pPr>
              <w:jc w:val="both"/>
              <w:rPr>
                <w:rFonts w:ascii="Maiandra GD" w:hAnsi="Maiandra GD" w:cs="Maiandra GD"/>
                <w:b/>
                <w:bCs/>
                <w:sz w:val="20"/>
                <w:szCs w:val="20"/>
              </w:rPr>
            </w:pPr>
            <w:r>
              <w:rPr>
                <w:rFonts w:ascii="Maiandra GD" w:hAnsi="Maiandra GD" w:cs="Maiandra GD"/>
                <w:b/>
                <w:bCs/>
                <w:sz w:val="20"/>
                <w:szCs w:val="20"/>
              </w:rPr>
              <w:t>2025</w:t>
            </w:r>
          </w:p>
        </w:tc>
        <w:tc>
          <w:tcPr>
            <w:tcW w:w="1152" w:type="dxa"/>
          </w:tcPr>
          <w:p w14:paraId="03451646" w14:textId="77777777" w:rsidR="0095162D" w:rsidRDefault="00000000">
            <w:pPr>
              <w:jc w:val="both"/>
              <w:rPr>
                <w:rFonts w:ascii="Maiandra GD" w:hAnsi="Maiandra GD" w:cs="Maiandra GD"/>
                <w:sz w:val="24"/>
                <w:szCs w:val="24"/>
              </w:rPr>
            </w:pPr>
            <w:r>
              <w:rPr>
                <w:rFonts w:ascii="Maiandra GD" w:hAnsi="Maiandra GD" w:cs="Maiandra GD"/>
                <w:sz w:val="24"/>
                <w:szCs w:val="24"/>
              </w:rPr>
              <w:t>2025/26 AUF*</w:t>
            </w:r>
          </w:p>
        </w:tc>
      </w:tr>
      <w:tr w:rsidR="0095162D" w14:paraId="36528555" w14:textId="77777777">
        <w:tc>
          <w:tcPr>
            <w:tcW w:w="1886" w:type="dxa"/>
          </w:tcPr>
          <w:p w14:paraId="610FE241" w14:textId="77777777" w:rsidR="0095162D" w:rsidRDefault="00000000">
            <w:pPr>
              <w:jc w:val="both"/>
              <w:rPr>
                <w:rFonts w:ascii="Maiandra GD" w:hAnsi="Maiandra GD" w:cs="Maiandra GD"/>
                <w:sz w:val="24"/>
                <w:szCs w:val="24"/>
              </w:rPr>
            </w:pPr>
            <w:r>
              <w:rPr>
                <w:rFonts w:ascii="Maiandra GD" w:hAnsi="Maiandra GD" w:cs="Maiandra GD"/>
                <w:sz w:val="24"/>
                <w:szCs w:val="24"/>
              </w:rPr>
              <w:t xml:space="preserve">MASPEL- </w:t>
            </w:r>
            <w:proofErr w:type="spellStart"/>
            <w:r>
              <w:rPr>
                <w:rFonts w:ascii="Maiandra GD" w:hAnsi="Maiandra GD" w:cs="Maiandra GD"/>
                <w:sz w:val="24"/>
                <w:szCs w:val="24"/>
              </w:rPr>
              <w:t>Epidemiologie</w:t>
            </w:r>
            <w:proofErr w:type="spellEnd"/>
          </w:p>
        </w:tc>
        <w:tc>
          <w:tcPr>
            <w:tcW w:w="1157" w:type="dxa"/>
          </w:tcPr>
          <w:p w14:paraId="3967C5D3" w14:textId="77777777" w:rsidR="0095162D" w:rsidRDefault="00000000">
            <w:pPr>
              <w:jc w:val="center"/>
              <w:rPr>
                <w:rFonts w:ascii="Maiandra GD" w:hAnsi="Maiandra GD" w:cs="Maiandra GD"/>
                <w:sz w:val="24"/>
                <w:szCs w:val="24"/>
              </w:rPr>
            </w:pPr>
            <w:r>
              <w:rPr>
                <w:rFonts w:ascii="Maiandra GD" w:hAnsi="Maiandra GD" w:cs="Maiandra GD"/>
                <w:sz w:val="24"/>
                <w:szCs w:val="24"/>
              </w:rPr>
              <w:t>15</w:t>
            </w:r>
          </w:p>
        </w:tc>
        <w:tc>
          <w:tcPr>
            <w:tcW w:w="1128" w:type="dxa"/>
          </w:tcPr>
          <w:p w14:paraId="5D1D019F" w14:textId="77777777" w:rsidR="0095162D" w:rsidRDefault="00000000">
            <w:pPr>
              <w:jc w:val="center"/>
              <w:rPr>
                <w:rFonts w:ascii="Maiandra GD" w:hAnsi="Maiandra GD" w:cs="Maiandra GD"/>
                <w:sz w:val="24"/>
                <w:szCs w:val="24"/>
              </w:rPr>
            </w:pPr>
            <w:r>
              <w:rPr>
                <w:rFonts w:ascii="Maiandra GD" w:hAnsi="Maiandra GD" w:cs="Maiandra GD"/>
                <w:sz w:val="24"/>
                <w:szCs w:val="24"/>
              </w:rPr>
              <w:t>25</w:t>
            </w:r>
          </w:p>
        </w:tc>
        <w:tc>
          <w:tcPr>
            <w:tcW w:w="1188" w:type="dxa"/>
          </w:tcPr>
          <w:p w14:paraId="3CD42606" w14:textId="77777777" w:rsidR="0095162D" w:rsidRDefault="00000000">
            <w:pPr>
              <w:jc w:val="center"/>
              <w:rPr>
                <w:rFonts w:ascii="Maiandra GD" w:hAnsi="Maiandra GD" w:cs="Maiandra GD"/>
                <w:sz w:val="24"/>
                <w:szCs w:val="24"/>
              </w:rPr>
            </w:pPr>
            <w:r>
              <w:rPr>
                <w:rFonts w:ascii="Maiandra GD" w:hAnsi="Maiandra GD" w:cs="Maiandra GD"/>
                <w:sz w:val="24"/>
                <w:szCs w:val="24"/>
              </w:rPr>
              <w:t>22</w:t>
            </w:r>
          </w:p>
        </w:tc>
        <w:tc>
          <w:tcPr>
            <w:tcW w:w="1140" w:type="dxa"/>
          </w:tcPr>
          <w:p w14:paraId="31C39849" w14:textId="77777777" w:rsidR="0095162D" w:rsidRDefault="00000000">
            <w:pPr>
              <w:jc w:val="center"/>
              <w:rPr>
                <w:rFonts w:ascii="Maiandra GD" w:hAnsi="Maiandra GD" w:cs="Maiandra GD"/>
                <w:sz w:val="24"/>
                <w:szCs w:val="24"/>
              </w:rPr>
            </w:pPr>
            <w:r>
              <w:rPr>
                <w:rFonts w:ascii="Maiandra GD" w:hAnsi="Maiandra GD" w:cs="Maiandra GD"/>
                <w:sz w:val="24"/>
                <w:szCs w:val="24"/>
              </w:rPr>
              <w:t>73</w:t>
            </w:r>
          </w:p>
        </w:tc>
        <w:tc>
          <w:tcPr>
            <w:tcW w:w="1164" w:type="dxa"/>
          </w:tcPr>
          <w:p w14:paraId="37B5F5C5" w14:textId="77777777" w:rsidR="0095162D" w:rsidRDefault="00000000">
            <w:pPr>
              <w:jc w:val="center"/>
              <w:rPr>
                <w:rFonts w:ascii="Maiandra GD" w:hAnsi="Maiandra GD" w:cs="Maiandra GD"/>
                <w:sz w:val="24"/>
                <w:szCs w:val="24"/>
              </w:rPr>
            </w:pPr>
            <w:r>
              <w:rPr>
                <w:rFonts w:ascii="Maiandra GD" w:hAnsi="Maiandra GD" w:cs="Maiandra GD"/>
                <w:sz w:val="24"/>
                <w:szCs w:val="24"/>
              </w:rPr>
              <w:t>108</w:t>
            </w:r>
          </w:p>
        </w:tc>
        <w:tc>
          <w:tcPr>
            <w:tcW w:w="864" w:type="dxa"/>
          </w:tcPr>
          <w:p w14:paraId="5AA26AD2" w14:textId="77777777" w:rsidR="0095162D" w:rsidRDefault="00000000">
            <w:pPr>
              <w:jc w:val="center"/>
              <w:rPr>
                <w:rFonts w:ascii="Maiandra GD" w:hAnsi="Maiandra GD" w:cs="Maiandra GD"/>
                <w:b/>
                <w:bCs/>
                <w:sz w:val="24"/>
                <w:szCs w:val="24"/>
              </w:rPr>
            </w:pPr>
            <w:r>
              <w:rPr>
                <w:rFonts w:ascii="Maiandra GD" w:hAnsi="Maiandra GD" w:cs="Maiandra GD"/>
                <w:b/>
                <w:bCs/>
                <w:sz w:val="24"/>
                <w:szCs w:val="24"/>
              </w:rPr>
              <w:t>243</w:t>
            </w:r>
          </w:p>
        </w:tc>
        <w:tc>
          <w:tcPr>
            <w:tcW w:w="1152" w:type="dxa"/>
          </w:tcPr>
          <w:p w14:paraId="23E8D57B" w14:textId="77777777" w:rsidR="0095162D" w:rsidRDefault="00000000">
            <w:pPr>
              <w:jc w:val="center"/>
              <w:rPr>
                <w:rFonts w:ascii="Maiandra GD" w:hAnsi="Maiandra GD" w:cs="Maiandra GD"/>
                <w:sz w:val="24"/>
                <w:szCs w:val="24"/>
              </w:rPr>
            </w:pPr>
            <w:r>
              <w:rPr>
                <w:rFonts w:ascii="Maiandra GD" w:hAnsi="Maiandra GD" w:cs="Maiandra GD"/>
                <w:sz w:val="24"/>
                <w:szCs w:val="24"/>
              </w:rPr>
              <w:t>155</w:t>
            </w:r>
          </w:p>
        </w:tc>
      </w:tr>
      <w:tr w:rsidR="0095162D" w14:paraId="682459DA" w14:textId="77777777">
        <w:tc>
          <w:tcPr>
            <w:tcW w:w="1886" w:type="dxa"/>
          </w:tcPr>
          <w:p w14:paraId="16D1E9D2" w14:textId="77777777" w:rsidR="0095162D" w:rsidRDefault="00000000">
            <w:pPr>
              <w:jc w:val="both"/>
              <w:rPr>
                <w:rFonts w:ascii="Maiandra GD" w:hAnsi="Maiandra GD" w:cs="Maiandra GD"/>
                <w:sz w:val="24"/>
                <w:szCs w:val="24"/>
              </w:rPr>
            </w:pPr>
            <w:r>
              <w:rPr>
                <w:rFonts w:ascii="Maiandra GD" w:hAnsi="Maiandra GD" w:cs="Maiandra GD"/>
                <w:sz w:val="24"/>
                <w:szCs w:val="24"/>
              </w:rPr>
              <w:t>MASPEL- Biostatistique</w:t>
            </w:r>
          </w:p>
        </w:tc>
        <w:tc>
          <w:tcPr>
            <w:tcW w:w="1157" w:type="dxa"/>
          </w:tcPr>
          <w:p w14:paraId="0E03CBE6"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28" w:type="dxa"/>
          </w:tcPr>
          <w:p w14:paraId="42B1E948"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88" w:type="dxa"/>
          </w:tcPr>
          <w:p w14:paraId="3E4F47DF"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40" w:type="dxa"/>
          </w:tcPr>
          <w:p w14:paraId="02851241"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64" w:type="dxa"/>
          </w:tcPr>
          <w:p w14:paraId="4619EBBB"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864" w:type="dxa"/>
          </w:tcPr>
          <w:p w14:paraId="6B752D8A" w14:textId="77777777" w:rsidR="0095162D" w:rsidRDefault="00000000">
            <w:pPr>
              <w:jc w:val="center"/>
              <w:rPr>
                <w:rFonts w:ascii="Maiandra GD" w:hAnsi="Maiandra GD" w:cs="Maiandra GD"/>
                <w:b/>
                <w:bCs/>
                <w:sz w:val="24"/>
                <w:szCs w:val="24"/>
              </w:rPr>
            </w:pPr>
            <w:r>
              <w:rPr>
                <w:rFonts w:ascii="Maiandra GD" w:hAnsi="Maiandra GD" w:cs="Maiandra GD"/>
                <w:b/>
                <w:bCs/>
                <w:sz w:val="24"/>
                <w:szCs w:val="24"/>
              </w:rPr>
              <w:t>--</w:t>
            </w:r>
          </w:p>
        </w:tc>
        <w:tc>
          <w:tcPr>
            <w:tcW w:w="1152" w:type="dxa"/>
          </w:tcPr>
          <w:p w14:paraId="0960F85A" w14:textId="77777777" w:rsidR="0095162D" w:rsidRDefault="00000000">
            <w:pPr>
              <w:jc w:val="center"/>
              <w:rPr>
                <w:rFonts w:ascii="Maiandra GD" w:hAnsi="Maiandra GD" w:cs="Maiandra GD"/>
                <w:sz w:val="24"/>
                <w:szCs w:val="24"/>
              </w:rPr>
            </w:pPr>
            <w:r>
              <w:rPr>
                <w:rFonts w:ascii="Maiandra GD" w:hAnsi="Maiandra GD" w:cs="Maiandra GD"/>
                <w:sz w:val="24"/>
                <w:szCs w:val="24"/>
              </w:rPr>
              <w:t>50</w:t>
            </w:r>
          </w:p>
        </w:tc>
      </w:tr>
      <w:tr w:rsidR="0095162D" w14:paraId="2834326F" w14:textId="77777777">
        <w:tc>
          <w:tcPr>
            <w:tcW w:w="1886" w:type="dxa"/>
          </w:tcPr>
          <w:p w14:paraId="5597F322" w14:textId="77777777" w:rsidR="0095162D" w:rsidRDefault="00000000">
            <w:pPr>
              <w:jc w:val="both"/>
              <w:rPr>
                <w:rFonts w:ascii="Maiandra GD" w:hAnsi="Maiandra GD" w:cs="Maiandra GD"/>
                <w:sz w:val="24"/>
                <w:szCs w:val="24"/>
              </w:rPr>
            </w:pPr>
            <w:r>
              <w:rPr>
                <w:rFonts w:ascii="Maiandra GD" w:hAnsi="Maiandra GD" w:cs="Maiandra GD"/>
                <w:sz w:val="24"/>
                <w:szCs w:val="24"/>
              </w:rPr>
              <w:t>MASPEL- Maladie Infectieuses</w:t>
            </w:r>
          </w:p>
        </w:tc>
        <w:tc>
          <w:tcPr>
            <w:tcW w:w="1157" w:type="dxa"/>
          </w:tcPr>
          <w:p w14:paraId="4157519E"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28" w:type="dxa"/>
          </w:tcPr>
          <w:p w14:paraId="4DE2F450"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88" w:type="dxa"/>
          </w:tcPr>
          <w:p w14:paraId="16C379B5"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40" w:type="dxa"/>
          </w:tcPr>
          <w:p w14:paraId="6420C3A8"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64" w:type="dxa"/>
          </w:tcPr>
          <w:p w14:paraId="57FEF8FE"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864" w:type="dxa"/>
          </w:tcPr>
          <w:p w14:paraId="6BA316DE" w14:textId="77777777" w:rsidR="0095162D" w:rsidRDefault="00000000">
            <w:pPr>
              <w:jc w:val="center"/>
              <w:rPr>
                <w:rFonts w:ascii="Maiandra GD" w:hAnsi="Maiandra GD" w:cs="Maiandra GD"/>
                <w:b/>
                <w:bCs/>
                <w:sz w:val="24"/>
                <w:szCs w:val="24"/>
              </w:rPr>
            </w:pPr>
            <w:r>
              <w:rPr>
                <w:rFonts w:ascii="Maiandra GD" w:hAnsi="Maiandra GD" w:cs="Maiandra GD"/>
                <w:b/>
                <w:bCs/>
                <w:sz w:val="24"/>
                <w:szCs w:val="24"/>
              </w:rPr>
              <w:t>--</w:t>
            </w:r>
          </w:p>
        </w:tc>
        <w:tc>
          <w:tcPr>
            <w:tcW w:w="1152" w:type="dxa"/>
          </w:tcPr>
          <w:p w14:paraId="6AB12062" w14:textId="77777777" w:rsidR="0095162D" w:rsidRDefault="00000000">
            <w:pPr>
              <w:jc w:val="center"/>
              <w:rPr>
                <w:rFonts w:ascii="Maiandra GD" w:hAnsi="Maiandra GD" w:cs="Maiandra GD"/>
                <w:sz w:val="24"/>
                <w:szCs w:val="24"/>
              </w:rPr>
            </w:pPr>
            <w:r>
              <w:rPr>
                <w:rFonts w:ascii="Maiandra GD" w:hAnsi="Maiandra GD" w:cs="Maiandra GD"/>
                <w:sz w:val="24"/>
                <w:szCs w:val="24"/>
              </w:rPr>
              <w:t>40</w:t>
            </w:r>
          </w:p>
        </w:tc>
      </w:tr>
      <w:tr w:rsidR="0095162D" w14:paraId="17E9420F" w14:textId="77777777">
        <w:tc>
          <w:tcPr>
            <w:tcW w:w="1886" w:type="dxa"/>
          </w:tcPr>
          <w:p w14:paraId="757F9633" w14:textId="77777777" w:rsidR="0095162D" w:rsidRDefault="00000000">
            <w:pPr>
              <w:jc w:val="both"/>
              <w:rPr>
                <w:rFonts w:ascii="Maiandra GD" w:hAnsi="Maiandra GD" w:cs="Maiandra GD"/>
                <w:sz w:val="24"/>
                <w:szCs w:val="24"/>
              </w:rPr>
            </w:pPr>
            <w:r>
              <w:rPr>
                <w:rFonts w:ascii="Maiandra GD" w:hAnsi="Maiandra GD" w:cs="Maiandra GD"/>
                <w:sz w:val="24"/>
                <w:szCs w:val="24"/>
              </w:rPr>
              <w:t>MASPEL- Promotion de la sante</w:t>
            </w:r>
          </w:p>
        </w:tc>
        <w:tc>
          <w:tcPr>
            <w:tcW w:w="1157" w:type="dxa"/>
          </w:tcPr>
          <w:p w14:paraId="3AB2267A" w14:textId="77777777" w:rsidR="0095162D" w:rsidRDefault="00000000">
            <w:pPr>
              <w:jc w:val="center"/>
              <w:rPr>
                <w:rFonts w:ascii="Maiandra GD" w:hAnsi="Maiandra GD" w:cs="Maiandra GD"/>
                <w:sz w:val="24"/>
                <w:szCs w:val="24"/>
              </w:rPr>
            </w:pPr>
            <w:r>
              <w:rPr>
                <w:rFonts w:ascii="Maiandra GD" w:hAnsi="Maiandra GD" w:cs="Maiandra GD"/>
                <w:sz w:val="24"/>
                <w:szCs w:val="24"/>
              </w:rPr>
              <w:t>--t</w:t>
            </w:r>
          </w:p>
        </w:tc>
        <w:tc>
          <w:tcPr>
            <w:tcW w:w="1128" w:type="dxa"/>
          </w:tcPr>
          <w:p w14:paraId="5F7AEB36"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88" w:type="dxa"/>
          </w:tcPr>
          <w:p w14:paraId="099E6F1B"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40" w:type="dxa"/>
          </w:tcPr>
          <w:p w14:paraId="1E191549"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64" w:type="dxa"/>
          </w:tcPr>
          <w:p w14:paraId="43524705"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864" w:type="dxa"/>
          </w:tcPr>
          <w:p w14:paraId="467B58D1" w14:textId="77777777" w:rsidR="0095162D" w:rsidRDefault="00000000">
            <w:pPr>
              <w:jc w:val="center"/>
              <w:rPr>
                <w:rFonts w:ascii="Maiandra GD" w:hAnsi="Maiandra GD" w:cs="Maiandra GD"/>
                <w:b/>
                <w:bCs/>
                <w:sz w:val="24"/>
                <w:szCs w:val="24"/>
              </w:rPr>
            </w:pPr>
            <w:r>
              <w:rPr>
                <w:rFonts w:ascii="Maiandra GD" w:hAnsi="Maiandra GD" w:cs="Maiandra GD"/>
                <w:b/>
                <w:bCs/>
                <w:sz w:val="24"/>
                <w:szCs w:val="24"/>
              </w:rPr>
              <w:t>--</w:t>
            </w:r>
          </w:p>
        </w:tc>
        <w:tc>
          <w:tcPr>
            <w:tcW w:w="1152" w:type="dxa"/>
          </w:tcPr>
          <w:p w14:paraId="050B2724" w14:textId="77777777" w:rsidR="0095162D" w:rsidRDefault="00000000">
            <w:pPr>
              <w:jc w:val="center"/>
              <w:rPr>
                <w:rFonts w:ascii="Maiandra GD" w:hAnsi="Maiandra GD" w:cs="Maiandra GD"/>
                <w:sz w:val="24"/>
                <w:szCs w:val="24"/>
              </w:rPr>
            </w:pPr>
            <w:r>
              <w:rPr>
                <w:rFonts w:ascii="Maiandra GD" w:hAnsi="Maiandra GD" w:cs="Maiandra GD"/>
                <w:sz w:val="24"/>
                <w:szCs w:val="24"/>
              </w:rPr>
              <w:t>43</w:t>
            </w:r>
          </w:p>
        </w:tc>
      </w:tr>
      <w:tr w:rsidR="0095162D" w14:paraId="3D8EA794" w14:textId="77777777">
        <w:tc>
          <w:tcPr>
            <w:tcW w:w="1886" w:type="dxa"/>
          </w:tcPr>
          <w:p w14:paraId="6A97F2D8" w14:textId="77777777" w:rsidR="0095162D" w:rsidRDefault="00000000">
            <w:pPr>
              <w:jc w:val="both"/>
              <w:rPr>
                <w:rFonts w:ascii="Maiandra GD" w:hAnsi="Maiandra GD" w:cs="Maiandra GD"/>
                <w:sz w:val="24"/>
                <w:szCs w:val="24"/>
              </w:rPr>
            </w:pPr>
            <w:r>
              <w:rPr>
                <w:rFonts w:ascii="Maiandra GD" w:hAnsi="Maiandra GD" w:cs="Maiandra GD"/>
                <w:sz w:val="24"/>
                <w:szCs w:val="24"/>
              </w:rPr>
              <w:t>MASQUARIBIO</w:t>
            </w:r>
          </w:p>
        </w:tc>
        <w:tc>
          <w:tcPr>
            <w:tcW w:w="1157" w:type="dxa"/>
          </w:tcPr>
          <w:p w14:paraId="624C278D"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28" w:type="dxa"/>
          </w:tcPr>
          <w:p w14:paraId="1E963952"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88" w:type="dxa"/>
          </w:tcPr>
          <w:p w14:paraId="0421C440"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40" w:type="dxa"/>
          </w:tcPr>
          <w:p w14:paraId="1E728D57"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64" w:type="dxa"/>
          </w:tcPr>
          <w:p w14:paraId="2BA4FE06" w14:textId="77777777" w:rsidR="0095162D" w:rsidRDefault="00000000">
            <w:pPr>
              <w:jc w:val="center"/>
              <w:rPr>
                <w:rFonts w:ascii="Maiandra GD" w:hAnsi="Maiandra GD" w:cs="Maiandra GD"/>
                <w:sz w:val="24"/>
                <w:szCs w:val="24"/>
              </w:rPr>
            </w:pPr>
            <w:r>
              <w:rPr>
                <w:rFonts w:ascii="Maiandra GD" w:hAnsi="Maiandra GD" w:cs="Maiandra GD"/>
                <w:sz w:val="24"/>
                <w:szCs w:val="24"/>
              </w:rPr>
              <w:t>11</w:t>
            </w:r>
          </w:p>
        </w:tc>
        <w:tc>
          <w:tcPr>
            <w:tcW w:w="864" w:type="dxa"/>
          </w:tcPr>
          <w:p w14:paraId="73B20797" w14:textId="77777777" w:rsidR="0095162D" w:rsidRDefault="00000000">
            <w:pPr>
              <w:jc w:val="center"/>
              <w:rPr>
                <w:rFonts w:ascii="Maiandra GD" w:hAnsi="Maiandra GD" w:cs="Maiandra GD"/>
                <w:b/>
                <w:bCs/>
                <w:sz w:val="24"/>
                <w:szCs w:val="24"/>
              </w:rPr>
            </w:pPr>
            <w:r>
              <w:rPr>
                <w:rFonts w:ascii="Maiandra GD" w:hAnsi="Maiandra GD" w:cs="Maiandra GD"/>
                <w:b/>
                <w:bCs/>
                <w:sz w:val="24"/>
                <w:szCs w:val="24"/>
              </w:rPr>
              <w:t>11</w:t>
            </w:r>
          </w:p>
        </w:tc>
        <w:tc>
          <w:tcPr>
            <w:tcW w:w="1152" w:type="dxa"/>
          </w:tcPr>
          <w:p w14:paraId="0FDA1CC7" w14:textId="77777777" w:rsidR="0095162D" w:rsidRDefault="00000000">
            <w:pPr>
              <w:jc w:val="center"/>
              <w:rPr>
                <w:rFonts w:ascii="Maiandra GD" w:hAnsi="Maiandra GD" w:cs="Maiandra GD"/>
                <w:sz w:val="24"/>
                <w:szCs w:val="24"/>
              </w:rPr>
            </w:pPr>
            <w:r>
              <w:rPr>
                <w:rFonts w:ascii="Maiandra GD" w:hAnsi="Maiandra GD" w:cs="Maiandra GD"/>
                <w:sz w:val="24"/>
                <w:szCs w:val="24"/>
              </w:rPr>
              <w:t>52</w:t>
            </w:r>
          </w:p>
        </w:tc>
      </w:tr>
      <w:tr w:rsidR="0095162D" w14:paraId="3DCA7949" w14:textId="77777777">
        <w:tc>
          <w:tcPr>
            <w:tcW w:w="1886" w:type="dxa"/>
          </w:tcPr>
          <w:p w14:paraId="24BFB5D4" w14:textId="77777777" w:rsidR="0095162D" w:rsidRDefault="00000000">
            <w:pPr>
              <w:jc w:val="both"/>
              <w:rPr>
                <w:rFonts w:ascii="Maiandra GD" w:hAnsi="Maiandra GD" w:cs="Maiandra GD"/>
                <w:sz w:val="24"/>
                <w:szCs w:val="24"/>
              </w:rPr>
            </w:pPr>
            <w:r>
              <w:rPr>
                <w:rFonts w:ascii="Maiandra GD" w:hAnsi="Maiandra GD" w:cs="Maiandra GD"/>
                <w:sz w:val="24"/>
                <w:szCs w:val="24"/>
              </w:rPr>
              <w:t>MIFA</w:t>
            </w:r>
          </w:p>
        </w:tc>
        <w:tc>
          <w:tcPr>
            <w:tcW w:w="1157" w:type="dxa"/>
          </w:tcPr>
          <w:p w14:paraId="69AF506B"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28" w:type="dxa"/>
          </w:tcPr>
          <w:p w14:paraId="05AD00E0"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88" w:type="dxa"/>
          </w:tcPr>
          <w:p w14:paraId="59074958"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40" w:type="dxa"/>
          </w:tcPr>
          <w:p w14:paraId="0795A91D" w14:textId="77777777" w:rsidR="0095162D" w:rsidRDefault="00000000">
            <w:pPr>
              <w:jc w:val="center"/>
              <w:rPr>
                <w:rFonts w:ascii="Maiandra GD" w:hAnsi="Maiandra GD" w:cs="Maiandra GD"/>
                <w:sz w:val="24"/>
                <w:szCs w:val="24"/>
              </w:rPr>
            </w:pPr>
            <w:r>
              <w:rPr>
                <w:rFonts w:ascii="Maiandra GD" w:hAnsi="Maiandra GD" w:cs="Maiandra GD"/>
                <w:sz w:val="24"/>
                <w:szCs w:val="24"/>
              </w:rPr>
              <w:t>--</w:t>
            </w:r>
          </w:p>
        </w:tc>
        <w:tc>
          <w:tcPr>
            <w:tcW w:w="1164" w:type="dxa"/>
          </w:tcPr>
          <w:p w14:paraId="13855F7B" w14:textId="77777777" w:rsidR="0095162D" w:rsidRDefault="00000000">
            <w:pPr>
              <w:jc w:val="center"/>
              <w:rPr>
                <w:rFonts w:ascii="Maiandra GD" w:hAnsi="Maiandra GD" w:cs="Maiandra GD"/>
                <w:sz w:val="24"/>
                <w:szCs w:val="24"/>
              </w:rPr>
            </w:pPr>
            <w:r>
              <w:rPr>
                <w:rFonts w:ascii="Maiandra GD" w:hAnsi="Maiandra GD" w:cs="Maiandra GD"/>
                <w:sz w:val="24"/>
                <w:szCs w:val="24"/>
              </w:rPr>
              <w:t>28</w:t>
            </w:r>
          </w:p>
        </w:tc>
        <w:tc>
          <w:tcPr>
            <w:tcW w:w="864" w:type="dxa"/>
          </w:tcPr>
          <w:p w14:paraId="7EACB005" w14:textId="77777777" w:rsidR="0095162D" w:rsidRDefault="00000000">
            <w:pPr>
              <w:jc w:val="center"/>
              <w:rPr>
                <w:rFonts w:ascii="Maiandra GD" w:hAnsi="Maiandra GD" w:cs="Maiandra GD"/>
                <w:b/>
                <w:bCs/>
                <w:sz w:val="24"/>
                <w:szCs w:val="24"/>
              </w:rPr>
            </w:pPr>
            <w:r>
              <w:rPr>
                <w:rFonts w:ascii="Maiandra GD" w:hAnsi="Maiandra GD" w:cs="Maiandra GD"/>
                <w:b/>
                <w:bCs/>
                <w:sz w:val="24"/>
                <w:szCs w:val="24"/>
              </w:rPr>
              <w:t>28</w:t>
            </w:r>
          </w:p>
        </w:tc>
        <w:tc>
          <w:tcPr>
            <w:tcW w:w="1152" w:type="dxa"/>
          </w:tcPr>
          <w:p w14:paraId="41E9B4D0" w14:textId="77777777" w:rsidR="0095162D" w:rsidRDefault="00000000">
            <w:pPr>
              <w:jc w:val="center"/>
              <w:rPr>
                <w:rFonts w:ascii="Maiandra GD" w:hAnsi="Maiandra GD" w:cs="Maiandra GD"/>
                <w:sz w:val="24"/>
                <w:szCs w:val="24"/>
              </w:rPr>
            </w:pPr>
            <w:r>
              <w:rPr>
                <w:rFonts w:ascii="Maiandra GD" w:hAnsi="Maiandra GD" w:cs="Maiandra GD"/>
                <w:sz w:val="24"/>
                <w:szCs w:val="24"/>
              </w:rPr>
              <w:t>107</w:t>
            </w:r>
          </w:p>
        </w:tc>
      </w:tr>
      <w:tr w:rsidR="0095162D" w14:paraId="2C849285" w14:textId="77777777">
        <w:tc>
          <w:tcPr>
            <w:tcW w:w="1886" w:type="dxa"/>
          </w:tcPr>
          <w:p w14:paraId="1B9BCAAD" w14:textId="77777777" w:rsidR="0095162D" w:rsidRDefault="00000000">
            <w:pPr>
              <w:jc w:val="both"/>
              <w:rPr>
                <w:rFonts w:ascii="Maiandra GD" w:hAnsi="Maiandra GD" w:cs="Maiandra GD"/>
                <w:b/>
                <w:bCs/>
                <w:sz w:val="24"/>
                <w:szCs w:val="24"/>
              </w:rPr>
            </w:pPr>
            <w:r>
              <w:rPr>
                <w:rFonts w:ascii="Maiandra GD" w:hAnsi="Maiandra GD" w:cs="Maiandra GD"/>
                <w:b/>
                <w:bCs/>
                <w:sz w:val="24"/>
                <w:szCs w:val="24"/>
              </w:rPr>
              <w:t>Total</w:t>
            </w:r>
          </w:p>
        </w:tc>
        <w:tc>
          <w:tcPr>
            <w:tcW w:w="1157" w:type="dxa"/>
          </w:tcPr>
          <w:p w14:paraId="42BB0A91" w14:textId="77777777" w:rsidR="0095162D" w:rsidRDefault="00000000">
            <w:pPr>
              <w:jc w:val="center"/>
              <w:rPr>
                <w:rFonts w:ascii="Maiandra GD" w:hAnsi="Maiandra GD" w:cs="Maiandra GD"/>
                <w:b/>
                <w:bCs/>
                <w:sz w:val="24"/>
                <w:szCs w:val="24"/>
              </w:rPr>
            </w:pPr>
            <w:r>
              <w:rPr>
                <w:rFonts w:ascii="Maiandra GD" w:hAnsi="Maiandra GD" w:cs="Maiandra GD"/>
                <w:b/>
                <w:bCs/>
                <w:sz w:val="24"/>
                <w:szCs w:val="24"/>
              </w:rPr>
              <w:t>15</w:t>
            </w:r>
          </w:p>
        </w:tc>
        <w:tc>
          <w:tcPr>
            <w:tcW w:w="1128" w:type="dxa"/>
          </w:tcPr>
          <w:p w14:paraId="1C912D9A" w14:textId="77777777" w:rsidR="0095162D" w:rsidRDefault="00000000">
            <w:pPr>
              <w:jc w:val="center"/>
              <w:rPr>
                <w:rFonts w:ascii="Maiandra GD" w:hAnsi="Maiandra GD" w:cs="Maiandra GD"/>
                <w:b/>
                <w:bCs/>
                <w:sz w:val="24"/>
                <w:szCs w:val="24"/>
              </w:rPr>
            </w:pPr>
            <w:r>
              <w:rPr>
                <w:rFonts w:ascii="Maiandra GD" w:hAnsi="Maiandra GD" w:cs="Maiandra GD"/>
                <w:b/>
                <w:bCs/>
                <w:sz w:val="24"/>
                <w:szCs w:val="24"/>
              </w:rPr>
              <w:t>25</w:t>
            </w:r>
          </w:p>
        </w:tc>
        <w:tc>
          <w:tcPr>
            <w:tcW w:w="1188" w:type="dxa"/>
          </w:tcPr>
          <w:p w14:paraId="088F2705" w14:textId="77777777" w:rsidR="0095162D" w:rsidRDefault="00000000">
            <w:pPr>
              <w:jc w:val="center"/>
              <w:rPr>
                <w:rFonts w:ascii="Maiandra GD" w:hAnsi="Maiandra GD" w:cs="Maiandra GD"/>
                <w:b/>
                <w:bCs/>
                <w:sz w:val="24"/>
                <w:szCs w:val="24"/>
              </w:rPr>
            </w:pPr>
            <w:r>
              <w:rPr>
                <w:rFonts w:ascii="Maiandra GD" w:hAnsi="Maiandra GD" w:cs="Maiandra GD"/>
                <w:b/>
                <w:bCs/>
                <w:sz w:val="24"/>
                <w:szCs w:val="24"/>
              </w:rPr>
              <w:t>22</w:t>
            </w:r>
          </w:p>
        </w:tc>
        <w:tc>
          <w:tcPr>
            <w:tcW w:w="1140" w:type="dxa"/>
          </w:tcPr>
          <w:p w14:paraId="76D89586" w14:textId="77777777" w:rsidR="0095162D" w:rsidRDefault="00000000">
            <w:pPr>
              <w:jc w:val="center"/>
              <w:rPr>
                <w:rFonts w:ascii="Maiandra GD" w:hAnsi="Maiandra GD" w:cs="Maiandra GD"/>
                <w:b/>
                <w:bCs/>
                <w:sz w:val="24"/>
                <w:szCs w:val="24"/>
              </w:rPr>
            </w:pPr>
            <w:r>
              <w:rPr>
                <w:rFonts w:ascii="Maiandra GD" w:hAnsi="Maiandra GD" w:cs="Maiandra GD"/>
                <w:b/>
                <w:bCs/>
                <w:sz w:val="24"/>
                <w:szCs w:val="24"/>
              </w:rPr>
              <w:t>73</w:t>
            </w:r>
          </w:p>
        </w:tc>
        <w:tc>
          <w:tcPr>
            <w:tcW w:w="1164" w:type="dxa"/>
          </w:tcPr>
          <w:p w14:paraId="6DED240C" w14:textId="77777777" w:rsidR="0095162D" w:rsidRDefault="00000000">
            <w:pPr>
              <w:jc w:val="center"/>
              <w:rPr>
                <w:rFonts w:ascii="Maiandra GD" w:hAnsi="Maiandra GD" w:cs="Maiandra GD"/>
                <w:b/>
                <w:bCs/>
                <w:sz w:val="24"/>
                <w:szCs w:val="24"/>
              </w:rPr>
            </w:pPr>
            <w:r>
              <w:rPr>
                <w:rFonts w:ascii="Maiandra GD" w:hAnsi="Maiandra GD" w:cs="Maiandra GD"/>
                <w:b/>
                <w:bCs/>
                <w:sz w:val="24"/>
                <w:szCs w:val="24"/>
              </w:rPr>
              <w:t>147</w:t>
            </w:r>
          </w:p>
        </w:tc>
        <w:tc>
          <w:tcPr>
            <w:tcW w:w="864" w:type="dxa"/>
          </w:tcPr>
          <w:p w14:paraId="3D8CCFA1" w14:textId="77777777" w:rsidR="0095162D" w:rsidRDefault="00000000">
            <w:pPr>
              <w:jc w:val="center"/>
              <w:rPr>
                <w:rFonts w:ascii="Maiandra GD" w:hAnsi="Maiandra GD" w:cs="Maiandra GD"/>
                <w:b/>
                <w:bCs/>
                <w:sz w:val="24"/>
                <w:szCs w:val="24"/>
              </w:rPr>
            </w:pPr>
            <w:r>
              <w:rPr>
                <w:rFonts w:ascii="Maiandra GD" w:hAnsi="Maiandra GD" w:cs="Maiandra GD"/>
                <w:b/>
                <w:bCs/>
                <w:sz w:val="24"/>
                <w:szCs w:val="24"/>
              </w:rPr>
              <w:t>282</w:t>
            </w:r>
          </w:p>
        </w:tc>
        <w:tc>
          <w:tcPr>
            <w:tcW w:w="1152" w:type="dxa"/>
          </w:tcPr>
          <w:p w14:paraId="5E062349" w14:textId="77777777" w:rsidR="0095162D" w:rsidRDefault="00000000">
            <w:pPr>
              <w:jc w:val="center"/>
              <w:rPr>
                <w:rFonts w:ascii="Maiandra GD" w:hAnsi="Maiandra GD" w:cs="Maiandra GD"/>
                <w:b/>
                <w:bCs/>
                <w:sz w:val="24"/>
                <w:szCs w:val="24"/>
              </w:rPr>
            </w:pPr>
            <w:r>
              <w:rPr>
                <w:rFonts w:ascii="Maiandra GD" w:hAnsi="Maiandra GD" w:cs="Maiandra GD"/>
                <w:b/>
                <w:bCs/>
                <w:sz w:val="24"/>
                <w:szCs w:val="24"/>
              </w:rPr>
              <w:t>447*</w:t>
            </w:r>
          </w:p>
        </w:tc>
      </w:tr>
    </w:tbl>
    <w:p w14:paraId="553A8554" w14:textId="77777777" w:rsidR="00E8514C" w:rsidRDefault="00E8514C">
      <w:pPr>
        <w:pStyle w:val="NormalWeb"/>
        <w:shd w:val="clear" w:color="auto" w:fill="FFFFFF"/>
        <w:spacing w:before="192" w:after="192"/>
        <w:jc w:val="both"/>
        <w:rPr>
          <w:rFonts w:ascii="Maiandra GD" w:eastAsia="Segoe UI" w:hAnsi="Maiandra GD" w:cs="Maiandra GD"/>
          <w:b/>
          <w:bCs/>
          <w:color w:val="0F1115"/>
          <w:shd w:val="clear" w:color="auto" w:fill="FFFFFF"/>
        </w:rPr>
      </w:pPr>
    </w:p>
    <w:p w14:paraId="17576C7D" w14:textId="36876F6F" w:rsidR="00E8514C" w:rsidRDefault="00E8514C">
      <w:pPr>
        <w:pStyle w:val="NormalWeb"/>
        <w:shd w:val="clear" w:color="auto" w:fill="FFFFFF"/>
        <w:spacing w:before="192" w:after="192"/>
        <w:jc w:val="both"/>
        <w:rPr>
          <w:rFonts w:ascii="Maiandra GD" w:eastAsia="Segoe UI" w:hAnsi="Maiandra GD" w:cs="Maiandra GD"/>
          <w:b/>
          <w:bCs/>
          <w:color w:val="0F1115"/>
          <w:shd w:val="clear" w:color="auto" w:fill="FFFFFF"/>
        </w:rPr>
      </w:pPr>
      <w:r>
        <w:rPr>
          <w:noProof/>
        </w:rPr>
        <w:drawing>
          <wp:inline distT="0" distB="0" distL="0" distR="0" wp14:anchorId="04CACAAC" wp14:editId="735ED3BC">
            <wp:extent cx="5924550" cy="2743200"/>
            <wp:effectExtent l="0" t="0" r="0" b="0"/>
            <wp:docPr id="1022841013" name="Graphique 1">
              <a:extLst xmlns:a="http://schemas.openxmlformats.org/drawingml/2006/main">
                <a:ext uri="{FF2B5EF4-FFF2-40B4-BE49-F238E27FC236}">
                  <a16:creationId xmlns:a16="http://schemas.microsoft.com/office/drawing/2014/main" id="{1422357D-D932-CE7A-674F-1BF4B8EDFF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4F5BA7A" w14:textId="4119D6EF" w:rsidR="0095162D" w:rsidRDefault="00000000">
      <w:pPr>
        <w:pStyle w:val="NormalWeb"/>
        <w:shd w:val="clear" w:color="auto" w:fill="FFFFFF"/>
        <w:spacing w:before="192" w:after="192"/>
        <w:jc w:val="both"/>
        <w:rPr>
          <w:rFonts w:ascii="Maiandra GD" w:eastAsia="Segoe UI" w:hAnsi="Maiandra GD" w:cs="Maiandra GD"/>
          <w:b/>
          <w:bCs/>
          <w:color w:val="0F1115"/>
          <w:shd w:val="clear" w:color="auto" w:fill="FFFFFF"/>
        </w:rPr>
      </w:pPr>
      <w:r>
        <w:rPr>
          <w:rFonts w:ascii="Maiandra GD" w:eastAsia="Segoe UI" w:hAnsi="Maiandra GD" w:cs="Maiandra GD"/>
          <w:b/>
          <w:bCs/>
          <w:color w:val="0F1115"/>
          <w:shd w:val="clear" w:color="auto" w:fill="FFFFFF"/>
        </w:rPr>
        <w:t xml:space="preserve">*Note : Les chiffres 2025/2026 correspondent aux candidatures admises, non encore </w:t>
      </w:r>
      <w:proofErr w:type="gramStart"/>
      <w:r>
        <w:rPr>
          <w:rFonts w:ascii="Maiandra GD" w:eastAsia="Segoe UI" w:hAnsi="Maiandra GD" w:cs="Maiandra GD"/>
          <w:b/>
          <w:bCs/>
          <w:color w:val="0F1115"/>
          <w:shd w:val="clear" w:color="auto" w:fill="FFFFFF"/>
        </w:rPr>
        <w:t>inscrites.*</w:t>
      </w:r>
      <w:proofErr w:type="gramEnd"/>
    </w:p>
    <w:p w14:paraId="11FFC313" w14:textId="77777777" w:rsidR="0095162D" w:rsidRDefault="00000000">
      <w:pPr>
        <w:pStyle w:val="NormalWeb"/>
        <w:numPr>
          <w:ilvl w:val="0"/>
          <w:numId w:val="3"/>
        </w:numPr>
        <w:spacing w:after="0" w:line="336" w:lineRule="atLeast"/>
        <w:ind w:right="520"/>
        <w:jc w:val="both"/>
        <w:rPr>
          <w:rFonts w:ascii="Maiandra GD" w:hAnsi="Maiandra GD" w:cs="Maiandra GD"/>
        </w:rPr>
      </w:pPr>
      <w:r>
        <w:rPr>
          <w:rStyle w:val="lev"/>
          <w:rFonts w:ascii="Maiandra GD" w:eastAsia="Segoe UI" w:hAnsi="Maiandra GD" w:cs="Maiandra GD"/>
          <w:color w:val="0F1115"/>
          <w:shd w:val="clear" w:color="auto" w:fill="FFFFFF"/>
        </w:rPr>
        <w:t>Input total (2020-2023) :</w:t>
      </w:r>
      <w:r>
        <w:rPr>
          <w:rFonts w:ascii="Maiandra GD" w:eastAsia="Segoe UI" w:hAnsi="Maiandra GD" w:cs="Maiandra GD"/>
          <w:color w:val="0F1115"/>
          <w:shd w:val="clear" w:color="auto" w:fill="FFFFFF"/>
        </w:rPr>
        <w:t> 174 apprenants inscrits</w:t>
      </w:r>
    </w:p>
    <w:p w14:paraId="1BEB60FC" w14:textId="77777777" w:rsidR="0095162D" w:rsidRDefault="00000000">
      <w:pPr>
        <w:pStyle w:val="NormalWeb"/>
        <w:numPr>
          <w:ilvl w:val="0"/>
          <w:numId w:val="3"/>
        </w:numPr>
        <w:spacing w:after="0" w:line="336" w:lineRule="atLeast"/>
        <w:ind w:right="520"/>
        <w:jc w:val="both"/>
        <w:rPr>
          <w:rFonts w:ascii="Maiandra GD" w:hAnsi="Maiandra GD" w:cs="Maiandra GD"/>
        </w:rPr>
      </w:pPr>
      <w:proofErr w:type="spellStart"/>
      <w:r>
        <w:rPr>
          <w:rStyle w:val="lev"/>
          <w:rFonts w:ascii="Maiandra GD" w:eastAsia="Segoe UI" w:hAnsi="Maiandra GD" w:cs="Maiandra GD"/>
          <w:color w:val="0F1115"/>
          <w:shd w:val="clear" w:color="auto" w:fill="FFFFFF"/>
        </w:rPr>
        <w:t>Throughput</w:t>
      </w:r>
      <w:proofErr w:type="spellEnd"/>
      <w:r>
        <w:rPr>
          <w:rStyle w:val="lev"/>
          <w:rFonts w:ascii="Maiandra GD" w:eastAsia="Segoe UI" w:hAnsi="Maiandra GD" w:cs="Maiandra GD"/>
          <w:color w:val="0F1115"/>
          <w:shd w:val="clear" w:color="auto" w:fill="FFFFFF"/>
        </w:rPr>
        <w:t xml:space="preserve"> (diplômés 2025) :</w:t>
      </w:r>
      <w:r>
        <w:rPr>
          <w:rFonts w:ascii="Maiandra GD" w:eastAsia="Segoe UI" w:hAnsi="Maiandra GD" w:cs="Maiandra GD"/>
          <w:color w:val="0F1115"/>
          <w:shd w:val="clear" w:color="auto" w:fill="FFFFFF"/>
        </w:rPr>
        <w:t xml:space="preserve"> 115 </w:t>
      </w:r>
      <w:proofErr w:type="spellStart"/>
      <w:r>
        <w:rPr>
          <w:rFonts w:ascii="Maiandra GD" w:eastAsia="Segoe UI" w:hAnsi="Maiandra GD" w:cs="Maiandra GD"/>
          <w:color w:val="0F1115"/>
          <w:shd w:val="clear" w:color="auto" w:fill="FFFFFF"/>
        </w:rPr>
        <w:t>graduands</w:t>
      </w:r>
      <w:proofErr w:type="spellEnd"/>
    </w:p>
    <w:p w14:paraId="2FF4560D" w14:textId="77777777" w:rsidR="0095162D" w:rsidRDefault="00000000">
      <w:pPr>
        <w:pStyle w:val="NormalWeb"/>
        <w:numPr>
          <w:ilvl w:val="0"/>
          <w:numId w:val="3"/>
        </w:numPr>
        <w:spacing w:after="0" w:line="336" w:lineRule="atLeast"/>
        <w:ind w:right="520"/>
        <w:jc w:val="both"/>
        <w:rPr>
          <w:rFonts w:ascii="Maiandra GD" w:hAnsi="Maiandra GD" w:cs="Maiandra GD"/>
        </w:rPr>
      </w:pPr>
      <w:r>
        <w:rPr>
          <w:rStyle w:val="lev"/>
          <w:rFonts w:ascii="Maiandra GD" w:eastAsia="Segoe UI" w:hAnsi="Maiandra GD" w:cs="Maiandra GD"/>
          <w:color w:val="0F1115"/>
          <w:shd w:val="clear" w:color="auto" w:fill="FFFFFF"/>
        </w:rPr>
        <w:t>Taux de réussite global :</w:t>
      </w:r>
      <w:r>
        <w:rPr>
          <w:rFonts w:ascii="Maiandra GD" w:eastAsia="Segoe UI" w:hAnsi="Maiandra GD" w:cs="Maiandra GD"/>
          <w:color w:val="0F1115"/>
          <w:shd w:val="clear" w:color="auto" w:fill="FFFFFF"/>
        </w:rPr>
        <w:t> 66,1%</w:t>
      </w:r>
    </w:p>
    <w:p w14:paraId="4B95F488" w14:textId="77777777" w:rsidR="0095162D" w:rsidRDefault="00000000">
      <w:pPr>
        <w:pStyle w:val="NormalWeb"/>
        <w:spacing w:before="192" w:after="192" w:line="336" w:lineRule="atLeast"/>
        <w:ind w:right="520"/>
        <w:jc w:val="both"/>
        <w:rPr>
          <w:rFonts w:ascii="Maiandra GD" w:hAnsi="Maiandra GD" w:cs="Maiandra GD"/>
        </w:rPr>
      </w:pPr>
      <w:r>
        <w:rPr>
          <w:rStyle w:val="lev"/>
          <w:rFonts w:ascii="Maiandra GD" w:eastAsia="Segoe UI" w:hAnsi="Maiandra GD" w:cs="Maiandra GD"/>
          <w:color w:val="0F1115"/>
          <w:shd w:val="clear" w:color="auto" w:fill="FFFFFF"/>
        </w:rPr>
        <w:t xml:space="preserve">Analyse Contextuelle et </w:t>
      </w:r>
      <w:proofErr w:type="gramStart"/>
      <w:r>
        <w:rPr>
          <w:rStyle w:val="lev"/>
          <w:rFonts w:ascii="Maiandra GD" w:eastAsia="Segoe UI" w:hAnsi="Maiandra GD" w:cs="Maiandra GD"/>
          <w:color w:val="0F1115"/>
          <w:shd w:val="clear" w:color="auto" w:fill="FFFFFF"/>
        </w:rPr>
        <w:t>Perspectives:</w:t>
      </w:r>
      <w:proofErr w:type="gramEnd"/>
      <w:r>
        <w:rPr>
          <w:rFonts w:ascii="Maiandra GD" w:eastAsia="Segoe UI" w:hAnsi="Maiandra GD" w:cs="Maiandra GD"/>
          <w:color w:val="0F1115"/>
          <w:shd w:val="clear" w:color="auto" w:fill="FFFFFF"/>
        </w:rPr>
        <w:br/>
        <w:t>Ce taux de 66,1% reflète la performance du dispositif pédagogique dans un contexte de croissance institutionnelle rapide. Plusieurs éléments méritent d'être soulignés :</w:t>
      </w:r>
    </w:p>
    <w:p w14:paraId="52D2EE01" w14:textId="77777777" w:rsidR="0095162D" w:rsidRDefault="00000000">
      <w:pPr>
        <w:pStyle w:val="NormalWeb"/>
        <w:numPr>
          <w:ilvl w:val="0"/>
          <w:numId w:val="3"/>
        </w:numPr>
        <w:spacing w:after="0" w:line="336" w:lineRule="atLeast"/>
        <w:ind w:right="520"/>
        <w:jc w:val="both"/>
        <w:rPr>
          <w:rFonts w:ascii="Maiandra GD" w:hAnsi="Maiandra GD" w:cs="Maiandra GD"/>
        </w:rPr>
      </w:pPr>
      <w:r>
        <w:rPr>
          <w:rFonts w:ascii="Maiandra GD" w:eastAsia="Segoe UI" w:hAnsi="Maiandra GD" w:cs="Maiandra GD"/>
          <w:color w:val="0F1115"/>
          <w:shd w:val="clear" w:color="auto" w:fill="FFFFFF"/>
        </w:rPr>
        <w:t>La progression régulière du taux de réussite sur les différentes cohortes, passant de 53,3% pour la première promotion (2020/21) à un taux projeté supérieur à 70% pour les cohortes récentes</w:t>
      </w:r>
    </w:p>
    <w:p w14:paraId="01018C16" w14:textId="77777777" w:rsidR="0095162D" w:rsidRDefault="00000000">
      <w:pPr>
        <w:pStyle w:val="NormalWeb"/>
        <w:numPr>
          <w:ilvl w:val="0"/>
          <w:numId w:val="3"/>
        </w:numPr>
        <w:spacing w:after="0" w:line="336" w:lineRule="atLeast"/>
        <w:ind w:right="520"/>
        <w:jc w:val="both"/>
        <w:rPr>
          <w:rFonts w:ascii="Maiandra GD" w:hAnsi="Maiandra GD" w:cs="Maiandra GD"/>
        </w:rPr>
      </w:pPr>
      <w:r>
        <w:rPr>
          <w:rFonts w:ascii="Maiandra GD" w:eastAsia="Segoe UI" w:hAnsi="Maiandra GD" w:cs="Maiandra GD"/>
          <w:color w:val="0F1115"/>
          <w:shd w:val="clear" w:color="auto" w:fill="FFFFFF"/>
        </w:rPr>
        <w:t>L'impact positif des mesures d'accompagnement pédagogique mises en place progressivement</w:t>
      </w:r>
    </w:p>
    <w:p w14:paraId="3367D4CD" w14:textId="77777777" w:rsidR="0095162D" w:rsidRDefault="00000000">
      <w:pPr>
        <w:pStyle w:val="NormalWeb"/>
        <w:numPr>
          <w:ilvl w:val="0"/>
          <w:numId w:val="3"/>
        </w:numPr>
        <w:spacing w:after="0" w:line="336" w:lineRule="atLeast"/>
        <w:ind w:right="520"/>
        <w:jc w:val="both"/>
        <w:rPr>
          <w:rFonts w:ascii="Maiandra GD" w:hAnsi="Maiandra GD" w:cs="Maiandra GD"/>
        </w:rPr>
      </w:pPr>
      <w:r>
        <w:rPr>
          <w:rFonts w:ascii="Maiandra GD" w:eastAsia="Segoe UI" w:hAnsi="Maiandra GD" w:cs="Maiandra GD"/>
          <w:color w:val="0F1115"/>
          <w:shd w:val="clear" w:color="auto" w:fill="FFFFFF"/>
        </w:rPr>
        <w:t>L'effet stabilisateur du soutien de l'AUF sur la qualité de l'encadrement</w:t>
      </w:r>
    </w:p>
    <w:p w14:paraId="315B87C7" w14:textId="77777777" w:rsidR="0095162D" w:rsidRDefault="00000000">
      <w:pPr>
        <w:pStyle w:val="NormalWeb"/>
        <w:spacing w:before="192" w:after="192" w:line="336" w:lineRule="atLeast"/>
        <w:ind w:right="520"/>
        <w:jc w:val="both"/>
        <w:rPr>
          <w:rFonts w:ascii="Maiandra GD" w:hAnsi="Maiandra GD" w:cs="Maiandra GD"/>
        </w:rPr>
      </w:pPr>
      <w:r>
        <w:rPr>
          <w:rStyle w:val="lev"/>
          <w:rFonts w:ascii="Maiandra GD" w:eastAsia="Segoe UI" w:hAnsi="Maiandra GD" w:cs="Maiandra GD"/>
          <w:color w:val="0F1115"/>
          <w:shd w:val="clear" w:color="auto" w:fill="FFFFFF"/>
        </w:rPr>
        <w:t xml:space="preserve">Optimisation </w:t>
      </w:r>
      <w:proofErr w:type="gramStart"/>
      <w:r>
        <w:rPr>
          <w:rStyle w:val="lev"/>
          <w:rFonts w:ascii="Maiandra GD" w:eastAsia="Segoe UI" w:hAnsi="Maiandra GD" w:cs="Maiandra GD"/>
          <w:color w:val="0F1115"/>
          <w:shd w:val="clear" w:color="auto" w:fill="FFFFFF"/>
        </w:rPr>
        <w:t>Continue:</w:t>
      </w:r>
      <w:proofErr w:type="gramEnd"/>
      <w:r>
        <w:rPr>
          <w:rFonts w:ascii="Maiandra GD" w:eastAsia="Segoe UI" w:hAnsi="Maiandra GD" w:cs="Maiandra GD"/>
          <w:color w:val="0F1115"/>
          <w:shd w:val="clear" w:color="auto" w:fill="FFFFFF"/>
        </w:rPr>
        <w:br/>
        <w:t>Le CEV-UdM a engagé plusieurs actions pour améliorer ce rendement :</w:t>
      </w:r>
    </w:p>
    <w:p w14:paraId="1F74B154" w14:textId="77777777" w:rsidR="0095162D" w:rsidRDefault="00000000">
      <w:pPr>
        <w:pStyle w:val="NormalWeb"/>
        <w:numPr>
          <w:ilvl w:val="0"/>
          <w:numId w:val="3"/>
        </w:numPr>
        <w:spacing w:after="0" w:line="336" w:lineRule="atLeast"/>
        <w:ind w:right="520"/>
        <w:jc w:val="both"/>
        <w:rPr>
          <w:rFonts w:ascii="Maiandra GD" w:hAnsi="Maiandra GD" w:cs="Maiandra GD"/>
        </w:rPr>
      </w:pPr>
      <w:r>
        <w:rPr>
          <w:rFonts w:ascii="Maiandra GD" w:eastAsia="Segoe UI" w:hAnsi="Maiandra GD" w:cs="Maiandra GD"/>
          <w:color w:val="0F1115"/>
          <w:shd w:val="clear" w:color="auto" w:fill="FFFFFF"/>
        </w:rPr>
        <w:t>Renforcement du tutorat académique</w:t>
      </w:r>
    </w:p>
    <w:p w14:paraId="5AC39F0B" w14:textId="77777777" w:rsidR="0095162D" w:rsidRDefault="00000000">
      <w:pPr>
        <w:pStyle w:val="NormalWeb"/>
        <w:numPr>
          <w:ilvl w:val="0"/>
          <w:numId w:val="3"/>
        </w:numPr>
        <w:spacing w:after="0" w:line="336" w:lineRule="atLeast"/>
        <w:ind w:right="520"/>
        <w:jc w:val="both"/>
        <w:rPr>
          <w:rFonts w:ascii="Maiandra GD" w:hAnsi="Maiandra GD" w:cs="Maiandra GD"/>
        </w:rPr>
      </w:pPr>
      <w:r>
        <w:rPr>
          <w:rFonts w:ascii="Maiandra GD" w:eastAsia="Segoe UI" w:hAnsi="Maiandra GD" w:cs="Maiandra GD"/>
          <w:color w:val="0F1115"/>
          <w:shd w:val="clear" w:color="auto" w:fill="FFFFFF"/>
        </w:rPr>
        <w:t>Optimisation de la plate-forme d'enseignement</w:t>
      </w:r>
    </w:p>
    <w:p w14:paraId="1DB9620C" w14:textId="77777777" w:rsidR="0095162D" w:rsidRDefault="00000000">
      <w:pPr>
        <w:pStyle w:val="NormalWeb"/>
        <w:numPr>
          <w:ilvl w:val="0"/>
          <w:numId w:val="3"/>
        </w:numPr>
        <w:spacing w:after="0" w:line="336" w:lineRule="atLeast"/>
        <w:ind w:right="520"/>
        <w:jc w:val="both"/>
        <w:rPr>
          <w:rFonts w:ascii="Maiandra GD" w:hAnsi="Maiandra GD" w:cs="Maiandra GD"/>
        </w:rPr>
      </w:pPr>
      <w:r>
        <w:rPr>
          <w:rFonts w:ascii="Maiandra GD" w:eastAsia="Segoe UI" w:hAnsi="Maiandra GD" w:cs="Maiandra GD"/>
          <w:color w:val="0F1115"/>
          <w:shd w:val="clear" w:color="auto" w:fill="FFFFFF"/>
        </w:rPr>
        <w:t>Système de soutien technique pour les apprenants en difficulté</w:t>
      </w:r>
    </w:p>
    <w:p w14:paraId="6BF31783" w14:textId="77777777" w:rsidR="0095162D" w:rsidRDefault="00000000">
      <w:pPr>
        <w:pStyle w:val="NormalWeb"/>
        <w:spacing w:before="192" w:after="0" w:line="336" w:lineRule="atLeast"/>
        <w:ind w:right="520"/>
        <w:jc w:val="both"/>
        <w:rPr>
          <w:rFonts w:ascii="Maiandra GD" w:hAnsi="Maiandra GD" w:cs="Maiandra GD"/>
        </w:rPr>
      </w:pPr>
      <w:r>
        <w:rPr>
          <w:rFonts w:ascii="Maiandra GD" w:eastAsia="Segoe UI" w:hAnsi="Maiandra GD" w:cs="Maiandra GD"/>
          <w:color w:val="0F1115"/>
          <w:shd w:val="clear" w:color="auto" w:fill="FFFFFF"/>
        </w:rPr>
        <w:t>Cette évaluation démontre la robustesse croissante du modèle académique du CEV-UdM et sa capacité à assurer une formation de qualité tout en maintenant un taux de rétention satisfaisant, malgré les défis liés à l'expansion rapide de ses effectifs.</w:t>
      </w:r>
    </w:p>
    <w:p w14:paraId="67D9DC6C" w14:textId="77777777" w:rsidR="0095162D" w:rsidRPr="00E8514C" w:rsidRDefault="00000000">
      <w:pPr>
        <w:pStyle w:val="Titre3"/>
        <w:shd w:val="clear" w:color="auto" w:fill="FFFFFF"/>
        <w:spacing w:before="384" w:beforeAutospacing="0" w:after="192" w:afterAutospacing="0" w:line="360" w:lineRule="atLeast"/>
        <w:jc w:val="both"/>
        <w:rPr>
          <w:rFonts w:ascii="Maiandra GD" w:eastAsia="Segoe UI" w:hAnsi="Maiandra GD" w:cs="Maiandra GD" w:hint="default"/>
          <w:color w:val="0F1115"/>
          <w:sz w:val="24"/>
          <w:szCs w:val="24"/>
          <w:lang w:val="fr-FR"/>
        </w:rPr>
      </w:pPr>
      <w:r w:rsidRPr="00E8514C">
        <w:rPr>
          <w:rFonts w:ascii="Maiandra GD" w:eastAsia="Segoe UI" w:hAnsi="Maiandra GD" w:cs="Maiandra GD" w:hint="default"/>
          <w:color w:val="0F1115"/>
          <w:sz w:val="24"/>
          <w:szCs w:val="24"/>
          <w:shd w:val="clear" w:color="auto" w:fill="FFFFFF"/>
          <w:lang w:val="fr-FR"/>
        </w:rPr>
        <w:t>3. Fonctionnement et Pédagogie</w:t>
      </w:r>
    </w:p>
    <w:p w14:paraId="2BEA015D" w14:textId="77777777" w:rsidR="0095162D" w:rsidRDefault="00000000">
      <w:pPr>
        <w:pStyle w:val="NormalWeb"/>
        <w:shd w:val="clear" w:color="auto" w:fill="FFFFFF"/>
        <w:spacing w:before="192" w:after="192"/>
        <w:jc w:val="both"/>
        <w:rPr>
          <w:rFonts w:ascii="Maiandra GD" w:eastAsia="Segoe UI" w:hAnsi="Maiandra GD" w:cs="Maiandra GD"/>
          <w:color w:val="0F1115"/>
        </w:rPr>
      </w:pPr>
      <w:r>
        <w:rPr>
          <w:rFonts w:ascii="Maiandra GD" w:eastAsia="Segoe UI" w:hAnsi="Maiandra GD" w:cs="Maiandra GD"/>
          <w:color w:val="0F1115"/>
          <w:shd w:val="clear" w:color="auto" w:fill="FFFFFF"/>
        </w:rPr>
        <w:t>Le CEV-UdM est structuré autour des postes suivants :</w:t>
      </w:r>
    </w:p>
    <w:p w14:paraId="4B43165D"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Directeur du centre (poste vacant)</w:t>
      </w:r>
    </w:p>
    <w:p w14:paraId="67BDD5DC"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1 Responsable pédagogique</w:t>
      </w:r>
    </w:p>
    <w:p w14:paraId="78C23E39"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4 Coordonnateurs de programmes</w:t>
      </w:r>
    </w:p>
    <w:p w14:paraId="4EDA00B9"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1 Coordonnateur assistant MASPEL</w:t>
      </w:r>
    </w:p>
    <w:p w14:paraId="1C5AA854"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1 Coordonnateur technique</w:t>
      </w:r>
    </w:p>
    <w:p w14:paraId="5CF8604D"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3 Assistants coordonnateurs techniques (dont 1 poste vacant)</w:t>
      </w:r>
    </w:p>
    <w:p w14:paraId="3F93563F"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1 Secrétaire assistant de direction</w:t>
      </w:r>
    </w:p>
    <w:p w14:paraId="1260746C" w14:textId="77777777" w:rsidR="0095162D" w:rsidRDefault="00000000">
      <w:pPr>
        <w:pStyle w:val="NormalWeb"/>
        <w:shd w:val="clear" w:color="auto" w:fill="FFFFFF"/>
        <w:spacing w:before="192" w:after="192"/>
        <w:jc w:val="both"/>
        <w:rPr>
          <w:rFonts w:ascii="Maiandra GD" w:eastAsia="Segoe UI" w:hAnsi="Maiandra GD" w:cs="Maiandra GD"/>
          <w:color w:val="0F1115"/>
        </w:rPr>
      </w:pPr>
      <w:r>
        <w:rPr>
          <w:rStyle w:val="lev"/>
          <w:rFonts w:ascii="Maiandra GD" w:eastAsia="Segoe UI" w:hAnsi="Maiandra GD" w:cs="Maiandra GD"/>
          <w:color w:val="0F1115"/>
          <w:shd w:val="clear" w:color="auto" w:fill="FFFFFF"/>
        </w:rPr>
        <w:t>Aspects pédagogiques</w:t>
      </w:r>
      <w:r>
        <w:rPr>
          <w:rFonts w:ascii="Maiandra GD" w:eastAsia="Segoe UI" w:hAnsi="Maiandra GD" w:cs="Maiandra GD"/>
          <w:color w:val="0F1115"/>
          <w:shd w:val="clear" w:color="auto" w:fill="FFFFFF"/>
        </w:rPr>
        <w:t> :</w:t>
      </w:r>
    </w:p>
    <w:p w14:paraId="195F1C4B"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Utilisation d’une plate-forme numérique dédiée pour l’enseignement et les échanges.</w:t>
      </w:r>
    </w:p>
    <w:p w14:paraId="70CD208A"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Formation annuelle des enseignants et apprenants à l’utilisation de la plate-forme.</w:t>
      </w:r>
    </w:p>
    <w:p w14:paraId="08665049"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Cours en ligne du lundi au vendredi, de 15h30 à 22h.</w:t>
      </w:r>
    </w:p>
    <w:p w14:paraId="5822C7A0"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Examens organisés au Centre numérique de l’Agence française.</w:t>
      </w:r>
    </w:p>
    <w:p w14:paraId="49512D6D"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Soutenances de mémoire réalisées en ligne.</w:t>
      </w:r>
    </w:p>
    <w:p w14:paraId="4A488271"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Environ </w:t>
      </w:r>
      <w:r>
        <w:rPr>
          <w:rStyle w:val="lev"/>
          <w:rFonts w:ascii="Maiandra GD" w:eastAsia="Segoe UI" w:hAnsi="Maiandra GD" w:cs="Maiandra GD"/>
          <w:color w:val="0F1115"/>
          <w:shd w:val="clear" w:color="auto" w:fill="FFFFFF"/>
        </w:rPr>
        <w:t>100 enseignants prestataires</w:t>
      </w:r>
      <w:r>
        <w:rPr>
          <w:rFonts w:ascii="Maiandra GD" w:eastAsia="Segoe UI" w:hAnsi="Maiandra GD" w:cs="Maiandra GD"/>
          <w:color w:val="0F1115"/>
          <w:shd w:val="clear" w:color="auto" w:fill="FFFFFF"/>
        </w:rPr>
        <w:t> et </w:t>
      </w:r>
      <w:r>
        <w:rPr>
          <w:rStyle w:val="lev"/>
          <w:rFonts w:ascii="Maiandra GD" w:eastAsia="Segoe UI" w:hAnsi="Maiandra GD" w:cs="Maiandra GD"/>
          <w:color w:val="0F1115"/>
          <w:shd w:val="clear" w:color="auto" w:fill="FFFFFF"/>
        </w:rPr>
        <w:t>10 enseignants permanents</w:t>
      </w:r>
      <w:r>
        <w:rPr>
          <w:rFonts w:ascii="Maiandra GD" w:eastAsia="Segoe UI" w:hAnsi="Maiandra GD" w:cs="Maiandra GD"/>
          <w:color w:val="0F1115"/>
          <w:shd w:val="clear" w:color="auto" w:fill="FFFFFF"/>
        </w:rPr>
        <w:t> impliqués.</w:t>
      </w:r>
    </w:p>
    <w:p w14:paraId="5AC10CB4" w14:textId="77777777" w:rsidR="0095162D" w:rsidRDefault="00000000">
      <w:pPr>
        <w:pStyle w:val="NormalWeb"/>
        <w:shd w:val="clear" w:color="auto" w:fill="FFFFFF"/>
        <w:spacing w:before="192" w:after="192"/>
        <w:jc w:val="both"/>
        <w:rPr>
          <w:rFonts w:ascii="Maiandra GD" w:eastAsia="Segoe UI" w:hAnsi="Maiandra GD" w:cs="Maiandra GD"/>
          <w:color w:val="0F1115"/>
        </w:rPr>
      </w:pPr>
      <w:r>
        <w:rPr>
          <w:rStyle w:val="lev"/>
          <w:rFonts w:ascii="Maiandra GD" w:eastAsia="Segoe UI" w:hAnsi="Maiandra GD" w:cs="Maiandra GD"/>
          <w:color w:val="0F1115"/>
          <w:shd w:val="clear" w:color="auto" w:fill="FFFFFF"/>
        </w:rPr>
        <w:t>Défis relevés</w:t>
      </w:r>
      <w:r>
        <w:rPr>
          <w:rFonts w:ascii="Maiandra GD" w:eastAsia="Segoe UI" w:hAnsi="Maiandra GD" w:cs="Maiandra GD"/>
          <w:color w:val="0F1115"/>
          <w:shd w:val="clear" w:color="auto" w:fill="FFFFFF"/>
        </w:rPr>
        <w:t> :</w:t>
      </w:r>
    </w:p>
    <w:p w14:paraId="3B11458F"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Paiement des enseignants et des jurys : nécessité d’une priorisation pour éviter les désistements.</w:t>
      </w:r>
    </w:p>
    <w:p w14:paraId="20A65592"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Connexion internet : passage recommandé à une recharge trimestrielle pour plus de stabilité.</w:t>
      </w:r>
    </w:p>
    <w:p w14:paraId="282D749E" w14:textId="77777777" w:rsidR="0095162D" w:rsidRDefault="0095162D">
      <w:pPr>
        <w:pStyle w:val="NormalWeb"/>
        <w:spacing w:after="0"/>
        <w:jc w:val="both"/>
        <w:rPr>
          <w:rFonts w:ascii="Maiandra GD" w:eastAsia="Segoe UI" w:hAnsi="Maiandra GD" w:cs="Maiandra GD"/>
          <w:color w:val="0F1115"/>
          <w:shd w:val="clear" w:color="auto" w:fill="FFFFFF"/>
        </w:rPr>
      </w:pPr>
    </w:p>
    <w:p w14:paraId="72DF9C2D" w14:textId="77777777" w:rsidR="0095162D" w:rsidRDefault="0095162D">
      <w:pPr>
        <w:pStyle w:val="NormalWeb"/>
        <w:spacing w:after="0"/>
        <w:jc w:val="both"/>
        <w:rPr>
          <w:rFonts w:ascii="Maiandra GD" w:eastAsia="Segoe UI" w:hAnsi="Maiandra GD" w:cs="Maiandra GD"/>
          <w:color w:val="0F1115"/>
          <w:shd w:val="clear" w:color="auto" w:fill="FFFFFF"/>
        </w:rPr>
      </w:pPr>
    </w:p>
    <w:p w14:paraId="07774ED5" w14:textId="77777777" w:rsidR="0095162D" w:rsidRPr="00E8514C" w:rsidRDefault="00000000">
      <w:pPr>
        <w:pStyle w:val="Titre3"/>
        <w:shd w:val="clear" w:color="auto" w:fill="FFFFFF"/>
        <w:spacing w:before="384" w:beforeAutospacing="0" w:after="192" w:afterAutospacing="0" w:line="360" w:lineRule="atLeast"/>
        <w:jc w:val="both"/>
        <w:rPr>
          <w:rFonts w:ascii="Maiandra GD" w:eastAsia="Segoe UI" w:hAnsi="Maiandra GD" w:cs="Maiandra GD" w:hint="default"/>
          <w:color w:val="0F1115"/>
          <w:sz w:val="24"/>
          <w:szCs w:val="24"/>
          <w:lang w:val="fr-FR"/>
        </w:rPr>
      </w:pPr>
      <w:r w:rsidRPr="00E8514C">
        <w:rPr>
          <w:rFonts w:ascii="Maiandra GD" w:eastAsia="Segoe UI" w:hAnsi="Maiandra GD" w:cs="Maiandra GD" w:hint="default"/>
          <w:color w:val="0F1115"/>
          <w:sz w:val="24"/>
          <w:szCs w:val="24"/>
          <w:shd w:val="clear" w:color="auto" w:fill="FFFFFF"/>
          <w:lang w:val="fr-FR"/>
        </w:rPr>
        <w:t>4. Aspect Administratif et Budget</w:t>
      </w:r>
    </w:p>
    <w:p w14:paraId="0717E4D3" w14:textId="77777777" w:rsidR="0095162D" w:rsidRDefault="00000000">
      <w:pPr>
        <w:pStyle w:val="NormalWeb"/>
        <w:shd w:val="clear" w:color="auto" w:fill="FFFFFF"/>
        <w:spacing w:before="192" w:after="192"/>
        <w:jc w:val="both"/>
        <w:rPr>
          <w:rFonts w:ascii="Maiandra GD" w:eastAsia="Segoe UI" w:hAnsi="Maiandra GD" w:cs="Maiandra GD"/>
          <w:color w:val="0F1115"/>
        </w:rPr>
      </w:pPr>
      <w:r>
        <w:rPr>
          <w:rStyle w:val="lev"/>
          <w:rFonts w:ascii="Maiandra GD" w:eastAsia="Segoe UI" w:hAnsi="Maiandra GD" w:cs="Maiandra GD"/>
          <w:color w:val="0F1115"/>
          <w:shd w:val="clear" w:color="auto" w:fill="FFFFFF"/>
        </w:rPr>
        <w:t>Cadre administratif</w:t>
      </w:r>
      <w:r>
        <w:rPr>
          <w:rFonts w:ascii="Maiandra GD" w:eastAsia="Segoe UI" w:hAnsi="Maiandra GD" w:cs="Maiandra GD"/>
          <w:color w:val="0F1115"/>
          <w:shd w:val="clear" w:color="auto" w:fill="FFFFFF"/>
        </w:rPr>
        <w:t> :</w:t>
      </w:r>
      <w:r>
        <w:rPr>
          <w:rFonts w:ascii="Maiandra GD" w:eastAsia="Segoe UI" w:hAnsi="Maiandra GD" w:cs="Maiandra GD"/>
          <w:color w:val="0F1115"/>
          <w:shd w:val="clear" w:color="auto" w:fill="FFFFFF"/>
        </w:rPr>
        <w:br/>
        <w:t>La charte du CEV-UdM est en attente d’approbation pour assurer la fluidité des activités.</w:t>
      </w:r>
    </w:p>
    <w:p w14:paraId="3AB222E8" w14:textId="77777777" w:rsidR="0095162D" w:rsidRDefault="00000000">
      <w:pPr>
        <w:pStyle w:val="NormalWeb"/>
        <w:shd w:val="clear" w:color="auto" w:fill="FFFFFF"/>
        <w:spacing w:before="192" w:after="192"/>
        <w:jc w:val="both"/>
        <w:rPr>
          <w:rFonts w:ascii="Maiandra GD" w:eastAsia="Segoe UI" w:hAnsi="Maiandra GD" w:cs="Maiandra GD"/>
          <w:color w:val="0F1115"/>
        </w:rPr>
      </w:pPr>
      <w:r>
        <w:rPr>
          <w:rStyle w:val="lev"/>
          <w:rFonts w:ascii="Maiandra GD" w:eastAsia="Segoe UI" w:hAnsi="Maiandra GD" w:cs="Maiandra GD"/>
          <w:color w:val="0F1115"/>
          <w:shd w:val="clear" w:color="auto" w:fill="FFFFFF"/>
        </w:rPr>
        <w:t>Budget et rentabilité</w:t>
      </w:r>
      <w:r>
        <w:rPr>
          <w:rFonts w:ascii="Maiandra GD" w:eastAsia="Segoe UI" w:hAnsi="Maiandra GD" w:cs="Maiandra GD"/>
          <w:color w:val="0F1115"/>
          <w:shd w:val="clear" w:color="auto" w:fill="FFFFFF"/>
        </w:rPr>
        <w:t> :</w:t>
      </w:r>
    </w:p>
    <w:p w14:paraId="5EF1F738"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Frais de scolarité : </w:t>
      </w:r>
      <w:r>
        <w:rPr>
          <w:rStyle w:val="lev"/>
          <w:rFonts w:ascii="Maiandra GD" w:eastAsia="Segoe UI" w:hAnsi="Maiandra GD" w:cs="Maiandra GD"/>
          <w:color w:val="0F1115"/>
          <w:shd w:val="clear" w:color="auto" w:fill="FFFFFF"/>
        </w:rPr>
        <w:t>1 300 000 FCFA</w:t>
      </w:r>
      <w:r>
        <w:rPr>
          <w:rFonts w:ascii="Maiandra GD" w:eastAsia="Segoe UI" w:hAnsi="Maiandra GD" w:cs="Maiandra GD"/>
          <w:color w:val="0F1115"/>
          <w:shd w:val="clear" w:color="auto" w:fill="FFFFFF"/>
        </w:rPr>
        <w:t> par apprenant.</w:t>
      </w:r>
    </w:p>
    <w:p w14:paraId="03A6107D"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Budget de fonctionnement 2024/2025 : </w:t>
      </w:r>
      <w:r>
        <w:rPr>
          <w:rStyle w:val="lev"/>
          <w:rFonts w:ascii="Maiandra GD" w:eastAsia="Segoe UI" w:hAnsi="Maiandra GD" w:cs="Maiandra GD"/>
          <w:color w:val="0F1115"/>
          <w:shd w:val="clear" w:color="auto" w:fill="FFFFFF"/>
        </w:rPr>
        <w:t>47 000 000 FCFA</w:t>
      </w:r>
      <w:r>
        <w:rPr>
          <w:rFonts w:ascii="Maiandra GD" w:eastAsia="Segoe UI" w:hAnsi="Maiandra GD" w:cs="Maiandra GD"/>
          <w:color w:val="0F1115"/>
          <w:shd w:val="clear" w:color="auto" w:fill="FFFFFF"/>
        </w:rPr>
        <w:t>.</w:t>
      </w:r>
    </w:p>
    <w:p w14:paraId="14D34987" w14:textId="77777777" w:rsidR="0095162D" w:rsidRDefault="00000000">
      <w:pPr>
        <w:pStyle w:val="NormalWeb"/>
        <w:numPr>
          <w:ilvl w:val="0"/>
          <w:numId w:val="1"/>
        </w:numPr>
        <w:spacing w:after="0"/>
        <w:jc w:val="both"/>
        <w:rPr>
          <w:rFonts w:ascii="Maiandra GD" w:hAnsi="Maiandra GD" w:cs="Maiandra GD"/>
        </w:rPr>
      </w:pPr>
      <w:r>
        <w:rPr>
          <w:rFonts w:ascii="Maiandra GD" w:eastAsia="Segoe UI" w:hAnsi="Maiandra GD" w:cs="Maiandra GD"/>
          <w:color w:val="0F1115"/>
          <w:shd w:val="clear" w:color="auto" w:fill="FFFFFF"/>
        </w:rPr>
        <w:t>Budget prévisionnel 2025/2026 : </w:t>
      </w:r>
      <w:r>
        <w:rPr>
          <w:rStyle w:val="lev"/>
          <w:rFonts w:ascii="Maiandra GD" w:eastAsia="Segoe UI" w:hAnsi="Maiandra GD" w:cs="Maiandra GD"/>
          <w:color w:val="0F1115"/>
          <w:shd w:val="clear" w:color="auto" w:fill="FFFFFF"/>
        </w:rPr>
        <w:t>100 000 000 FCFA</w:t>
      </w:r>
      <w:r>
        <w:rPr>
          <w:rFonts w:ascii="Maiandra GD" w:eastAsia="Segoe UI" w:hAnsi="Maiandra GD" w:cs="Maiandra GD"/>
          <w:color w:val="0F1115"/>
          <w:shd w:val="clear" w:color="auto" w:fill="FFFFFF"/>
        </w:rPr>
        <w:t>.</w:t>
      </w:r>
    </w:p>
    <w:p w14:paraId="08B889C7" w14:textId="77777777" w:rsidR="0095162D" w:rsidRDefault="00000000">
      <w:pPr>
        <w:pStyle w:val="NormalWeb"/>
        <w:shd w:val="clear" w:color="auto" w:fill="FFFFFF"/>
        <w:spacing w:before="192" w:after="192"/>
        <w:jc w:val="both"/>
        <w:rPr>
          <w:rFonts w:ascii="Maiandra GD" w:eastAsia="Segoe UI" w:hAnsi="Maiandra GD" w:cs="Maiandra GD"/>
          <w:color w:val="0F1115"/>
        </w:rPr>
      </w:pPr>
      <w:r>
        <w:rPr>
          <w:rStyle w:val="lev"/>
          <w:rFonts w:ascii="Maiandra GD" w:eastAsia="Segoe UI" w:hAnsi="Maiandra GD" w:cs="Maiandra GD"/>
          <w:color w:val="0F1115"/>
          <w:shd w:val="clear" w:color="auto" w:fill="FFFFFF"/>
        </w:rPr>
        <w:t>Analyse financière</w:t>
      </w:r>
      <w:r>
        <w:rPr>
          <w:rFonts w:ascii="Maiandra GD" w:eastAsia="Segoe UI" w:hAnsi="Maiandra GD" w:cs="Maiandra GD"/>
          <w:color w:val="0F1115"/>
          <w:shd w:val="clear" w:color="auto" w:fill="FFFFFF"/>
        </w:rPr>
        <w:t> :</w:t>
      </w:r>
      <w:r>
        <w:rPr>
          <w:rFonts w:ascii="Maiandra GD" w:eastAsia="Segoe UI" w:hAnsi="Maiandra GD" w:cs="Maiandra GD"/>
          <w:color w:val="0F1115"/>
          <w:shd w:val="clear" w:color="auto" w:fill="FFFFFF"/>
        </w:rPr>
        <w:br/>
        <w:t>Avec 151 apprenants en 2024/2025, les recettes s’élèvent à environ </w:t>
      </w:r>
      <w:r>
        <w:rPr>
          <w:rStyle w:val="lev"/>
          <w:rFonts w:ascii="Maiandra GD" w:eastAsia="Segoe UI" w:hAnsi="Maiandra GD" w:cs="Maiandra GD"/>
          <w:color w:val="0F1115"/>
          <w:shd w:val="clear" w:color="auto" w:fill="FFFFFF"/>
        </w:rPr>
        <w:t>196 millions de FCFA</w:t>
      </w:r>
      <w:r>
        <w:rPr>
          <w:rFonts w:ascii="Maiandra GD" w:eastAsia="Segoe UI" w:hAnsi="Maiandra GD" w:cs="Maiandra GD"/>
          <w:color w:val="0F1115"/>
          <w:shd w:val="clear" w:color="auto" w:fill="FFFFFF"/>
        </w:rPr>
        <w:t>, pour un budget de fonctionnement de 47 millions, soit un </w:t>
      </w:r>
      <w:r>
        <w:rPr>
          <w:rStyle w:val="lev"/>
          <w:rFonts w:ascii="Maiandra GD" w:eastAsia="Segoe UI" w:hAnsi="Maiandra GD" w:cs="Maiandra GD"/>
          <w:color w:val="0F1115"/>
          <w:shd w:val="clear" w:color="auto" w:fill="FFFFFF"/>
        </w:rPr>
        <w:t>taux de marge brute d’environ 76 %</w:t>
      </w:r>
      <w:r>
        <w:rPr>
          <w:rFonts w:ascii="Maiandra GD" w:eastAsia="Segoe UI" w:hAnsi="Maiandra GD" w:cs="Maiandra GD"/>
          <w:color w:val="0F1115"/>
          <w:shd w:val="clear" w:color="auto" w:fill="FFFFFF"/>
        </w:rPr>
        <w:t>.</w:t>
      </w:r>
      <w:r>
        <w:rPr>
          <w:rFonts w:ascii="Maiandra GD" w:eastAsia="Segoe UI" w:hAnsi="Maiandra GD" w:cs="Maiandra GD"/>
          <w:color w:val="0F1115"/>
          <w:shd w:val="clear" w:color="auto" w:fill="FFFFFF"/>
        </w:rPr>
        <w:br/>
        <w:t>En 2025/2026, avec 447 apprenants admis pour un effectif d’inscrits estimé à environ 200, les recettes pourraient atteindre </w:t>
      </w:r>
      <w:r>
        <w:rPr>
          <w:rStyle w:val="lev"/>
          <w:rFonts w:ascii="Maiandra GD" w:eastAsia="Segoe UI" w:hAnsi="Maiandra GD" w:cs="Maiandra GD"/>
          <w:color w:val="0F1115"/>
          <w:shd w:val="clear" w:color="auto" w:fill="FFFFFF"/>
        </w:rPr>
        <w:t>260 millions de FCFA</w:t>
      </w:r>
      <w:r>
        <w:rPr>
          <w:rFonts w:ascii="Maiandra GD" w:eastAsia="Segoe UI" w:hAnsi="Maiandra GD" w:cs="Maiandra GD"/>
          <w:color w:val="0F1115"/>
          <w:shd w:val="clear" w:color="auto" w:fill="FFFFFF"/>
        </w:rPr>
        <w:t>, pour un budget prévisionnel de 80 millions, confirmant ainsi la </w:t>
      </w:r>
      <w:r>
        <w:rPr>
          <w:rStyle w:val="lev"/>
          <w:rFonts w:ascii="Maiandra GD" w:eastAsia="Segoe UI" w:hAnsi="Maiandra GD" w:cs="Maiandra GD"/>
          <w:color w:val="0F1115"/>
          <w:shd w:val="clear" w:color="auto" w:fill="FFFFFF"/>
        </w:rPr>
        <w:t>rentabilité et la soutenabilité financière</w:t>
      </w:r>
      <w:r>
        <w:rPr>
          <w:rFonts w:ascii="Maiandra GD" w:eastAsia="Segoe UI" w:hAnsi="Maiandra GD" w:cs="Maiandra GD"/>
          <w:color w:val="0F1115"/>
          <w:shd w:val="clear" w:color="auto" w:fill="FFFFFF"/>
        </w:rPr>
        <w:t> du centre.</w:t>
      </w:r>
    </w:p>
    <w:p w14:paraId="2A8A4095" w14:textId="77777777" w:rsidR="0095162D" w:rsidRPr="00E8514C" w:rsidRDefault="00000000">
      <w:pPr>
        <w:pStyle w:val="Titre3"/>
        <w:shd w:val="clear" w:color="auto" w:fill="FFFFFF"/>
        <w:spacing w:before="384" w:beforeAutospacing="0" w:after="192" w:afterAutospacing="0" w:line="360" w:lineRule="atLeast"/>
        <w:jc w:val="both"/>
        <w:rPr>
          <w:rFonts w:ascii="Maiandra GD" w:eastAsia="Segoe UI" w:hAnsi="Maiandra GD" w:cs="Maiandra GD" w:hint="default"/>
          <w:color w:val="0F1115"/>
          <w:sz w:val="24"/>
          <w:szCs w:val="24"/>
          <w:lang w:val="fr-FR"/>
        </w:rPr>
      </w:pPr>
      <w:r w:rsidRPr="00E8514C">
        <w:rPr>
          <w:rFonts w:ascii="Maiandra GD" w:eastAsia="Segoe UI" w:hAnsi="Maiandra GD" w:cs="Maiandra GD" w:hint="default"/>
          <w:color w:val="0F1115"/>
          <w:sz w:val="24"/>
          <w:szCs w:val="24"/>
          <w:shd w:val="clear" w:color="auto" w:fill="FFFFFF"/>
          <w:lang w:val="fr-FR"/>
        </w:rPr>
        <w:t>Conclusion</w:t>
      </w:r>
    </w:p>
    <w:p w14:paraId="14DC4AD4" w14:textId="77777777" w:rsidR="0095162D" w:rsidRDefault="00000000">
      <w:pPr>
        <w:pStyle w:val="NormalWeb"/>
        <w:shd w:val="clear" w:color="auto" w:fill="FFFFFF"/>
        <w:spacing w:before="192" w:after="192"/>
        <w:jc w:val="both"/>
        <w:rPr>
          <w:rFonts w:ascii="Maiandra GD" w:eastAsia="Segoe UI" w:hAnsi="Maiandra GD" w:cs="Maiandra GD"/>
          <w:color w:val="0F1115"/>
        </w:rPr>
      </w:pPr>
      <w:r>
        <w:rPr>
          <w:rFonts w:ascii="Maiandra GD" w:eastAsia="Segoe UI" w:hAnsi="Maiandra GD" w:cs="Maiandra GD"/>
          <w:color w:val="0F1115"/>
          <w:shd w:val="clear" w:color="auto" w:fill="FFFFFF"/>
        </w:rPr>
        <w:t>Le CEV-UdM a connu une croissance remarquable depuis sa création, avec une diversification des programmes et une augmentation exponentielle des effectifs. Son modèle économique s’avère financièrement bénéfique, avec des marges robustes et des perspectives d’autonomie. La priorisation des défis logistiques et administratifs renforcera encore son développement et son impact dans le paysage de l’enseignement supérieur virtuel en Afrique francophone.</w:t>
      </w:r>
    </w:p>
    <w:p w14:paraId="622F716B" w14:textId="77777777" w:rsidR="0095162D" w:rsidRDefault="0095162D">
      <w:pPr>
        <w:tabs>
          <w:tab w:val="left" w:pos="0"/>
        </w:tabs>
        <w:spacing w:after="200" w:line="276" w:lineRule="auto"/>
        <w:contextualSpacing/>
        <w:jc w:val="both"/>
        <w:rPr>
          <w:rFonts w:ascii="Maiandra GD" w:eastAsia="Calibri" w:hAnsi="Maiandra GD" w:cs="Maiandra GD"/>
          <w:sz w:val="24"/>
          <w:szCs w:val="24"/>
        </w:rPr>
      </w:pPr>
    </w:p>
    <w:p w14:paraId="511EFDDF" w14:textId="77777777" w:rsidR="0095162D" w:rsidRDefault="00000000">
      <w:pPr>
        <w:tabs>
          <w:tab w:val="left" w:pos="0"/>
        </w:tabs>
        <w:spacing w:after="200" w:line="276" w:lineRule="auto"/>
        <w:contextualSpacing/>
        <w:jc w:val="both"/>
        <w:rPr>
          <w:rFonts w:ascii="Maiandra GD" w:eastAsia="Calibri" w:hAnsi="Maiandra GD" w:cs="Maiandra GD"/>
          <w:b/>
          <w:sz w:val="24"/>
          <w:szCs w:val="24"/>
        </w:rPr>
      </w:pPr>
      <w:r>
        <w:rPr>
          <w:rFonts w:ascii="Maiandra GD" w:eastAsia="Calibri" w:hAnsi="Maiandra GD" w:cs="Maiandra GD"/>
          <w:sz w:val="24"/>
          <w:szCs w:val="24"/>
        </w:rPr>
        <w:t xml:space="preserve">Professeur </w:t>
      </w:r>
      <w:r>
        <w:rPr>
          <w:rFonts w:ascii="Maiandra GD" w:eastAsia="Calibri" w:hAnsi="Maiandra GD" w:cs="Maiandra GD"/>
          <w:b/>
          <w:sz w:val="24"/>
          <w:szCs w:val="24"/>
        </w:rPr>
        <w:t>TCHOKONTE-NANA</w:t>
      </w:r>
    </w:p>
    <w:p w14:paraId="2CFE3259" w14:textId="77777777" w:rsidR="0095162D" w:rsidRDefault="00000000">
      <w:pPr>
        <w:tabs>
          <w:tab w:val="left" w:pos="0"/>
        </w:tabs>
        <w:spacing w:after="200" w:line="276" w:lineRule="auto"/>
        <w:contextualSpacing/>
        <w:jc w:val="both"/>
        <w:rPr>
          <w:rFonts w:ascii="Maiandra GD" w:eastAsia="Calibri" w:hAnsi="Maiandra GD" w:cs="Maiandra GD"/>
          <w:b/>
          <w:sz w:val="24"/>
          <w:szCs w:val="24"/>
        </w:rPr>
      </w:pPr>
      <w:r>
        <w:rPr>
          <w:rFonts w:ascii="Maiandra GD" w:eastAsia="Calibri" w:hAnsi="Maiandra GD" w:cs="Maiandra GD"/>
          <w:b/>
          <w:sz w:val="24"/>
          <w:szCs w:val="24"/>
        </w:rPr>
        <w:t>Responsable Pédagogique de CEV-UdM.</w:t>
      </w:r>
      <w:r>
        <w:rPr>
          <w:rFonts w:ascii="Maiandra GD" w:eastAsia="Calibri" w:hAnsi="Maiandra GD" w:cs="Maiandra GD"/>
          <w:sz w:val="24"/>
          <w:szCs w:val="24"/>
        </w:rPr>
        <w:t xml:space="preserve">                                                                        </w:t>
      </w:r>
    </w:p>
    <w:sectPr w:rsidR="0095162D">
      <w:headerReference w:type="default" r:id="rId8"/>
      <w:footerReference w:type="default" r:id="rId9"/>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F8BC3" w14:textId="77777777" w:rsidR="000B2455" w:rsidRDefault="000B2455">
      <w:pPr>
        <w:spacing w:line="240" w:lineRule="auto"/>
      </w:pPr>
      <w:r>
        <w:separator/>
      </w:r>
    </w:p>
  </w:endnote>
  <w:endnote w:type="continuationSeparator" w:id="0">
    <w:p w14:paraId="1780A042" w14:textId="77777777" w:rsidR="000B2455" w:rsidRDefault="000B24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FBA2" w14:textId="77777777" w:rsidR="0095162D" w:rsidRDefault="00000000">
    <w:pPr>
      <w:pStyle w:val="Pieddepage"/>
      <w:jc w:val="center"/>
    </w:pPr>
    <w:r>
      <w:rPr>
        <w:noProof/>
        <w:lang w:val="en-US"/>
      </w:rPr>
      <w:drawing>
        <wp:inline distT="0" distB="0" distL="0" distR="0" wp14:anchorId="08FCFDD1" wp14:editId="6CA1F092">
          <wp:extent cx="5760720" cy="743585"/>
          <wp:effectExtent l="0" t="0" r="0" b="0"/>
          <wp:docPr id="2" name="Image 2" descr="C:\Users\husse\AppData\Local\Packages\5319275A.51895FA4EA97F_cv1g1gvanyjgm\TempState\6BAADC89159617043965F9E1889224E7\pt-ce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C:\Users\husse\AppData\Local\Packages\5319275A.51895FA4EA97F_cv1g1gvanyjgm\TempState\6BAADC89159617043965F9E1889224E7\pt-cev.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60720" cy="743943"/>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1DE7E" w14:textId="77777777" w:rsidR="000B2455" w:rsidRDefault="000B2455">
      <w:pPr>
        <w:spacing w:after="0"/>
      </w:pPr>
      <w:r>
        <w:separator/>
      </w:r>
    </w:p>
  </w:footnote>
  <w:footnote w:type="continuationSeparator" w:id="0">
    <w:p w14:paraId="62D6872A" w14:textId="77777777" w:rsidR="000B2455" w:rsidRDefault="000B24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2E39E" w14:textId="77777777" w:rsidR="0095162D" w:rsidRDefault="00000000">
    <w:pPr>
      <w:pStyle w:val="En-tte"/>
      <w:jc w:val="center"/>
    </w:pPr>
    <w:r>
      <w:rPr>
        <w:noProof/>
        <w:lang w:val="en-US"/>
      </w:rPr>
      <w:drawing>
        <wp:inline distT="0" distB="0" distL="0" distR="0" wp14:anchorId="06284E6C" wp14:editId="53554320">
          <wp:extent cx="6177915" cy="810895"/>
          <wp:effectExtent l="0" t="0" r="0" b="8255"/>
          <wp:docPr id="3" name="Image 3" descr="C:\Users\husse\AppData\Local\Packages\5319275A.51895FA4EA97F_cv1g1gvanyjgm\TempState\0F3EA482C9513BF4548F302A46D9932D\ht-ce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C:\Users\husse\AppData\Local\Packages\5319275A.51895FA4EA97F_cv1g1gvanyjgm\TempState\0F3EA482C9513BF4548F302A46D9932D\ht-cev.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16715" cy="8159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1D6EA6"/>
    <w:multiLevelType w:val="singleLevel"/>
    <w:tmpl w:val="901D6EA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419A1CE"/>
    <w:multiLevelType w:val="singleLevel"/>
    <w:tmpl w:val="F419A1C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F11CDEB"/>
    <w:multiLevelType w:val="multilevel"/>
    <w:tmpl w:val="0F11CDE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825125486">
    <w:abstractNumId w:val="0"/>
  </w:num>
  <w:num w:numId="2" w16cid:durableId="1829663059">
    <w:abstractNumId w:val="2"/>
  </w:num>
  <w:num w:numId="3" w16cid:durableId="1760517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AA7"/>
    <w:rsid w:val="00054A8F"/>
    <w:rsid w:val="0007529B"/>
    <w:rsid w:val="00081D29"/>
    <w:rsid w:val="000B2455"/>
    <w:rsid w:val="000D45D5"/>
    <w:rsid w:val="00110763"/>
    <w:rsid w:val="00110A46"/>
    <w:rsid w:val="002119B4"/>
    <w:rsid w:val="00251A44"/>
    <w:rsid w:val="00292AB9"/>
    <w:rsid w:val="003626F6"/>
    <w:rsid w:val="003672BD"/>
    <w:rsid w:val="00374A6F"/>
    <w:rsid w:val="00466724"/>
    <w:rsid w:val="00516221"/>
    <w:rsid w:val="00555C74"/>
    <w:rsid w:val="005A7142"/>
    <w:rsid w:val="005B27F2"/>
    <w:rsid w:val="005D463A"/>
    <w:rsid w:val="005E2EB0"/>
    <w:rsid w:val="005F680E"/>
    <w:rsid w:val="00633FFE"/>
    <w:rsid w:val="0064524C"/>
    <w:rsid w:val="0066424D"/>
    <w:rsid w:val="006B46A8"/>
    <w:rsid w:val="00745686"/>
    <w:rsid w:val="00786054"/>
    <w:rsid w:val="007F13FE"/>
    <w:rsid w:val="00860FF2"/>
    <w:rsid w:val="00890770"/>
    <w:rsid w:val="0095162D"/>
    <w:rsid w:val="00A36071"/>
    <w:rsid w:val="00A93748"/>
    <w:rsid w:val="00AC0D0A"/>
    <w:rsid w:val="00B26C15"/>
    <w:rsid w:val="00BB4E44"/>
    <w:rsid w:val="00C176DC"/>
    <w:rsid w:val="00C200BB"/>
    <w:rsid w:val="00C2644B"/>
    <w:rsid w:val="00C826A4"/>
    <w:rsid w:val="00CA3BBB"/>
    <w:rsid w:val="00CF6AF5"/>
    <w:rsid w:val="00D5579B"/>
    <w:rsid w:val="00D9484A"/>
    <w:rsid w:val="00DA7168"/>
    <w:rsid w:val="00DC390F"/>
    <w:rsid w:val="00DD03E8"/>
    <w:rsid w:val="00E25F1C"/>
    <w:rsid w:val="00E67A04"/>
    <w:rsid w:val="00E8514C"/>
    <w:rsid w:val="00E93AA7"/>
    <w:rsid w:val="00EC7F16"/>
    <w:rsid w:val="00F43261"/>
    <w:rsid w:val="03003EE9"/>
    <w:rsid w:val="062702A8"/>
    <w:rsid w:val="23DE6395"/>
    <w:rsid w:val="439C027C"/>
    <w:rsid w:val="597E3989"/>
    <w:rsid w:val="59DA7B9A"/>
    <w:rsid w:val="6E176FE1"/>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C5A7"/>
  <w15:docId w15:val="{A7B1F0CF-8511-4729-BDD6-E6E2D5919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paragraph" w:styleId="Titre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Pr>
      <w:color w:val="0563C1" w:themeColor="hyperlink"/>
      <w:u w:val="single"/>
    </w:rPr>
  </w:style>
  <w:style w:type="character" w:styleId="lev">
    <w:name w:val="Strong"/>
    <w:uiPriority w:val="22"/>
    <w:qFormat/>
    <w:rPr>
      <w:b/>
      <w:bCs/>
    </w:rPr>
  </w:style>
  <w:style w:type="character" w:styleId="Lienhypertextesuivivisit">
    <w:name w:val="FollowedHyperlink"/>
    <w:basedOn w:val="Policepardfaut"/>
    <w:uiPriority w:val="99"/>
    <w:semiHidden/>
    <w:unhideWhenUsed/>
    <w:qFormat/>
    <w:rPr>
      <w:color w:val="954F72" w:themeColor="followedHyperlink"/>
      <w:u w:val="single"/>
    </w:rPr>
  </w:style>
  <w:style w:type="paragraph" w:styleId="Textedebulles">
    <w:name w:val="Balloon Text"/>
    <w:basedOn w:val="Normal"/>
    <w:link w:val="TextedebullesCar"/>
    <w:uiPriority w:val="99"/>
    <w:semiHidden/>
    <w:unhideWhenUsed/>
    <w:pPr>
      <w:spacing w:after="0" w:line="240" w:lineRule="auto"/>
    </w:pPr>
    <w:rPr>
      <w:rFonts w:ascii="Tahoma" w:hAnsi="Tahoma" w:cs="Tahoma"/>
      <w:sz w:val="16"/>
      <w:szCs w:val="16"/>
    </w:rPr>
  </w:style>
  <w:style w:type="paragraph" w:styleId="NormalWeb">
    <w:name w:val="Normal (Web)"/>
    <w:basedOn w:val="Normal"/>
    <w:uiPriority w:val="99"/>
    <w:semiHidden/>
    <w:unhideWhenUsed/>
    <w:qFormat/>
    <w:rPr>
      <w:sz w:val="24"/>
      <w:szCs w:val="24"/>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paragraph" w:styleId="En-tte">
    <w:name w:val="header"/>
    <w:basedOn w:val="Normal"/>
    <w:link w:val="En-tteCar"/>
    <w:uiPriority w:val="99"/>
    <w:unhideWhenUsed/>
    <w:qFormat/>
    <w:pPr>
      <w:tabs>
        <w:tab w:val="center" w:pos="4536"/>
        <w:tab w:val="right" w:pos="9072"/>
      </w:tabs>
      <w:spacing w:after="0" w:line="240" w:lineRule="auto"/>
    </w:p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character" w:customStyle="1" w:styleId="TextedebullesCar">
    <w:name w:val="Texte de bulles Car"/>
    <w:basedOn w:val="Policepardfaut"/>
    <w:link w:val="Textedebulles"/>
    <w:uiPriority w:val="99"/>
    <w:semiHidden/>
    <w:qFormat/>
    <w:rPr>
      <w:rFonts w:ascii="Tahoma" w:hAnsi="Tahoma" w:cs="Tahoma"/>
      <w:sz w:val="16"/>
      <w:szCs w:val="16"/>
    </w:rPr>
  </w:style>
  <w:style w:type="character" w:customStyle="1" w:styleId="Mentionnonrsolue1">
    <w:name w:val="Mention non résolue1"/>
    <w:basedOn w:val="Policepardfau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1"/>
          <c:tx>
            <c:strRef>
              <c:f>Feuil1!$A$3</c:f>
              <c:strCache>
                <c:ptCount val="1"/>
                <c:pt idx="0">
                  <c:v>MASPEL- Epidemiologie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Feuil1!$B$1:$G$1</c:f>
              <c:strCache>
                <c:ptCount val="6"/>
                <c:pt idx="0">
                  <c:v>2020/21
T=15</c:v>
                </c:pt>
                <c:pt idx="1">
                  <c:v>2021/22
T=25</c:v>
                </c:pt>
                <c:pt idx="2">
                  <c:v>2022/23
T=22</c:v>
                </c:pt>
                <c:pt idx="3">
                  <c:v>2023/24 AUF
T=73</c:v>
                </c:pt>
                <c:pt idx="4">
                  <c:v>2024/25 AUF
T=147</c:v>
                </c:pt>
                <c:pt idx="5">
                  <c:v>2025/26 AUF*
T=447</c:v>
                </c:pt>
              </c:strCache>
            </c:strRef>
          </c:cat>
          <c:val>
            <c:numRef>
              <c:f>Feuil1!$B$3:$G$3</c:f>
              <c:numCache>
                <c:formatCode>General</c:formatCode>
                <c:ptCount val="6"/>
                <c:pt idx="0">
                  <c:v>15</c:v>
                </c:pt>
                <c:pt idx="1">
                  <c:v>25</c:v>
                </c:pt>
                <c:pt idx="2">
                  <c:v>22</c:v>
                </c:pt>
                <c:pt idx="3">
                  <c:v>73</c:v>
                </c:pt>
                <c:pt idx="4">
                  <c:v>108</c:v>
                </c:pt>
                <c:pt idx="5">
                  <c:v>155</c:v>
                </c:pt>
              </c:numCache>
            </c:numRef>
          </c:val>
          <c:extLst>
            <c:ext xmlns:c16="http://schemas.microsoft.com/office/drawing/2014/chart" uri="{C3380CC4-5D6E-409C-BE32-E72D297353CC}">
              <c16:uniqueId val="{00000000-224B-4F0E-BA66-AC1C53D063BD}"/>
            </c:ext>
          </c:extLst>
        </c:ser>
        <c:ser>
          <c:idx val="2"/>
          <c:order val="2"/>
          <c:tx>
            <c:strRef>
              <c:f>Feuil1!$A$4</c:f>
              <c:strCache>
                <c:ptCount val="1"/>
                <c:pt idx="0">
                  <c:v>MASPEL- Biostatistique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Feuil1!$B$1:$G$1</c:f>
              <c:strCache>
                <c:ptCount val="6"/>
                <c:pt idx="0">
                  <c:v>2020/21
T=15</c:v>
                </c:pt>
                <c:pt idx="1">
                  <c:v>2021/22
T=25</c:v>
                </c:pt>
                <c:pt idx="2">
                  <c:v>2022/23
T=22</c:v>
                </c:pt>
                <c:pt idx="3">
                  <c:v>2023/24 AUF
T=73</c:v>
                </c:pt>
                <c:pt idx="4">
                  <c:v>2024/25 AUF
T=147</c:v>
                </c:pt>
                <c:pt idx="5">
                  <c:v>2025/26 AUF*
T=447</c:v>
                </c:pt>
              </c:strCache>
            </c:strRef>
          </c:cat>
          <c:val>
            <c:numRef>
              <c:f>Feuil1!$B$4:$G$4</c:f>
              <c:numCache>
                <c:formatCode>General</c:formatCode>
                <c:ptCount val="6"/>
                <c:pt idx="5">
                  <c:v>50</c:v>
                </c:pt>
              </c:numCache>
            </c:numRef>
          </c:val>
          <c:extLst>
            <c:ext xmlns:c16="http://schemas.microsoft.com/office/drawing/2014/chart" uri="{C3380CC4-5D6E-409C-BE32-E72D297353CC}">
              <c16:uniqueId val="{00000001-224B-4F0E-BA66-AC1C53D063BD}"/>
            </c:ext>
          </c:extLst>
        </c:ser>
        <c:ser>
          <c:idx val="3"/>
          <c:order val="3"/>
          <c:tx>
            <c:strRef>
              <c:f>Feuil1!$A$5</c:f>
              <c:strCache>
                <c:ptCount val="1"/>
                <c:pt idx="0">
                  <c:v>MASPEL- Maladie Infectieuses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Feuil1!$B$1:$G$1</c:f>
              <c:strCache>
                <c:ptCount val="6"/>
                <c:pt idx="0">
                  <c:v>2020/21
T=15</c:v>
                </c:pt>
                <c:pt idx="1">
                  <c:v>2021/22
T=25</c:v>
                </c:pt>
                <c:pt idx="2">
                  <c:v>2022/23
T=22</c:v>
                </c:pt>
                <c:pt idx="3">
                  <c:v>2023/24 AUF
T=73</c:v>
                </c:pt>
                <c:pt idx="4">
                  <c:v>2024/25 AUF
T=147</c:v>
                </c:pt>
                <c:pt idx="5">
                  <c:v>2025/26 AUF*
T=447</c:v>
                </c:pt>
              </c:strCache>
            </c:strRef>
          </c:cat>
          <c:val>
            <c:numRef>
              <c:f>Feuil1!$B$5:$G$5</c:f>
              <c:numCache>
                <c:formatCode>General</c:formatCode>
                <c:ptCount val="6"/>
                <c:pt idx="5">
                  <c:v>40</c:v>
                </c:pt>
              </c:numCache>
            </c:numRef>
          </c:val>
          <c:extLst>
            <c:ext xmlns:c16="http://schemas.microsoft.com/office/drawing/2014/chart" uri="{C3380CC4-5D6E-409C-BE32-E72D297353CC}">
              <c16:uniqueId val="{00000002-224B-4F0E-BA66-AC1C53D063BD}"/>
            </c:ext>
          </c:extLst>
        </c:ser>
        <c:ser>
          <c:idx val="4"/>
          <c:order val="4"/>
          <c:tx>
            <c:strRef>
              <c:f>Feuil1!$A$6</c:f>
              <c:strCache>
                <c:ptCount val="1"/>
                <c:pt idx="0">
                  <c:v>MASPEL- Promotion de la sante</c:v>
                </c:pt>
              </c:strCache>
            </c:strRef>
          </c:tx>
          <c:spPr>
            <a:solidFill>
              <a:schemeClr val="accent6">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Feuil1!$B$1:$G$1</c:f>
              <c:strCache>
                <c:ptCount val="6"/>
                <c:pt idx="0">
                  <c:v>2020/21
T=15</c:v>
                </c:pt>
                <c:pt idx="1">
                  <c:v>2021/22
T=25</c:v>
                </c:pt>
                <c:pt idx="2">
                  <c:v>2022/23
T=22</c:v>
                </c:pt>
                <c:pt idx="3">
                  <c:v>2023/24 AUF
T=73</c:v>
                </c:pt>
                <c:pt idx="4">
                  <c:v>2024/25 AUF
T=147</c:v>
                </c:pt>
                <c:pt idx="5">
                  <c:v>2025/26 AUF*
T=447</c:v>
                </c:pt>
              </c:strCache>
            </c:strRef>
          </c:cat>
          <c:val>
            <c:numRef>
              <c:f>Feuil1!$B$6:$G$6</c:f>
              <c:numCache>
                <c:formatCode>General</c:formatCode>
                <c:ptCount val="6"/>
                <c:pt idx="5">
                  <c:v>43</c:v>
                </c:pt>
              </c:numCache>
            </c:numRef>
          </c:val>
          <c:extLst>
            <c:ext xmlns:c16="http://schemas.microsoft.com/office/drawing/2014/chart" uri="{C3380CC4-5D6E-409C-BE32-E72D297353CC}">
              <c16:uniqueId val="{00000003-224B-4F0E-BA66-AC1C53D063BD}"/>
            </c:ext>
          </c:extLst>
        </c:ser>
        <c:ser>
          <c:idx val="5"/>
          <c:order val="5"/>
          <c:tx>
            <c:strRef>
              <c:f>Feuil1!$A$7</c:f>
              <c:strCache>
                <c:ptCount val="1"/>
                <c:pt idx="0">
                  <c:v>MASQUARIBIO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Feuil1!$B$1:$G$1</c:f>
              <c:strCache>
                <c:ptCount val="6"/>
                <c:pt idx="0">
                  <c:v>2020/21
T=15</c:v>
                </c:pt>
                <c:pt idx="1">
                  <c:v>2021/22
T=25</c:v>
                </c:pt>
                <c:pt idx="2">
                  <c:v>2022/23
T=22</c:v>
                </c:pt>
                <c:pt idx="3">
                  <c:v>2023/24 AUF
T=73</c:v>
                </c:pt>
                <c:pt idx="4">
                  <c:v>2024/25 AUF
T=147</c:v>
                </c:pt>
                <c:pt idx="5">
                  <c:v>2025/26 AUF*
T=447</c:v>
                </c:pt>
              </c:strCache>
            </c:strRef>
          </c:cat>
          <c:val>
            <c:numRef>
              <c:f>Feuil1!$B$7:$G$7</c:f>
              <c:numCache>
                <c:formatCode>General</c:formatCode>
                <c:ptCount val="6"/>
                <c:pt idx="4">
                  <c:v>11</c:v>
                </c:pt>
                <c:pt idx="5">
                  <c:v>52</c:v>
                </c:pt>
              </c:numCache>
            </c:numRef>
          </c:val>
          <c:extLst>
            <c:ext xmlns:c16="http://schemas.microsoft.com/office/drawing/2014/chart" uri="{C3380CC4-5D6E-409C-BE32-E72D297353CC}">
              <c16:uniqueId val="{00000004-224B-4F0E-BA66-AC1C53D063BD}"/>
            </c:ext>
          </c:extLst>
        </c:ser>
        <c:ser>
          <c:idx val="6"/>
          <c:order val="6"/>
          <c:tx>
            <c:strRef>
              <c:f>Feuil1!$A$8</c:f>
              <c:strCache>
                <c:ptCount val="1"/>
                <c:pt idx="0">
                  <c:v>MIFA</c:v>
                </c:pt>
              </c:strCache>
            </c:strRef>
          </c:tx>
          <c:spPr>
            <a:solidFill>
              <a:srgbClr val="00B0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Feuil1!$B$1:$G$1</c:f>
              <c:strCache>
                <c:ptCount val="6"/>
                <c:pt idx="0">
                  <c:v>2020/21
T=15</c:v>
                </c:pt>
                <c:pt idx="1">
                  <c:v>2021/22
T=25</c:v>
                </c:pt>
                <c:pt idx="2">
                  <c:v>2022/23
T=22</c:v>
                </c:pt>
                <c:pt idx="3">
                  <c:v>2023/24 AUF
T=73</c:v>
                </c:pt>
                <c:pt idx="4">
                  <c:v>2024/25 AUF
T=147</c:v>
                </c:pt>
                <c:pt idx="5">
                  <c:v>2025/26 AUF*
T=447</c:v>
                </c:pt>
              </c:strCache>
            </c:strRef>
          </c:cat>
          <c:val>
            <c:numRef>
              <c:f>Feuil1!$B$8:$G$8</c:f>
              <c:numCache>
                <c:formatCode>General</c:formatCode>
                <c:ptCount val="6"/>
                <c:pt idx="4">
                  <c:v>28</c:v>
                </c:pt>
                <c:pt idx="5">
                  <c:v>107</c:v>
                </c:pt>
              </c:numCache>
            </c:numRef>
          </c:val>
          <c:extLst>
            <c:ext xmlns:c16="http://schemas.microsoft.com/office/drawing/2014/chart" uri="{C3380CC4-5D6E-409C-BE32-E72D297353CC}">
              <c16:uniqueId val="{00000005-224B-4F0E-BA66-AC1C53D063BD}"/>
            </c:ext>
          </c:extLst>
        </c:ser>
        <c:dLbls>
          <c:dLblPos val="outEnd"/>
          <c:showLegendKey val="0"/>
          <c:showVal val="1"/>
          <c:showCatName val="0"/>
          <c:showSerName val="0"/>
          <c:showPercent val="0"/>
          <c:showBubbleSize val="0"/>
        </c:dLbls>
        <c:gapWidth val="219"/>
        <c:overlap val="-27"/>
        <c:axId val="1469925007"/>
        <c:axId val="1469923567"/>
        <c:extLst>
          <c:ext xmlns:c15="http://schemas.microsoft.com/office/drawing/2012/chart" uri="{02D57815-91ED-43cb-92C2-25804820EDAC}">
            <c15:filteredBarSeries>
              <c15:ser>
                <c:idx val="0"/>
                <c:order val="0"/>
                <c:tx>
                  <c:strRef>
                    <c:extLst>
                      <c:ext uri="{02D57815-91ED-43cb-92C2-25804820EDAC}">
                        <c15:formulaRef>
                          <c15:sqref>Feuil1!$A$2</c15:sqref>
                        </c15:formulaRef>
                      </c:ext>
                    </c:extLst>
                    <c:strCache>
                      <c:ptCount val="1"/>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Feuil1!$B$1:$G$1</c15:sqref>
                        </c15:formulaRef>
                      </c:ext>
                    </c:extLst>
                    <c:strCache>
                      <c:ptCount val="6"/>
                      <c:pt idx="0">
                        <c:v>2020/21
T=15</c:v>
                      </c:pt>
                      <c:pt idx="1">
                        <c:v>2021/22
T=25</c:v>
                      </c:pt>
                      <c:pt idx="2">
                        <c:v>2022/23
T=22</c:v>
                      </c:pt>
                      <c:pt idx="3">
                        <c:v>2023/24 AUF
T=73</c:v>
                      </c:pt>
                      <c:pt idx="4">
                        <c:v>2024/25 AUF
T=147</c:v>
                      </c:pt>
                      <c:pt idx="5">
                        <c:v>2025/26 AUF*
T=447</c:v>
                      </c:pt>
                    </c:strCache>
                  </c:strRef>
                </c:cat>
                <c:val>
                  <c:numRef>
                    <c:extLst>
                      <c:ext uri="{02D57815-91ED-43cb-92C2-25804820EDAC}">
                        <c15:formulaRef>
                          <c15:sqref>Feuil1!$B$2:$G$2</c15:sqref>
                        </c15:formulaRef>
                      </c:ext>
                    </c:extLst>
                    <c:numCache>
                      <c:formatCode>General</c:formatCode>
                      <c:ptCount val="6"/>
                    </c:numCache>
                  </c:numRef>
                </c:val>
                <c:extLst>
                  <c:ext xmlns:c16="http://schemas.microsoft.com/office/drawing/2014/chart" uri="{C3380CC4-5D6E-409C-BE32-E72D297353CC}">
                    <c16:uniqueId val="{00000006-224B-4F0E-BA66-AC1C53D063BD}"/>
                  </c:ext>
                </c:extLst>
              </c15:ser>
            </c15:filteredBarSeries>
          </c:ext>
        </c:extLst>
      </c:barChart>
      <c:catAx>
        <c:axId val="1469925007"/>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fr-FR" b="1"/>
                  <a:t>Années académiques</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crossAx val="1469923567"/>
        <c:crosses val="autoZero"/>
        <c:auto val="1"/>
        <c:lblAlgn val="ctr"/>
        <c:lblOffset val="100"/>
        <c:noMultiLvlLbl val="0"/>
      </c:catAx>
      <c:valAx>
        <c:axId val="14699235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fr-FR" b="1"/>
                  <a:t>Effectifs</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crossAx val="14699250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933</Words>
  <Characters>5136</Characters>
  <Application>Microsoft Office Word</Application>
  <DocSecurity>0</DocSecurity>
  <Lines>42</Lines>
  <Paragraphs>12</Paragraphs>
  <ScaleCrop>false</ScaleCrop>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jumper hussein</dc:creator>
  <cp:lastModifiedBy>Sylvie TAMI</cp:lastModifiedBy>
  <cp:revision>2</cp:revision>
  <cp:lastPrinted>2025-11-17T10:39:00Z</cp:lastPrinted>
  <dcterms:created xsi:type="dcterms:W3CDTF">2025-11-17T14:44:00Z</dcterms:created>
  <dcterms:modified xsi:type="dcterms:W3CDTF">2025-11-17T14:44:00Z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28616F9E84AB42C3B997B14BDABBD6E2_13</vt:lpwstr>
  </property>
</Properties>
</file>