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ED5B" w14:textId="55E20936" w:rsidR="00637010" w:rsidRDefault="00CE2DFC" w:rsidP="00CE2DFC">
      <w:pPr>
        <w:jc w:val="center"/>
        <w:rPr>
          <w:b/>
          <w:bCs/>
        </w:rPr>
      </w:pPr>
      <w:r w:rsidRPr="00CE2DFC">
        <w:rPr>
          <w:b/>
          <w:bCs/>
        </w:rPr>
        <w:t>Chronic hepatitis B treatment decision tool for adults</w:t>
      </w:r>
    </w:p>
    <w:p w14:paraId="0BD6E96B" w14:textId="77777777" w:rsidR="001D7864" w:rsidRPr="001D7864" w:rsidRDefault="001D7864" w:rsidP="001D7864">
      <w:pPr>
        <w:shd w:val="clear" w:color="auto" w:fill="1E1E1E"/>
        <w:spacing w:after="0" w:line="270" w:lineRule="atLeast"/>
        <w:rPr>
          <w:rFonts w:ascii="Menlo" w:eastAsia="Times New Roman" w:hAnsi="Menlo" w:cs="Menlo"/>
          <w:color w:val="D4D4D4"/>
          <w:sz w:val="18"/>
          <w:szCs w:val="18"/>
          <w:lang w:eastAsia="zh-CN"/>
        </w:rPr>
      </w:pPr>
      <w:r w:rsidRPr="001D7864">
        <w:rPr>
          <w:rFonts w:ascii="Menlo" w:eastAsia="Times New Roman" w:hAnsi="Menlo" w:cs="Menlo"/>
          <w:color w:val="CE9178"/>
          <w:sz w:val="18"/>
          <w:szCs w:val="18"/>
          <w:lang w:eastAsia="zh-CN"/>
        </w:rPr>
        <w:t>Công cụ h</w:t>
      </w:r>
      <w:r w:rsidRPr="001D7864">
        <w:rPr>
          <w:rFonts w:ascii="Calibri" w:eastAsia="Times New Roman" w:hAnsi="Calibri" w:cs="Calibri"/>
          <w:color w:val="CE9178"/>
          <w:sz w:val="18"/>
          <w:szCs w:val="18"/>
          <w:lang w:eastAsia="zh-CN"/>
        </w:rPr>
        <w:t>ỗ</w:t>
      </w:r>
      <w:r w:rsidRPr="001D7864">
        <w:rPr>
          <w:rFonts w:ascii="Menlo" w:eastAsia="Times New Roman" w:hAnsi="Menlo" w:cs="Menlo"/>
          <w:color w:val="CE9178"/>
          <w:sz w:val="18"/>
          <w:szCs w:val="18"/>
          <w:lang w:eastAsia="zh-CN"/>
        </w:rPr>
        <w:t xml:space="preserve"> trợ Quy</w:t>
      </w:r>
      <w:r w:rsidRPr="001D7864">
        <w:rPr>
          <w:rFonts w:ascii="Calibri" w:eastAsia="Times New Roman" w:hAnsi="Calibri" w:cs="Calibri"/>
          <w:color w:val="CE9178"/>
          <w:sz w:val="18"/>
          <w:szCs w:val="18"/>
          <w:lang w:eastAsia="zh-CN"/>
        </w:rPr>
        <w:t>ế</w:t>
      </w:r>
      <w:r w:rsidRPr="001D7864">
        <w:rPr>
          <w:rFonts w:ascii="Menlo" w:eastAsia="Times New Roman" w:hAnsi="Menlo" w:cs="Menlo"/>
          <w:color w:val="CE9178"/>
          <w:sz w:val="18"/>
          <w:szCs w:val="18"/>
          <w:lang w:eastAsia="zh-CN"/>
        </w:rPr>
        <w:t>t định Đi</w:t>
      </w:r>
      <w:r w:rsidRPr="001D7864">
        <w:rPr>
          <w:rFonts w:ascii="Calibri" w:eastAsia="Times New Roman" w:hAnsi="Calibri" w:cs="Calibri"/>
          <w:color w:val="CE9178"/>
          <w:sz w:val="18"/>
          <w:szCs w:val="18"/>
          <w:lang w:eastAsia="zh-CN"/>
        </w:rPr>
        <w:t>ề</w:t>
      </w:r>
      <w:r w:rsidRPr="001D7864">
        <w:rPr>
          <w:rFonts w:ascii="Menlo" w:eastAsia="Times New Roman" w:hAnsi="Menlo" w:cs="Menlo"/>
          <w:color w:val="CE9178"/>
          <w:sz w:val="18"/>
          <w:szCs w:val="18"/>
          <w:lang w:eastAsia="zh-CN"/>
        </w:rPr>
        <w:t xml:space="preserve">u trị Viêm gan B mạn tính </w:t>
      </w:r>
      <w:r w:rsidRPr="001D7864">
        <w:rPr>
          <w:rFonts w:ascii="Calibri" w:eastAsia="Times New Roman" w:hAnsi="Calibri" w:cs="Calibri"/>
          <w:color w:val="CE9178"/>
          <w:sz w:val="18"/>
          <w:szCs w:val="18"/>
          <w:lang w:eastAsia="zh-CN"/>
        </w:rPr>
        <w:t>ở</w:t>
      </w:r>
      <w:r w:rsidRPr="001D7864">
        <w:rPr>
          <w:rFonts w:ascii="Menlo" w:eastAsia="Times New Roman" w:hAnsi="Menlo" w:cs="Menlo"/>
          <w:color w:val="CE9178"/>
          <w:sz w:val="18"/>
          <w:szCs w:val="18"/>
          <w:lang w:eastAsia="zh-CN"/>
        </w:rPr>
        <w:t xml:space="preserve"> người lớn</w:t>
      </w:r>
    </w:p>
    <w:p w14:paraId="5B884B6F" w14:textId="77777777" w:rsidR="001D7864" w:rsidRPr="00CE2DFC" w:rsidRDefault="001D7864" w:rsidP="00CE2DFC">
      <w:pPr>
        <w:jc w:val="center"/>
        <w:rPr>
          <w:b/>
          <w:bCs/>
        </w:rPr>
      </w:pPr>
    </w:p>
    <w:p w14:paraId="721D840E" w14:textId="3A7205CF" w:rsidR="00CE2DFC" w:rsidRPr="00CE2DFC" w:rsidRDefault="00CE2DFC" w:rsidP="00CE2DFC">
      <w:pPr>
        <w:rPr>
          <w:b/>
          <w:bCs/>
        </w:rPr>
      </w:pPr>
      <w:r w:rsidRPr="00CE2DFC">
        <w:rPr>
          <w:b/>
          <w:bCs/>
        </w:rPr>
        <w:t>Home page</w:t>
      </w:r>
    </w:p>
    <w:p w14:paraId="3EADFCB6" w14:textId="367B0DE8" w:rsidR="00CE2DFC" w:rsidRDefault="00CE2DFC" w:rsidP="00CE2DFC">
      <w:r>
        <w:t>People who are chronically infected with hepatitis B (HBsAg positive) often have no symptoms but can harbor or develop active hepatitis, liver cirrhosis and liver cancer.</w:t>
      </w:r>
    </w:p>
    <w:p w14:paraId="4CF9B09F" w14:textId="77777777" w:rsidR="00D027D9" w:rsidRPr="00D027D9" w:rsidRDefault="00D027D9" w:rsidP="00D027D9">
      <w:pPr>
        <w:shd w:val="clear" w:color="auto" w:fill="1E1E1E"/>
        <w:spacing w:after="0" w:line="270" w:lineRule="atLeast"/>
        <w:rPr>
          <w:rFonts w:ascii="Menlo" w:eastAsia="Times New Roman" w:hAnsi="Menlo" w:cs="Menlo"/>
          <w:color w:val="D4D4D4"/>
          <w:sz w:val="18"/>
          <w:szCs w:val="18"/>
          <w:lang w:eastAsia="zh-CN"/>
        </w:rPr>
      </w:pPr>
      <w:r w:rsidRPr="00D027D9">
        <w:rPr>
          <w:rFonts w:ascii="Menlo" w:eastAsia="Times New Roman" w:hAnsi="Menlo" w:cs="Menlo"/>
          <w:color w:val="CE9178"/>
          <w:sz w:val="18"/>
          <w:szCs w:val="18"/>
          <w:lang w:eastAsia="zh-CN"/>
        </w:rPr>
        <w:t>Người m</w:t>
      </w:r>
      <w:r w:rsidRPr="00D027D9">
        <w:rPr>
          <w:rFonts w:ascii="Calibri" w:eastAsia="Times New Roman" w:hAnsi="Calibri" w:cs="Calibri"/>
          <w:color w:val="CE9178"/>
          <w:sz w:val="18"/>
          <w:szCs w:val="18"/>
          <w:lang w:eastAsia="zh-CN"/>
        </w:rPr>
        <w:t>ắ</w:t>
      </w:r>
      <w:r w:rsidRPr="00D027D9">
        <w:rPr>
          <w:rFonts w:ascii="Menlo" w:eastAsia="Times New Roman" w:hAnsi="Menlo" w:cs="Menlo"/>
          <w:color w:val="CE9178"/>
          <w:sz w:val="18"/>
          <w:szCs w:val="18"/>
          <w:lang w:eastAsia="zh-CN"/>
        </w:rPr>
        <w:t>c vi rút viêm gan B mạn tính (HBsAg dương tính) thường không có triệu chứng nhưng có th</w:t>
      </w:r>
      <w:r w:rsidRPr="00D027D9">
        <w:rPr>
          <w:rFonts w:ascii="Calibri" w:eastAsia="Times New Roman" w:hAnsi="Calibri" w:cs="Calibri"/>
          <w:color w:val="CE9178"/>
          <w:sz w:val="18"/>
          <w:szCs w:val="18"/>
          <w:lang w:eastAsia="zh-CN"/>
        </w:rPr>
        <w:t>ể</w:t>
      </w:r>
      <w:r w:rsidRPr="00D027D9">
        <w:rPr>
          <w:rFonts w:ascii="Menlo" w:eastAsia="Times New Roman" w:hAnsi="Menlo" w:cs="Menlo"/>
          <w:color w:val="CE9178"/>
          <w:sz w:val="18"/>
          <w:szCs w:val="18"/>
          <w:lang w:eastAsia="zh-CN"/>
        </w:rPr>
        <w:t xml:space="preserve"> ti</w:t>
      </w:r>
      <w:r w:rsidRPr="00D027D9">
        <w:rPr>
          <w:rFonts w:ascii="Calibri" w:eastAsia="Times New Roman" w:hAnsi="Calibri" w:cs="Calibri"/>
          <w:color w:val="CE9178"/>
          <w:sz w:val="18"/>
          <w:szCs w:val="18"/>
          <w:lang w:eastAsia="zh-CN"/>
        </w:rPr>
        <w:t>ế</w:t>
      </w:r>
      <w:r w:rsidRPr="00D027D9">
        <w:rPr>
          <w:rFonts w:ascii="Menlo" w:eastAsia="Times New Roman" w:hAnsi="Menlo" w:cs="Menlo"/>
          <w:color w:val="CE9178"/>
          <w:sz w:val="18"/>
          <w:szCs w:val="18"/>
          <w:lang w:eastAsia="zh-CN"/>
        </w:rPr>
        <w:t>n tri</w:t>
      </w:r>
      <w:r w:rsidRPr="00D027D9">
        <w:rPr>
          <w:rFonts w:ascii="Calibri" w:eastAsia="Times New Roman" w:hAnsi="Calibri" w:cs="Calibri"/>
          <w:color w:val="CE9178"/>
          <w:sz w:val="18"/>
          <w:szCs w:val="18"/>
          <w:lang w:eastAsia="zh-CN"/>
        </w:rPr>
        <w:t>ể</w:t>
      </w:r>
      <w:r w:rsidRPr="00D027D9">
        <w:rPr>
          <w:rFonts w:ascii="Menlo" w:eastAsia="Times New Roman" w:hAnsi="Menlo" w:cs="Menlo"/>
          <w:color w:val="CE9178"/>
          <w:sz w:val="18"/>
          <w:szCs w:val="18"/>
          <w:lang w:eastAsia="zh-CN"/>
        </w:rPr>
        <w:t>n thành viêm gan B dạng hoạt động, xơ gan và ung thư gan.</w:t>
      </w:r>
    </w:p>
    <w:p w14:paraId="29D14CDB" w14:textId="77777777" w:rsidR="002150C4" w:rsidRDefault="002150C4" w:rsidP="00CE2DFC"/>
    <w:p w14:paraId="33C4AE48" w14:textId="3CFB1C5A" w:rsidR="00CE2DFC" w:rsidRDefault="00CE2DFC" w:rsidP="00CE2DFC">
      <w:r>
        <w:t>Antiviral treatment is indicated if the infected person has active hepatitis or liver cirrhosis and is effective in reducing risk of disease progression and death.</w:t>
      </w:r>
    </w:p>
    <w:p w14:paraId="2C46E19A" w14:textId="77777777" w:rsidR="00EF63DC" w:rsidRPr="00EF63DC" w:rsidRDefault="00EF63DC" w:rsidP="00EF63DC">
      <w:pPr>
        <w:shd w:val="clear" w:color="auto" w:fill="1E1E1E"/>
        <w:spacing w:after="0" w:line="270" w:lineRule="atLeast"/>
        <w:rPr>
          <w:rFonts w:ascii="Menlo" w:eastAsia="Times New Roman" w:hAnsi="Menlo" w:cs="Menlo"/>
          <w:color w:val="D4D4D4"/>
          <w:sz w:val="18"/>
          <w:szCs w:val="18"/>
          <w:lang w:eastAsia="zh-CN"/>
        </w:rPr>
      </w:pPr>
      <w:r w:rsidRPr="00EF63DC">
        <w:rPr>
          <w:rFonts w:ascii="Menlo" w:eastAsia="Times New Roman" w:hAnsi="Menlo" w:cs="Menlo"/>
          <w:color w:val="CE9178"/>
          <w:sz w:val="18"/>
          <w:szCs w:val="18"/>
          <w:lang w:eastAsia="zh-CN"/>
        </w:rPr>
        <w:t>Thu</w:t>
      </w:r>
      <w:r w:rsidRPr="00EF63DC">
        <w:rPr>
          <w:rFonts w:ascii="Calibri" w:eastAsia="Times New Roman" w:hAnsi="Calibri" w:cs="Calibri"/>
          <w:color w:val="CE9178"/>
          <w:sz w:val="18"/>
          <w:szCs w:val="18"/>
          <w:lang w:eastAsia="zh-CN"/>
        </w:rPr>
        <w:t>ố</w:t>
      </w:r>
      <w:r w:rsidRPr="00EF63DC">
        <w:rPr>
          <w:rFonts w:ascii="Menlo" w:eastAsia="Times New Roman" w:hAnsi="Menlo" w:cs="Menlo"/>
          <w:color w:val="CE9178"/>
          <w:sz w:val="18"/>
          <w:szCs w:val="18"/>
          <w:lang w:eastAsia="zh-CN"/>
        </w:rPr>
        <w:t>c kháng vi rút được ch</w:t>
      </w:r>
      <w:r w:rsidRPr="00EF63DC">
        <w:rPr>
          <w:rFonts w:ascii="Calibri" w:eastAsia="Times New Roman" w:hAnsi="Calibri" w:cs="Calibri"/>
          <w:color w:val="CE9178"/>
          <w:sz w:val="18"/>
          <w:szCs w:val="18"/>
          <w:lang w:eastAsia="zh-CN"/>
        </w:rPr>
        <w:t>ỉ</w:t>
      </w:r>
      <w:r w:rsidRPr="00EF63DC">
        <w:rPr>
          <w:rFonts w:ascii="Menlo" w:eastAsia="Times New Roman" w:hAnsi="Menlo" w:cs="Menlo"/>
          <w:color w:val="CE9178"/>
          <w:sz w:val="18"/>
          <w:szCs w:val="18"/>
          <w:lang w:eastAsia="zh-CN"/>
        </w:rPr>
        <w:t xml:space="preserve"> định cho những bệnh nhân có viêm gan B hoạt động hoặc xơ gan; thu</w:t>
      </w:r>
      <w:r w:rsidRPr="00EF63DC">
        <w:rPr>
          <w:rFonts w:ascii="Calibri" w:eastAsia="Times New Roman" w:hAnsi="Calibri" w:cs="Calibri"/>
          <w:color w:val="CE9178"/>
          <w:sz w:val="18"/>
          <w:szCs w:val="18"/>
          <w:lang w:eastAsia="zh-CN"/>
        </w:rPr>
        <w:t>ố</w:t>
      </w:r>
      <w:r w:rsidRPr="00EF63DC">
        <w:rPr>
          <w:rFonts w:ascii="Menlo" w:eastAsia="Times New Roman" w:hAnsi="Menlo" w:cs="Menlo"/>
          <w:color w:val="CE9178"/>
          <w:sz w:val="18"/>
          <w:szCs w:val="18"/>
          <w:lang w:eastAsia="zh-CN"/>
        </w:rPr>
        <w:t>c có tác dụng gi</w:t>
      </w:r>
      <w:r w:rsidRPr="00EF63DC">
        <w:rPr>
          <w:rFonts w:ascii="Calibri" w:eastAsia="Times New Roman" w:hAnsi="Calibri" w:cs="Calibri"/>
          <w:color w:val="CE9178"/>
          <w:sz w:val="18"/>
          <w:szCs w:val="18"/>
          <w:lang w:eastAsia="zh-CN"/>
        </w:rPr>
        <w:t>ả</w:t>
      </w:r>
      <w:r w:rsidRPr="00EF63DC">
        <w:rPr>
          <w:rFonts w:ascii="Menlo" w:eastAsia="Times New Roman" w:hAnsi="Menlo" w:cs="Menlo"/>
          <w:color w:val="CE9178"/>
          <w:sz w:val="18"/>
          <w:szCs w:val="18"/>
          <w:lang w:eastAsia="zh-CN"/>
        </w:rPr>
        <w:t>m nguy cơ ti</w:t>
      </w:r>
      <w:r w:rsidRPr="00EF63DC">
        <w:rPr>
          <w:rFonts w:ascii="Calibri" w:eastAsia="Times New Roman" w:hAnsi="Calibri" w:cs="Calibri"/>
          <w:color w:val="CE9178"/>
          <w:sz w:val="18"/>
          <w:szCs w:val="18"/>
          <w:lang w:eastAsia="zh-CN"/>
        </w:rPr>
        <w:t>ế</w:t>
      </w:r>
      <w:r w:rsidRPr="00EF63DC">
        <w:rPr>
          <w:rFonts w:ascii="Menlo" w:eastAsia="Times New Roman" w:hAnsi="Menlo" w:cs="Menlo"/>
          <w:color w:val="CE9178"/>
          <w:sz w:val="18"/>
          <w:szCs w:val="18"/>
          <w:lang w:eastAsia="zh-CN"/>
        </w:rPr>
        <w:t>n tri</w:t>
      </w:r>
      <w:r w:rsidRPr="00EF63DC">
        <w:rPr>
          <w:rFonts w:ascii="Calibri" w:eastAsia="Times New Roman" w:hAnsi="Calibri" w:cs="Calibri"/>
          <w:color w:val="CE9178"/>
          <w:sz w:val="18"/>
          <w:szCs w:val="18"/>
          <w:lang w:eastAsia="zh-CN"/>
        </w:rPr>
        <w:t>ể</w:t>
      </w:r>
      <w:r w:rsidRPr="00EF63DC">
        <w:rPr>
          <w:rFonts w:ascii="Menlo" w:eastAsia="Times New Roman" w:hAnsi="Menlo" w:cs="Menlo"/>
          <w:color w:val="CE9178"/>
          <w:sz w:val="18"/>
          <w:szCs w:val="18"/>
          <w:lang w:eastAsia="zh-CN"/>
        </w:rPr>
        <w:t>n bệnh nặng hoặc t</w:t>
      </w:r>
      <w:r w:rsidRPr="00EF63DC">
        <w:rPr>
          <w:rFonts w:ascii="Calibri" w:eastAsia="Times New Roman" w:hAnsi="Calibri" w:cs="Calibri"/>
          <w:color w:val="CE9178"/>
          <w:sz w:val="18"/>
          <w:szCs w:val="18"/>
          <w:lang w:eastAsia="zh-CN"/>
        </w:rPr>
        <w:t>ử</w:t>
      </w:r>
      <w:r w:rsidRPr="00EF63DC">
        <w:rPr>
          <w:rFonts w:ascii="Menlo" w:eastAsia="Times New Roman" w:hAnsi="Menlo" w:cs="Menlo"/>
          <w:color w:val="CE9178"/>
          <w:sz w:val="18"/>
          <w:szCs w:val="18"/>
          <w:lang w:eastAsia="zh-CN"/>
        </w:rPr>
        <w:t xml:space="preserve"> vong.</w:t>
      </w:r>
    </w:p>
    <w:p w14:paraId="087B7FFE" w14:textId="77777777" w:rsidR="00EF63DC" w:rsidRDefault="00EF63DC" w:rsidP="00CE2DFC"/>
    <w:p w14:paraId="0D4AAF2C" w14:textId="77777777" w:rsidR="00493DE3" w:rsidRDefault="00CE2DFC" w:rsidP="00CE2DFC">
      <w:r>
        <w:t xml:space="preserve">To access the treatment decision tool based on and adapted from the World Health Organization 2015 Hepatitis B Treatment Guidelines. </w:t>
      </w:r>
      <w:r w:rsidRPr="00CE2DFC">
        <w:rPr>
          <w:highlight w:val="lightGray"/>
        </w:rPr>
        <w:t>Enter</w:t>
      </w:r>
    </w:p>
    <w:p w14:paraId="02B38D45" w14:textId="77777777" w:rsidR="00493DE3" w:rsidRPr="00493DE3" w:rsidRDefault="00493DE3" w:rsidP="00493DE3">
      <w:pPr>
        <w:shd w:val="clear" w:color="auto" w:fill="1E1E1E"/>
        <w:spacing w:after="0" w:line="270" w:lineRule="atLeast"/>
        <w:rPr>
          <w:rFonts w:ascii="Menlo" w:eastAsia="Times New Roman" w:hAnsi="Menlo" w:cs="Menlo"/>
          <w:color w:val="D4D4D4"/>
          <w:sz w:val="18"/>
          <w:szCs w:val="18"/>
          <w:lang w:eastAsia="zh-CN"/>
        </w:rPr>
      </w:pPr>
      <w:r w:rsidRPr="00493DE3">
        <w:rPr>
          <w:rFonts w:ascii="Menlo" w:eastAsia="Times New Roman" w:hAnsi="Menlo" w:cs="Menlo"/>
          <w:color w:val="CE9178"/>
          <w:sz w:val="18"/>
          <w:szCs w:val="18"/>
          <w:lang w:eastAsia="zh-CN"/>
        </w:rPr>
        <w:t>Đ</w:t>
      </w:r>
      <w:r w:rsidRPr="00493DE3">
        <w:rPr>
          <w:rFonts w:ascii="Calibri" w:eastAsia="Times New Roman" w:hAnsi="Calibri" w:cs="Calibri"/>
          <w:color w:val="CE9178"/>
          <w:sz w:val="18"/>
          <w:szCs w:val="18"/>
          <w:lang w:eastAsia="zh-CN"/>
        </w:rPr>
        <w:t>ể</w:t>
      </w:r>
      <w:r w:rsidRPr="00493DE3">
        <w:rPr>
          <w:rFonts w:ascii="Menlo" w:eastAsia="Times New Roman" w:hAnsi="Menlo" w:cs="Menlo"/>
          <w:color w:val="CE9178"/>
          <w:sz w:val="18"/>
          <w:szCs w:val="18"/>
          <w:lang w:eastAsia="zh-CN"/>
        </w:rPr>
        <w:t xml:space="preserve"> s</w:t>
      </w:r>
      <w:r w:rsidRPr="00493DE3">
        <w:rPr>
          <w:rFonts w:ascii="Calibri" w:eastAsia="Times New Roman" w:hAnsi="Calibri" w:cs="Calibri"/>
          <w:color w:val="CE9178"/>
          <w:sz w:val="18"/>
          <w:szCs w:val="18"/>
          <w:lang w:eastAsia="zh-CN"/>
        </w:rPr>
        <w:t>ử</w:t>
      </w:r>
      <w:r w:rsidRPr="00493DE3">
        <w:rPr>
          <w:rFonts w:ascii="Menlo" w:eastAsia="Times New Roman" w:hAnsi="Menlo" w:cs="Menlo"/>
          <w:color w:val="CE9178"/>
          <w:sz w:val="18"/>
          <w:szCs w:val="18"/>
          <w:lang w:eastAsia="zh-CN"/>
        </w:rPr>
        <w:t xml:space="preserve"> dụng Công cụ h</w:t>
      </w:r>
      <w:r w:rsidRPr="00493DE3">
        <w:rPr>
          <w:rFonts w:ascii="Calibri" w:eastAsia="Times New Roman" w:hAnsi="Calibri" w:cs="Calibri"/>
          <w:color w:val="CE9178"/>
          <w:sz w:val="18"/>
          <w:szCs w:val="18"/>
          <w:lang w:eastAsia="zh-CN"/>
        </w:rPr>
        <w:t>ỗ</w:t>
      </w:r>
      <w:r w:rsidRPr="00493DE3">
        <w:rPr>
          <w:rFonts w:ascii="Menlo" w:eastAsia="Times New Roman" w:hAnsi="Menlo" w:cs="Menlo"/>
          <w:color w:val="CE9178"/>
          <w:sz w:val="18"/>
          <w:szCs w:val="18"/>
          <w:lang w:eastAsia="zh-CN"/>
        </w:rPr>
        <w:t xml:space="preserve"> trợ quy</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t định đi</w:t>
      </w:r>
      <w:r w:rsidRPr="00493DE3">
        <w:rPr>
          <w:rFonts w:ascii="Calibri" w:eastAsia="Times New Roman" w:hAnsi="Calibri" w:cs="Calibri"/>
          <w:color w:val="CE9178"/>
          <w:sz w:val="18"/>
          <w:szCs w:val="18"/>
          <w:lang w:eastAsia="zh-CN"/>
        </w:rPr>
        <w:t>ề</w:t>
      </w:r>
      <w:r w:rsidRPr="00493DE3">
        <w:rPr>
          <w:rFonts w:ascii="Menlo" w:eastAsia="Times New Roman" w:hAnsi="Menlo" w:cs="Menlo"/>
          <w:color w:val="CE9178"/>
          <w:sz w:val="18"/>
          <w:szCs w:val="18"/>
          <w:lang w:eastAsia="zh-CN"/>
        </w:rPr>
        <w:t>u trị cho bệnh nhân viêm gan B dựa trên Hướng d</w:t>
      </w:r>
      <w:r w:rsidRPr="00493DE3">
        <w:rPr>
          <w:rFonts w:ascii="Calibri" w:eastAsia="Times New Roman" w:hAnsi="Calibri" w:cs="Calibri"/>
          <w:color w:val="CE9178"/>
          <w:sz w:val="18"/>
          <w:szCs w:val="18"/>
          <w:lang w:eastAsia="zh-CN"/>
        </w:rPr>
        <w:t>ẫ</w:t>
      </w:r>
      <w:r w:rsidRPr="00493DE3">
        <w:rPr>
          <w:rFonts w:ascii="Menlo" w:eastAsia="Times New Roman" w:hAnsi="Menlo" w:cs="Menlo"/>
          <w:color w:val="CE9178"/>
          <w:sz w:val="18"/>
          <w:szCs w:val="18"/>
          <w:lang w:eastAsia="zh-CN"/>
        </w:rPr>
        <w:t>n c</w:t>
      </w:r>
      <w:r w:rsidRPr="00493DE3">
        <w:rPr>
          <w:rFonts w:ascii="Calibri" w:eastAsia="Times New Roman" w:hAnsi="Calibri" w:cs="Calibri"/>
          <w:color w:val="CE9178"/>
          <w:sz w:val="18"/>
          <w:szCs w:val="18"/>
          <w:lang w:eastAsia="zh-CN"/>
        </w:rPr>
        <w:t>ủ</w:t>
      </w:r>
      <w:r w:rsidRPr="00493DE3">
        <w:rPr>
          <w:rFonts w:ascii="Menlo" w:eastAsia="Times New Roman" w:hAnsi="Menlo" w:cs="Menlo"/>
          <w:color w:val="CE9178"/>
          <w:sz w:val="18"/>
          <w:szCs w:val="18"/>
          <w:lang w:eastAsia="zh-CN"/>
        </w:rPr>
        <w:t>a T</w:t>
      </w:r>
      <w:r w:rsidRPr="00493DE3">
        <w:rPr>
          <w:rFonts w:ascii="Calibri" w:eastAsia="Times New Roman" w:hAnsi="Calibri" w:cs="Calibri"/>
          <w:color w:val="CE9178"/>
          <w:sz w:val="18"/>
          <w:szCs w:val="18"/>
          <w:lang w:eastAsia="zh-CN"/>
        </w:rPr>
        <w:t>ổ</w:t>
      </w:r>
      <w:r w:rsidRPr="00493DE3">
        <w:rPr>
          <w:rFonts w:ascii="Menlo" w:eastAsia="Times New Roman" w:hAnsi="Menlo" w:cs="Menlo"/>
          <w:color w:val="CE9178"/>
          <w:sz w:val="18"/>
          <w:szCs w:val="18"/>
          <w:lang w:eastAsia="zh-CN"/>
        </w:rPr>
        <w:t xml:space="preserve"> chức y t</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 xml:space="preserve"> th</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 xml:space="preserve"> giới năm 2015 được thi</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t k</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 xml:space="preserve"> dành cho nhân viên y t</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 xml:space="preserve"> và bệnh nhân tại những nơi thi</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u ngu</w:t>
      </w:r>
      <w:r w:rsidRPr="00493DE3">
        <w:rPr>
          <w:rFonts w:ascii="Calibri" w:eastAsia="Times New Roman" w:hAnsi="Calibri" w:cs="Calibri"/>
          <w:color w:val="CE9178"/>
          <w:sz w:val="18"/>
          <w:szCs w:val="18"/>
          <w:lang w:eastAsia="zh-CN"/>
        </w:rPr>
        <w:t>ồ</w:t>
      </w:r>
      <w:r w:rsidRPr="00493DE3">
        <w:rPr>
          <w:rFonts w:ascii="Menlo" w:eastAsia="Times New Roman" w:hAnsi="Menlo" w:cs="Menlo"/>
          <w:color w:val="CE9178"/>
          <w:sz w:val="18"/>
          <w:szCs w:val="18"/>
          <w:lang w:eastAsia="zh-CN"/>
        </w:rPr>
        <w:t>n lực quy</w:t>
      </w:r>
      <w:r w:rsidRPr="00493DE3">
        <w:rPr>
          <w:rFonts w:ascii="Calibri" w:eastAsia="Times New Roman" w:hAnsi="Calibri" w:cs="Calibri"/>
          <w:color w:val="CE9178"/>
          <w:sz w:val="18"/>
          <w:szCs w:val="18"/>
          <w:lang w:eastAsia="zh-CN"/>
        </w:rPr>
        <w:t>ế</w:t>
      </w:r>
      <w:r w:rsidRPr="00493DE3">
        <w:rPr>
          <w:rFonts w:ascii="Menlo" w:eastAsia="Times New Roman" w:hAnsi="Menlo" w:cs="Menlo"/>
          <w:color w:val="CE9178"/>
          <w:sz w:val="18"/>
          <w:szCs w:val="18"/>
          <w:lang w:eastAsia="zh-CN"/>
        </w:rPr>
        <w:t>t định khi nào nên b</w:t>
      </w:r>
      <w:r w:rsidRPr="00493DE3">
        <w:rPr>
          <w:rFonts w:ascii="Calibri" w:eastAsia="Times New Roman" w:hAnsi="Calibri" w:cs="Calibri"/>
          <w:color w:val="CE9178"/>
          <w:sz w:val="18"/>
          <w:szCs w:val="18"/>
          <w:lang w:eastAsia="zh-CN"/>
        </w:rPr>
        <w:t>ắ</w:t>
      </w:r>
      <w:r w:rsidRPr="00493DE3">
        <w:rPr>
          <w:rFonts w:ascii="Menlo" w:eastAsia="Times New Roman" w:hAnsi="Menlo" w:cs="Menlo"/>
          <w:color w:val="CE9178"/>
          <w:sz w:val="18"/>
          <w:szCs w:val="18"/>
          <w:lang w:eastAsia="zh-CN"/>
        </w:rPr>
        <w:t>t đ</w:t>
      </w:r>
      <w:r w:rsidRPr="00493DE3">
        <w:rPr>
          <w:rFonts w:ascii="Calibri" w:eastAsia="Times New Roman" w:hAnsi="Calibri" w:cs="Calibri"/>
          <w:color w:val="CE9178"/>
          <w:sz w:val="18"/>
          <w:szCs w:val="18"/>
          <w:lang w:eastAsia="zh-CN"/>
        </w:rPr>
        <w:t>ầ</w:t>
      </w:r>
      <w:r w:rsidRPr="00493DE3">
        <w:rPr>
          <w:rFonts w:ascii="Menlo" w:eastAsia="Times New Roman" w:hAnsi="Menlo" w:cs="Menlo"/>
          <w:color w:val="CE9178"/>
          <w:sz w:val="18"/>
          <w:szCs w:val="18"/>
          <w:lang w:eastAsia="zh-CN"/>
        </w:rPr>
        <w:t>u dùng thu</w:t>
      </w:r>
      <w:r w:rsidRPr="00493DE3">
        <w:rPr>
          <w:rFonts w:ascii="Calibri" w:eastAsia="Times New Roman" w:hAnsi="Calibri" w:cs="Calibri"/>
          <w:color w:val="CE9178"/>
          <w:sz w:val="18"/>
          <w:szCs w:val="18"/>
          <w:lang w:eastAsia="zh-CN"/>
        </w:rPr>
        <w:t>ố</w:t>
      </w:r>
      <w:r w:rsidRPr="00493DE3">
        <w:rPr>
          <w:rFonts w:ascii="Menlo" w:eastAsia="Times New Roman" w:hAnsi="Menlo" w:cs="Menlo"/>
          <w:color w:val="CE9178"/>
          <w:sz w:val="18"/>
          <w:szCs w:val="18"/>
          <w:lang w:eastAsia="zh-CN"/>
        </w:rPr>
        <w:t>c kháng vi rút.</w:t>
      </w:r>
    </w:p>
    <w:p w14:paraId="4167C224" w14:textId="7897B4EB" w:rsidR="00493DE3" w:rsidRDefault="00493DE3" w:rsidP="00CE2DFC"/>
    <w:p w14:paraId="2C16993B" w14:textId="77777777" w:rsidR="00DF7CF2" w:rsidRPr="00DF7CF2" w:rsidRDefault="00DF7CF2" w:rsidP="00DF7CF2">
      <w:pPr>
        <w:shd w:val="clear" w:color="auto" w:fill="1E1E1E"/>
        <w:spacing w:after="0" w:line="270" w:lineRule="atLeast"/>
        <w:rPr>
          <w:rFonts w:ascii="Menlo" w:eastAsia="Times New Roman" w:hAnsi="Menlo" w:cs="Menlo"/>
          <w:color w:val="D4D4D4"/>
          <w:sz w:val="18"/>
          <w:szCs w:val="18"/>
          <w:lang w:eastAsia="zh-CN"/>
        </w:rPr>
      </w:pPr>
      <w:r w:rsidRPr="00DF7CF2">
        <w:rPr>
          <w:rFonts w:ascii="Menlo" w:eastAsia="Times New Roman" w:hAnsi="Menlo" w:cs="Menlo"/>
          <w:color w:val="CE9178"/>
          <w:sz w:val="18"/>
          <w:szCs w:val="18"/>
          <w:lang w:eastAsia="zh-CN"/>
        </w:rPr>
        <w:t>hãy b</w:t>
      </w:r>
      <w:r w:rsidRPr="00DF7CF2">
        <w:rPr>
          <w:rFonts w:ascii="Calibri" w:eastAsia="Times New Roman" w:hAnsi="Calibri" w:cs="Calibri"/>
          <w:color w:val="CE9178"/>
          <w:sz w:val="18"/>
          <w:szCs w:val="18"/>
          <w:lang w:eastAsia="zh-CN"/>
        </w:rPr>
        <w:t>ấ</w:t>
      </w:r>
      <w:r w:rsidRPr="00DF7CF2">
        <w:rPr>
          <w:rFonts w:ascii="Menlo" w:eastAsia="Times New Roman" w:hAnsi="Menlo" w:cs="Menlo"/>
          <w:color w:val="CE9178"/>
          <w:sz w:val="18"/>
          <w:szCs w:val="18"/>
          <w:lang w:eastAsia="zh-CN"/>
        </w:rPr>
        <w:t>m vào đây</w:t>
      </w:r>
    </w:p>
    <w:p w14:paraId="6F049979" w14:textId="77777777" w:rsidR="00DF7CF2" w:rsidRDefault="00DF7CF2" w:rsidP="00CE2DFC"/>
    <w:p w14:paraId="4355A540" w14:textId="3D3F5334" w:rsidR="00CE2DFC" w:rsidRDefault="00CE2DFC" w:rsidP="00CE2DFC">
      <w:r>
        <w:t xml:space="preserve">To access the treatment decision tool based on and adapted from the 2018 hepatitis B treatment guidelines from the American Association for the Study of Liver Diseases (AASLD). </w:t>
      </w:r>
      <w:r w:rsidRPr="00CE2DFC">
        <w:rPr>
          <w:highlight w:val="lightGray"/>
        </w:rPr>
        <w:t>Enter</w:t>
      </w:r>
    </w:p>
    <w:p w14:paraId="7B543190" w14:textId="77777777" w:rsidR="00C74A01" w:rsidRPr="00C74A01" w:rsidRDefault="00C74A01" w:rsidP="00C74A01">
      <w:pPr>
        <w:shd w:val="clear" w:color="auto" w:fill="1E1E1E"/>
        <w:spacing w:after="0" w:line="270" w:lineRule="atLeast"/>
        <w:rPr>
          <w:rFonts w:ascii="Menlo" w:eastAsia="Times New Roman" w:hAnsi="Menlo" w:cs="Menlo"/>
          <w:color w:val="D4D4D4"/>
          <w:sz w:val="18"/>
          <w:szCs w:val="18"/>
          <w:lang w:eastAsia="zh-CN"/>
        </w:rPr>
      </w:pPr>
      <w:r w:rsidRPr="00C74A01">
        <w:rPr>
          <w:rFonts w:ascii="Menlo" w:eastAsia="Times New Roman" w:hAnsi="Menlo" w:cs="Menlo"/>
          <w:color w:val="CE9178"/>
          <w:sz w:val="18"/>
          <w:szCs w:val="18"/>
          <w:lang w:eastAsia="zh-CN"/>
        </w:rPr>
        <w:t>Đ</w:t>
      </w:r>
      <w:r w:rsidRPr="00C74A01">
        <w:rPr>
          <w:rFonts w:ascii="Calibri" w:eastAsia="Times New Roman" w:hAnsi="Calibri" w:cs="Calibri"/>
          <w:color w:val="CE9178"/>
          <w:sz w:val="18"/>
          <w:szCs w:val="18"/>
          <w:lang w:eastAsia="zh-CN"/>
        </w:rPr>
        <w:t>ể</w:t>
      </w:r>
      <w:r w:rsidRPr="00C74A01">
        <w:rPr>
          <w:rFonts w:ascii="Menlo" w:eastAsia="Times New Roman" w:hAnsi="Menlo" w:cs="Menlo"/>
          <w:color w:val="CE9178"/>
          <w:sz w:val="18"/>
          <w:szCs w:val="18"/>
          <w:lang w:eastAsia="zh-CN"/>
        </w:rPr>
        <w:t xml:space="preserve"> s</w:t>
      </w:r>
      <w:r w:rsidRPr="00C74A01">
        <w:rPr>
          <w:rFonts w:ascii="Calibri" w:eastAsia="Times New Roman" w:hAnsi="Calibri" w:cs="Calibri"/>
          <w:color w:val="CE9178"/>
          <w:sz w:val="18"/>
          <w:szCs w:val="18"/>
          <w:lang w:eastAsia="zh-CN"/>
        </w:rPr>
        <w:t>ử</w:t>
      </w:r>
      <w:r w:rsidRPr="00C74A01">
        <w:rPr>
          <w:rFonts w:ascii="Menlo" w:eastAsia="Times New Roman" w:hAnsi="Menlo" w:cs="Menlo"/>
          <w:color w:val="CE9178"/>
          <w:sz w:val="18"/>
          <w:szCs w:val="18"/>
          <w:lang w:eastAsia="zh-CN"/>
        </w:rPr>
        <w:t xml:space="preserve"> dụng Công cụ h</w:t>
      </w:r>
      <w:r w:rsidRPr="00C74A01">
        <w:rPr>
          <w:rFonts w:ascii="Calibri" w:eastAsia="Times New Roman" w:hAnsi="Calibri" w:cs="Calibri"/>
          <w:color w:val="CE9178"/>
          <w:sz w:val="18"/>
          <w:szCs w:val="18"/>
          <w:lang w:eastAsia="zh-CN"/>
        </w:rPr>
        <w:t>ỗ</w:t>
      </w:r>
      <w:r w:rsidRPr="00C74A01">
        <w:rPr>
          <w:rFonts w:ascii="Menlo" w:eastAsia="Times New Roman" w:hAnsi="Menlo" w:cs="Menlo"/>
          <w:color w:val="CE9178"/>
          <w:sz w:val="18"/>
          <w:szCs w:val="18"/>
          <w:lang w:eastAsia="zh-CN"/>
        </w:rPr>
        <w:t xml:space="preserve"> trợ quy</w:t>
      </w:r>
      <w:r w:rsidRPr="00C74A01">
        <w:rPr>
          <w:rFonts w:ascii="Calibri" w:eastAsia="Times New Roman" w:hAnsi="Calibri" w:cs="Calibri"/>
          <w:color w:val="CE9178"/>
          <w:sz w:val="18"/>
          <w:szCs w:val="18"/>
          <w:lang w:eastAsia="zh-CN"/>
        </w:rPr>
        <w:t>ế</w:t>
      </w:r>
      <w:r w:rsidRPr="00C74A01">
        <w:rPr>
          <w:rFonts w:ascii="Menlo" w:eastAsia="Times New Roman" w:hAnsi="Menlo" w:cs="Menlo"/>
          <w:color w:val="CE9178"/>
          <w:sz w:val="18"/>
          <w:szCs w:val="18"/>
          <w:lang w:eastAsia="zh-CN"/>
        </w:rPr>
        <w:t>t định đi</w:t>
      </w:r>
      <w:r w:rsidRPr="00C74A01">
        <w:rPr>
          <w:rFonts w:ascii="Calibri" w:eastAsia="Times New Roman" w:hAnsi="Calibri" w:cs="Calibri"/>
          <w:color w:val="CE9178"/>
          <w:sz w:val="18"/>
          <w:szCs w:val="18"/>
          <w:lang w:eastAsia="zh-CN"/>
        </w:rPr>
        <w:t>ề</w:t>
      </w:r>
      <w:r w:rsidRPr="00C74A01">
        <w:rPr>
          <w:rFonts w:ascii="Menlo" w:eastAsia="Times New Roman" w:hAnsi="Menlo" w:cs="Menlo"/>
          <w:color w:val="CE9178"/>
          <w:sz w:val="18"/>
          <w:szCs w:val="18"/>
          <w:lang w:eastAsia="zh-CN"/>
        </w:rPr>
        <w:t>u trị cho bệnh nhân viêm gan B dựa trên Hướng d</w:t>
      </w:r>
      <w:r w:rsidRPr="00C74A01">
        <w:rPr>
          <w:rFonts w:ascii="Calibri" w:eastAsia="Times New Roman" w:hAnsi="Calibri" w:cs="Calibri"/>
          <w:color w:val="CE9178"/>
          <w:sz w:val="18"/>
          <w:szCs w:val="18"/>
          <w:lang w:eastAsia="zh-CN"/>
        </w:rPr>
        <w:t>ẫ</w:t>
      </w:r>
      <w:r w:rsidRPr="00C74A01">
        <w:rPr>
          <w:rFonts w:ascii="Menlo" w:eastAsia="Times New Roman" w:hAnsi="Menlo" w:cs="Menlo"/>
          <w:color w:val="CE9178"/>
          <w:sz w:val="18"/>
          <w:szCs w:val="18"/>
          <w:lang w:eastAsia="zh-CN"/>
        </w:rPr>
        <w:t>n c</w:t>
      </w:r>
      <w:r w:rsidRPr="00C74A01">
        <w:rPr>
          <w:rFonts w:ascii="Calibri" w:eastAsia="Times New Roman" w:hAnsi="Calibri" w:cs="Calibri"/>
          <w:color w:val="CE9178"/>
          <w:sz w:val="18"/>
          <w:szCs w:val="18"/>
          <w:lang w:eastAsia="zh-CN"/>
        </w:rPr>
        <w:t>ủ</w:t>
      </w:r>
      <w:r w:rsidRPr="00C74A01">
        <w:rPr>
          <w:rFonts w:ascii="Menlo" w:eastAsia="Times New Roman" w:hAnsi="Menlo" w:cs="Menlo"/>
          <w:color w:val="CE9178"/>
          <w:sz w:val="18"/>
          <w:szCs w:val="18"/>
          <w:lang w:eastAsia="zh-CN"/>
        </w:rPr>
        <w:t>a Hiệp hội nghiên cứu các bệnh v</w:t>
      </w:r>
      <w:r w:rsidRPr="00C74A01">
        <w:rPr>
          <w:rFonts w:ascii="Calibri" w:eastAsia="Times New Roman" w:hAnsi="Calibri" w:cs="Calibri"/>
          <w:color w:val="CE9178"/>
          <w:sz w:val="18"/>
          <w:szCs w:val="18"/>
          <w:lang w:eastAsia="zh-CN"/>
        </w:rPr>
        <w:t>ề</w:t>
      </w:r>
      <w:r w:rsidRPr="00C74A01">
        <w:rPr>
          <w:rFonts w:ascii="Menlo" w:eastAsia="Times New Roman" w:hAnsi="Menlo" w:cs="Menlo"/>
          <w:color w:val="CE9178"/>
          <w:sz w:val="18"/>
          <w:szCs w:val="18"/>
          <w:lang w:eastAsia="zh-CN"/>
        </w:rPr>
        <w:t xml:space="preserve"> gan tại Hoa Kỳ (AASLD).</w:t>
      </w:r>
    </w:p>
    <w:p w14:paraId="433AFA8E" w14:textId="22A54BEE" w:rsidR="00CE2DFC" w:rsidRDefault="00CE2DFC" w:rsidP="00CE2DFC"/>
    <w:p w14:paraId="68AF005E" w14:textId="77777777" w:rsidR="00DF7CF2" w:rsidRPr="00DF7CF2" w:rsidRDefault="00DF7CF2" w:rsidP="00DF7CF2">
      <w:pPr>
        <w:shd w:val="clear" w:color="auto" w:fill="1E1E1E"/>
        <w:spacing w:after="0" w:line="270" w:lineRule="atLeast"/>
        <w:rPr>
          <w:rFonts w:ascii="Menlo" w:eastAsia="Times New Roman" w:hAnsi="Menlo" w:cs="Menlo"/>
          <w:color w:val="D4D4D4"/>
          <w:sz w:val="18"/>
          <w:szCs w:val="18"/>
          <w:lang w:eastAsia="zh-CN"/>
        </w:rPr>
      </w:pPr>
      <w:r w:rsidRPr="00DF7CF2">
        <w:rPr>
          <w:rFonts w:ascii="Menlo" w:eastAsia="Times New Roman" w:hAnsi="Menlo" w:cs="Menlo"/>
          <w:color w:val="CE9178"/>
          <w:sz w:val="18"/>
          <w:szCs w:val="18"/>
          <w:lang w:eastAsia="zh-CN"/>
        </w:rPr>
        <w:t>hãy b</w:t>
      </w:r>
      <w:r w:rsidRPr="00DF7CF2">
        <w:rPr>
          <w:rFonts w:ascii="Calibri" w:eastAsia="Times New Roman" w:hAnsi="Calibri" w:cs="Calibri"/>
          <w:color w:val="CE9178"/>
          <w:sz w:val="18"/>
          <w:szCs w:val="18"/>
          <w:lang w:eastAsia="zh-CN"/>
        </w:rPr>
        <w:t>ấ</w:t>
      </w:r>
      <w:r w:rsidRPr="00DF7CF2">
        <w:rPr>
          <w:rFonts w:ascii="Menlo" w:eastAsia="Times New Roman" w:hAnsi="Menlo" w:cs="Menlo"/>
          <w:color w:val="CE9178"/>
          <w:sz w:val="18"/>
          <w:szCs w:val="18"/>
          <w:lang w:eastAsia="zh-CN"/>
        </w:rPr>
        <w:t>m vào đây</w:t>
      </w:r>
    </w:p>
    <w:p w14:paraId="3A5EBCDB" w14:textId="77777777" w:rsidR="00DF7CF2" w:rsidRDefault="00DF7CF2" w:rsidP="00CE2DFC"/>
    <w:p w14:paraId="12D91A3E" w14:textId="40B0BF90" w:rsidR="00CE2DFC" w:rsidRPr="00CE2DFC" w:rsidRDefault="00CE2DFC" w:rsidP="00CE2DFC">
      <w:pPr>
        <w:rPr>
          <w:b/>
          <w:bCs/>
        </w:rPr>
      </w:pPr>
      <w:r w:rsidRPr="00CE2DFC">
        <w:rPr>
          <w:b/>
          <w:bCs/>
        </w:rPr>
        <w:t>WHO Treatment Guidelines page</w:t>
      </w:r>
    </w:p>
    <w:p w14:paraId="2DD07A57" w14:textId="725D2467" w:rsidR="00CE2DFC" w:rsidRDefault="00CE2DFC" w:rsidP="00CE2DFC">
      <w:pPr>
        <w:rPr>
          <w:b/>
          <w:bCs/>
        </w:rPr>
      </w:pPr>
      <w:r w:rsidRPr="00CE2DFC">
        <w:rPr>
          <w:b/>
          <w:bCs/>
        </w:rPr>
        <w:t>1 Does your patient have CIRRHOSIS?</w:t>
      </w:r>
    </w:p>
    <w:p w14:paraId="225EE6B1" w14:textId="77777777" w:rsidR="00654AD8" w:rsidRPr="00654AD8" w:rsidRDefault="00654AD8" w:rsidP="00654AD8">
      <w:pPr>
        <w:shd w:val="clear" w:color="auto" w:fill="1E1E1E"/>
        <w:spacing w:after="0" w:line="270" w:lineRule="atLeast"/>
        <w:rPr>
          <w:rFonts w:ascii="Menlo" w:eastAsia="Times New Roman" w:hAnsi="Menlo" w:cs="Menlo"/>
          <w:color w:val="D4D4D4"/>
          <w:sz w:val="18"/>
          <w:szCs w:val="18"/>
          <w:lang w:eastAsia="zh-CN"/>
        </w:rPr>
      </w:pPr>
      <w:r w:rsidRPr="00654AD8">
        <w:rPr>
          <w:rFonts w:ascii="Menlo" w:eastAsia="Times New Roman" w:hAnsi="Menlo" w:cs="Menlo"/>
          <w:color w:val="CE9178"/>
          <w:sz w:val="18"/>
          <w:szCs w:val="18"/>
          <w:lang w:eastAsia="zh-CN"/>
        </w:rPr>
        <w:t>Bệnh nhân có XƠ GAN?</w:t>
      </w:r>
    </w:p>
    <w:p w14:paraId="7A4A7F32" w14:textId="77777777" w:rsidR="00654AD8" w:rsidRPr="00CE2DFC" w:rsidRDefault="00654AD8" w:rsidP="00CE2DFC">
      <w:pPr>
        <w:rPr>
          <w:b/>
          <w:bCs/>
        </w:rPr>
      </w:pPr>
    </w:p>
    <w:p w14:paraId="31F22FD3" w14:textId="673746CC" w:rsidR="00CE2DFC" w:rsidRDefault="00CE2DFC" w:rsidP="00CE2DFC">
      <w:r>
        <w:t>Yes</w:t>
      </w:r>
      <w:r w:rsidR="00350264">
        <w:t xml:space="preserve"> </w:t>
      </w:r>
    </w:p>
    <w:p w14:paraId="799B19C2" w14:textId="77777777" w:rsidR="00350264" w:rsidRPr="00350264" w:rsidRDefault="00350264" w:rsidP="00350264">
      <w:pPr>
        <w:shd w:val="clear" w:color="auto" w:fill="1E1E1E"/>
        <w:spacing w:after="0" w:line="270" w:lineRule="atLeast"/>
        <w:rPr>
          <w:rFonts w:ascii="Menlo" w:eastAsia="Times New Roman" w:hAnsi="Menlo" w:cs="Menlo"/>
          <w:color w:val="D4D4D4"/>
          <w:sz w:val="18"/>
          <w:szCs w:val="18"/>
          <w:lang w:eastAsia="zh-CN"/>
        </w:rPr>
      </w:pPr>
      <w:r w:rsidRPr="00350264">
        <w:rPr>
          <w:rFonts w:ascii="Menlo" w:eastAsia="Times New Roman" w:hAnsi="Menlo" w:cs="Menlo"/>
          <w:color w:val="CE9178"/>
          <w:sz w:val="18"/>
          <w:szCs w:val="18"/>
          <w:lang w:eastAsia="zh-CN"/>
        </w:rPr>
        <w:t>Có</w:t>
      </w:r>
    </w:p>
    <w:p w14:paraId="4EA3F8AB" w14:textId="77777777" w:rsidR="00350264" w:rsidRDefault="00350264" w:rsidP="00CE2DFC"/>
    <w:p w14:paraId="332191C9" w14:textId="4E381A7E" w:rsidR="00CE2DFC" w:rsidRDefault="00CE2DFC" w:rsidP="00CE2DFC">
      <w:r>
        <w:t>No</w:t>
      </w:r>
    </w:p>
    <w:p w14:paraId="3D2CB968" w14:textId="77777777" w:rsidR="00350264" w:rsidRPr="00350264" w:rsidRDefault="00350264" w:rsidP="00350264">
      <w:pPr>
        <w:shd w:val="clear" w:color="auto" w:fill="1E1E1E"/>
        <w:spacing w:after="0" w:line="270" w:lineRule="atLeast"/>
        <w:rPr>
          <w:rFonts w:ascii="Menlo" w:eastAsia="Times New Roman" w:hAnsi="Menlo" w:cs="Menlo"/>
          <w:color w:val="D4D4D4"/>
          <w:sz w:val="18"/>
          <w:szCs w:val="18"/>
          <w:lang w:eastAsia="zh-CN"/>
        </w:rPr>
      </w:pPr>
      <w:r w:rsidRPr="00350264">
        <w:rPr>
          <w:rFonts w:ascii="Menlo" w:eastAsia="Times New Roman" w:hAnsi="Menlo" w:cs="Menlo"/>
          <w:color w:val="CE9178"/>
          <w:sz w:val="18"/>
          <w:szCs w:val="18"/>
          <w:lang w:eastAsia="zh-CN"/>
        </w:rPr>
        <w:t>Không</w:t>
      </w:r>
    </w:p>
    <w:p w14:paraId="595D26B8" w14:textId="77777777" w:rsidR="00350264" w:rsidRDefault="00350264" w:rsidP="00CE2DFC"/>
    <w:p w14:paraId="7743D79E" w14:textId="57B1DD5D" w:rsidR="00CE2DFC" w:rsidRDefault="00CE2DFC" w:rsidP="00CE2DFC">
      <w:r w:rsidRPr="00EB11BC">
        <w:rPr>
          <w:highlight w:val="lightGray"/>
        </w:rPr>
        <w:t>If you don’t know, tap here to APRI and FIB-4 Calculator</w:t>
      </w:r>
    </w:p>
    <w:p w14:paraId="7DC9FBAB" w14:textId="77777777" w:rsidR="00CE2DFC" w:rsidRDefault="00CE2DFC" w:rsidP="00CE2DFC"/>
    <w:p w14:paraId="00B3B619" w14:textId="6F479847" w:rsidR="00CE2DFC" w:rsidRDefault="00CE2DFC" w:rsidP="00CE2DFC">
      <w:pPr>
        <w:rPr>
          <w:b/>
          <w:bCs/>
        </w:rPr>
      </w:pPr>
      <w:r w:rsidRPr="00CE2DFC">
        <w:rPr>
          <w:b/>
          <w:bCs/>
        </w:rPr>
        <w:t>2 What is your patient's ALT level?</w:t>
      </w:r>
    </w:p>
    <w:p w14:paraId="272F3BA2" w14:textId="77777777" w:rsidR="00015299" w:rsidRPr="00015299" w:rsidRDefault="00015299" w:rsidP="00015299">
      <w:pPr>
        <w:shd w:val="clear" w:color="auto" w:fill="1E1E1E"/>
        <w:spacing w:after="0" w:line="270" w:lineRule="atLeast"/>
        <w:rPr>
          <w:rFonts w:ascii="Menlo" w:eastAsia="Times New Roman" w:hAnsi="Menlo" w:cs="Menlo"/>
          <w:color w:val="D4D4D4"/>
          <w:sz w:val="18"/>
          <w:szCs w:val="18"/>
          <w:lang w:eastAsia="zh-CN"/>
        </w:rPr>
      </w:pPr>
      <w:r w:rsidRPr="00015299">
        <w:rPr>
          <w:rFonts w:ascii="Menlo" w:eastAsia="Times New Roman" w:hAnsi="Menlo" w:cs="Menlo"/>
          <w:color w:val="CE9178"/>
          <w:sz w:val="18"/>
          <w:szCs w:val="18"/>
          <w:lang w:eastAsia="zh-CN"/>
        </w:rPr>
        <w:t>Mức ALT c</w:t>
      </w:r>
      <w:r w:rsidRPr="00015299">
        <w:rPr>
          <w:rFonts w:ascii="Calibri" w:eastAsia="Times New Roman" w:hAnsi="Calibri" w:cs="Calibri"/>
          <w:color w:val="CE9178"/>
          <w:sz w:val="18"/>
          <w:szCs w:val="18"/>
          <w:lang w:eastAsia="zh-CN"/>
        </w:rPr>
        <w:t>ủ</w:t>
      </w:r>
      <w:r w:rsidRPr="00015299">
        <w:rPr>
          <w:rFonts w:ascii="Menlo" w:eastAsia="Times New Roman" w:hAnsi="Menlo" w:cs="Menlo"/>
          <w:color w:val="CE9178"/>
          <w:sz w:val="18"/>
          <w:szCs w:val="18"/>
          <w:lang w:eastAsia="zh-CN"/>
        </w:rPr>
        <w:t>a bệnh nhân?</w:t>
      </w:r>
    </w:p>
    <w:p w14:paraId="28A9DCD2" w14:textId="77777777" w:rsidR="00015299" w:rsidRPr="00CE2DFC" w:rsidRDefault="00015299" w:rsidP="00CE2DFC">
      <w:pPr>
        <w:rPr>
          <w:b/>
          <w:bCs/>
        </w:rPr>
      </w:pPr>
    </w:p>
    <w:p w14:paraId="095D8D90" w14:textId="77777777" w:rsidR="00CE2DFC" w:rsidRDefault="00CE2DFC" w:rsidP="00CE2DFC">
      <w:r>
        <w:t>Persistently Normal</w:t>
      </w:r>
    </w:p>
    <w:p w14:paraId="650C94CB" w14:textId="77777777" w:rsidR="00CE2DFC" w:rsidRDefault="00CE2DFC" w:rsidP="00CE2DFC">
      <w:r>
        <w:t>Intermittently Abnormal</w:t>
      </w:r>
    </w:p>
    <w:p w14:paraId="2EB52007" w14:textId="77777777" w:rsidR="00CE2DFC" w:rsidRDefault="00CE2DFC" w:rsidP="00CE2DFC">
      <w:r>
        <w:t>Persistently Abnormal</w:t>
      </w:r>
    </w:p>
    <w:p w14:paraId="759A7A77" w14:textId="77777777" w:rsidR="00CE2DFC" w:rsidRDefault="00CE2DFC" w:rsidP="00CE2DFC">
      <w:r>
        <w:t>( &gt; 60 U/L in man, &gt; 40 U/L in women)</w:t>
      </w:r>
    </w:p>
    <w:p w14:paraId="425923D6" w14:textId="77777777" w:rsidR="00CE2DFC" w:rsidRDefault="00CE2DFC" w:rsidP="00CE2DFC"/>
    <w:p w14:paraId="70C0A547" w14:textId="77777777" w:rsidR="00CE2DFC" w:rsidRPr="00CE2DFC" w:rsidRDefault="00CE2DFC" w:rsidP="00CE2DFC">
      <w:pPr>
        <w:rPr>
          <w:b/>
          <w:bCs/>
        </w:rPr>
      </w:pPr>
      <w:r w:rsidRPr="00CE2DFC">
        <w:rPr>
          <w:b/>
          <w:bCs/>
        </w:rPr>
        <w:t>3 What is your patient's HBV DNA level?</w:t>
      </w:r>
    </w:p>
    <w:p w14:paraId="29917B26" w14:textId="77777777" w:rsidR="00CE2DFC" w:rsidRDefault="00CE2DFC" w:rsidP="00CE2DFC">
      <w:r>
        <w:t>Undetectable</w:t>
      </w:r>
    </w:p>
    <w:p w14:paraId="4D2E1913" w14:textId="77777777" w:rsidR="00CE2DFC" w:rsidRDefault="00CE2DFC" w:rsidP="00CE2DFC">
      <w:r>
        <w:t>&lt;  2000 IU/mL</w:t>
      </w:r>
    </w:p>
    <w:p w14:paraId="7C84D78C" w14:textId="77777777" w:rsidR="00CE2DFC" w:rsidRDefault="00CE2DFC" w:rsidP="00CE2DFC">
      <w:r>
        <w:t>2000 ~ 20,000 IU/mL</w:t>
      </w:r>
    </w:p>
    <w:p w14:paraId="0F4E1A69" w14:textId="77777777" w:rsidR="00CE2DFC" w:rsidRDefault="00CE2DFC" w:rsidP="00CE2DFC">
      <w:r>
        <w:t>≥  20,000 IU/mL</w:t>
      </w:r>
    </w:p>
    <w:p w14:paraId="4257EE0F" w14:textId="77777777" w:rsidR="00CE2DFC" w:rsidRDefault="00CE2DFC" w:rsidP="00CE2DFC"/>
    <w:p w14:paraId="61748C54" w14:textId="0BD8C947" w:rsidR="00CE2DFC" w:rsidRDefault="00CE2DFC" w:rsidP="00CE2DFC">
      <w:r w:rsidRPr="00CE2DFC">
        <w:rPr>
          <w:highlight w:val="lightGray"/>
        </w:rPr>
        <w:t>Submit</w:t>
      </w:r>
    </w:p>
    <w:p w14:paraId="139A2AE7" w14:textId="77777777" w:rsidR="00CE2DFC" w:rsidRDefault="00CE2DFC" w:rsidP="00CE2DFC">
      <w:pPr>
        <w:rPr>
          <w:b/>
          <w:bCs/>
        </w:rPr>
      </w:pPr>
      <w:r w:rsidRPr="006D6B77">
        <w:rPr>
          <w:b/>
          <w:bCs/>
        </w:rPr>
        <w:t>WHO Treatment Recommended page</w:t>
      </w:r>
    </w:p>
    <w:p w14:paraId="1C6CA54E" w14:textId="123C459C" w:rsidR="00CE2DFC" w:rsidRDefault="00CE2DFC" w:rsidP="00CE2DFC">
      <w:pPr>
        <w:rPr>
          <w:b/>
          <w:bCs/>
        </w:rPr>
      </w:pPr>
      <w:r>
        <w:rPr>
          <w:b/>
          <w:bCs/>
        </w:rPr>
        <w:t>Recommendation: Treatment</w:t>
      </w:r>
      <w:r w:rsidR="00425830">
        <w:rPr>
          <w:b/>
          <w:bCs/>
        </w:rPr>
        <w:tab/>
      </w:r>
      <w:r w:rsidR="00425830">
        <w:rPr>
          <w:b/>
          <w:bCs/>
        </w:rPr>
        <w:tab/>
      </w:r>
      <w:r w:rsidR="00425830" w:rsidRPr="00425830">
        <w:rPr>
          <w:b/>
          <w:bCs/>
        </w:rPr>
        <w:t>Khuyến nghị: Điều trị</w:t>
      </w:r>
    </w:p>
    <w:p w14:paraId="0F0E5C75" w14:textId="77777777" w:rsidR="00CE2DFC" w:rsidRDefault="00CE2DFC" w:rsidP="00CE2DFC">
      <w:pPr>
        <w:rPr>
          <w:b/>
          <w:bCs/>
        </w:rPr>
      </w:pPr>
    </w:p>
    <w:p w14:paraId="34FDB40B" w14:textId="1D3536CF" w:rsidR="00CE2DFC" w:rsidRDefault="00CE2DFC" w:rsidP="00CE2DFC">
      <w:pPr>
        <w:rPr>
          <w:b/>
          <w:bCs/>
        </w:rPr>
      </w:pPr>
      <w:r w:rsidRPr="006D6B77">
        <w:rPr>
          <w:b/>
          <w:bCs/>
        </w:rPr>
        <w:t>The result shows antiviral treatment is indicated at this time</w:t>
      </w:r>
    </w:p>
    <w:p w14:paraId="1D8453AE" w14:textId="366E9A38" w:rsidR="00425830" w:rsidRPr="006D6B77" w:rsidRDefault="00425830" w:rsidP="00CE2DFC">
      <w:pPr>
        <w:rPr>
          <w:b/>
          <w:bCs/>
        </w:rPr>
      </w:pPr>
      <w:r w:rsidRPr="00425830">
        <w:rPr>
          <w:b/>
          <w:bCs/>
        </w:rPr>
        <w:t>Kết quả khuyến nghị chỉ định điều trị thuốc kháng vi rút</w:t>
      </w:r>
    </w:p>
    <w:p w14:paraId="03F0E50A" w14:textId="62F2D378" w:rsidR="00CE2DFC" w:rsidRDefault="00CE2DFC" w:rsidP="00CE2DFC">
      <w:pPr>
        <w:rPr>
          <w:b/>
          <w:bCs/>
        </w:rPr>
      </w:pPr>
      <w:r w:rsidRPr="006D6B77">
        <w:rPr>
          <w:b/>
          <w:bCs/>
        </w:rPr>
        <w:t>Entecavir (ETV 0.5 mg/pill/day) or Tenofovir disoproxil fumarate (TDF 300mg/pill/day) or Tenofovir alafenamide fumarate (TAF 25mg/pill/day) are the recommended first line treatment because of their potency and low risk of developing drug resistance.</w:t>
      </w:r>
    </w:p>
    <w:p w14:paraId="18A79277" w14:textId="07B904FD" w:rsidR="00425830" w:rsidRPr="006D6B77" w:rsidRDefault="00425830" w:rsidP="00CE2DFC">
      <w:pPr>
        <w:rPr>
          <w:b/>
          <w:bCs/>
        </w:rPr>
      </w:pPr>
      <w:r w:rsidRPr="00425830">
        <w:rPr>
          <w:b/>
          <w:bCs/>
        </w:rPr>
        <w:lastRenderedPageBreak/>
        <w:t>Entecavir (ETV 0.5mg/viên/ngày) hoặc Tenofovir disoproxil fumarate (TDF 300mg/viên/ngày) hoặc Tenofovir alafenamide fumarate (TAF 25mg/viên/ngày) là phác đồ bậc 1 ưu tiên do có hoạt tính cao và ít nguy cơ kháng thuốc.</w:t>
      </w:r>
    </w:p>
    <w:p w14:paraId="4B8F5858" w14:textId="250A68DF" w:rsidR="00CE2DFC" w:rsidRDefault="00CE2DFC" w:rsidP="00CE2DFC">
      <w:r w:rsidRPr="006D6B77">
        <w:t>The medicines act by preventing the hepatitis B virus from replicating.</w:t>
      </w:r>
    </w:p>
    <w:p w14:paraId="1B65EEA8" w14:textId="4E3DE05F" w:rsidR="00425830" w:rsidRPr="006D6B77" w:rsidRDefault="00425830" w:rsidP="00CE2DFC">
      <w:r w:rsidRPr="00425830">
        <w:t>Thuốc có tác dụng ngăn chặn sự nhân lên của vi rút</w:t>
      </w:r>
    </w:p>
    <w:p w14:paraId="553D0C26" w14:textId="346120EE" w:rsidR="00CE2DFC" w:rsidRDefault="00CE2DFC" w:rsidP="00CE2DFC">
      <w:r w:rsidRPr="006D6B77">
        <w:t>Important to take the medicine daily to prevent the development of drug resistance. Patients who had taken lamivudine and developed drug resistance should be placed on tenofovir</w:t>
      </w:r>
    </w:p>
    <w:p w14:paraId="0D3926ED" w14:textId="6E8B1437" w:rsidR="00425830" w:rsidRPr="006D6B77" w:rsidRDefault="00425830" w:rsidP="00CE2DFC">
      <w:r w:rsidRPr="00425830">
        <w:t>Cần dùng thuốc hàng ngày để tránh gây kháng thuốc. Bệnh nhân đã sử dụng lamivudine và kháng thuốc nên chuyển sang dùng tenofovir</w:t>
      </w:r>
    </w:p>
    <w:p w14:paraId="2207E207" w14:textId="7A2A8288" w:rsidR="00CE2DFC" w:rsidRDefault="00CE2DFC" w:rsidP="00CE2DFC">
      <w:r w:rsidRPr="006D6B77">
        <w:t>Duration of treatment is likely life-long. Stopping treatment can result in hepatitis flare</w:t>
      </w:r>
    </w:p>
    <w:p w14:paraId="4BDE879A" w14:textId="002B9B33" w:rsidR="00425830" w:rsidRPr="006D6B77" w:rsidRDefault="00425830" w:rsidP="00CE2DFC">
      <w:r w:rsidRPr="00425830">
        <w:t>Thời gian điều trị có thể là suốt đời. Dừng thuốc có thể gây cơn viêm gan kịch phát</w:t>
      </w:r>
      <w:r w:rsidR="007F3068">
        <w:t>.</w:t>
      </w:r>
    </w:p>
    <w:p w14:paraId="2376E051" w14:textId="77777777" w:rsidR="00CE2DFC" w:rsidRPr="006D6B77" w:rsidRDefault="00CE2DFC" w:rsidP="00CE2DFC"/>
    <w:p w14:paraId="228838A1" w14:textId="5550FD96" w:rsidR="00CE2DFC" w:rsidRPr="00BB6D61" w:rsidRDefault="00CE2DFC" w:rsidP="00CE2DFC">
      <w:pPr>
        <w:rPr>
          <w:b/>
          <w:bCs/>
        </w:rPr>
      </w:pPr>
      <w:r w:rsidRPr="006D6B77">
        <w:rPr>
          <w:b/>
          <w:bCs/>
        </w:rPr>
        <w:t xml:space="preserve">•Long-term Monitoring </w:t>
      </w:r>
      <w:r w:rsidRPr="00BB6D61">
        <w:rPr>
          <w:b/>
          <w:bCs/>
        </w:rPr>
        <w:t>Recommendations</w:t>
      </w:r>
    </w:p>
    <w:p w14:paraId="3760C705" w14:textId="77777777" w:rsidR="00BB6D61" w:rsidRPr="00BB6D61" w:rsidRDefault="00BB6D61" w:rsidP="00BB6D61">
      <w:pPr>
        <w:pStyle w:val="ListParagraph"/>
        <w:numPr>
          <w:ilvl w:val="0"/>
          <w:numId w:val="5"/>
        </w:numPr>
      </w:pPr>
      <w:r w:rsidRPr="00BB6D61">
        <w:rPr>
          <w:b/>
          <w:bCs/>
        </w:rPr>
        <w:t>Khuyến nghị về Khám theo dõi lâu dài</w:t>
      </w:r>
    </w:p>
    <w:p w14:paraId="5EF12A9D" w14:textId="3B409354" w:rsidR="00CE2DFC" w:rsidRDefault="00CE2DFC" w:rsidP="00CE2DFC">
      <w:pPr>
        <w:pStyle w:val="ListParagraph"/>
        <w:numPr>
          <w:ilvl w:val="0"/>
          <w:numId w:val="1"/>
        </w:numPr>
      </w:pPr>
      <w:r w:rsidRPr="006D6B77">
        <w:t>Blood test for ALT level to monitor for treatment response and hepatitis flare every 6 months. Blood test for creatinine every 6 -12 months to monitor kidney function if taking tenofovir.</w:t>
      </w:r>
    </w:p>
    <w:p w14:paraId="64B46C90" w14:textId="1ED671DF" w:rsidR="00425830" w:rsidRDefault="00425830" w:rsidP="00425830">
      <w:pPr>
        <w:pStyle w:val="ListParagraph"/>
        <w:numPr>
          <w:ilvl w:val="0"/>
          <w:numId w:val="4"/>
        </w:numPr>
      </w:pPr>
      <w:r>
        <w:t>Xét nghiệm máu kiểm tra ALT để theo dõi đáp ứng điều trị 6 tháng một lần. Xét nghiệm máu kiểm tra creatinine 6 -12 một lần để theo dõi chức năng thân nếu dùng tenofovir</w:t>
      </w:r>
      <w:r w:rsidR="00BB6D61">
        <w:t>.</w:t>
      </w:r>
    </w:p>
    <w:p w14:paraId="78B5B9BC" w14:textId="77777777" w:rsidR="00425830" w:rsidRDefault="00425830" w:rsidP="00425830">
      <w:pPr>
        <w:pStyle w:val="ListParagraph"/>
        <w:ind w:left="1080"/>
      </w:pPr>
    </w:p>
    <w:p w14:paraId="46ACB26B" w14:textId="77777777" w:rsidR="00425830" w:rsidRPr="006D6B77" w:rsidRDefault="00425830" w:rsidP="00425830">
      <w:pPr>
        <w:pStyle w:val="ListParagraph"/>
        <w:ind w:left="1080"/>
      </w:pPr>
    </w:p>
    <w:p w14:paraId="64FCB6BA" w14:textId="77777777" w:rsidR="00CE2DFC" w:rsidRPr="006D6B77" w:rsidRDefault="00CE2DFC" w:rsidP="00CE2DFC">
      <w:pPr>
        <w:pStyle w:val="ListParagraph"/>
      </w:pPr>
    </w:p>
    <w:p w14:paraId="4DFAFAC6" w14:textId="030B4A52" w:rsidR="00CE2DFC" w:rsidRDefault="00CE2DFC" w:rsidP="00425830">
      <w:pPr>
        <w:pStyle w:val="ListParagraph"/>
        <w:numPr>
          <w:ilvl w:val="0"/>
          <w:numId w:val="4"/>
        </w:numPr>
      </w:pPr>
      <w:r w:rsidRPr="006D6B77">
        <w:t>Blood test for hepatitis B DNA level 3 - 6 months after starting treatment to evaluate treatment response. Repeat if ALT level becomes elevated on treatment and if feasible once a year.</w:t>
      </w:r>
    </w:p>
    <w:p w14:paraId="3FE3FE6F" w14:textId="36E60023" w:rsidR="00425830" w:rsidRPr="00245163" w:rsidRDefault="00425830" w:rsidP="00425830">
      <w:pPr>
        <w:pStyle w:val="ListParagraph"/>
        <w:numPr>
          <w:ilvl w:val="0"/>
          <w:numId w:val="1"/>
        </w:numPr>
        <w:rPr>
          <w:color w:val="ED7D31" w:themeColor="accent2"/>
        </w:rPr>
      </w:pPr>
      <w:r w:rsidRPr="00245163">
        <w:rPr>
          <w:color w:val="ED7D31" w:themeColor="accent2"/>
        </w:rPr>
        <w:t xml:space="preserve">Xét nghiệm máu </w:t>
      </w:r>
      <w:r w:rsidR="00B07A7E" w:rsidRPr="00245163">
        <w:rPr>
          <w:color w:val="ED7D31" w:themeColor="accent2"/>
        </w:rPr>
        <w:t>đo tải lượng vi rút 3-6</w:t>
      </w:r>
      <w:r w:rsidRPr="00245163">
        <w:rPr>
          <w:color w:val="ED7D31" w:themeColor="accent2"/>
        </w:rPr>
        <w:t xml:space="preserve"> tháng </w:t>
      </w:r>
      <w:r w:rsidR="00B07A7E" w:rsidRPr="00245163">
        <w:rPr>
          <w:color w:val="ED7D31" w:themeColor="accent2"/>
        </w:rPr>
        <w:t>sau điều trị để đánh giá đáp ứng điều trị</w:t>
      </w:r>
      <w:r w:rsidR="004F213C">
        <w:rPr>
          <w:color w:val="ED7D31" w:themeColor="accent2"/>
        </w:rPr>
        <w:t xml:space="preserve">. Xét nghiệm lại </w:t>
      </w:r>
      <w:r w:rsidR="00B07A7E" w:rsidRPr="00245163">
        <w:rPr>
          <w:color w:val="ED7D31" w:themeColor="accent2"/>
        </w:rPr>
        <w:t>nếu ALT tăng cao trong quá trình điều trị, và nhắc lại hàng năm nếu có thể</w:t>
      </w:r>
    </w:p>
    <w:p w14:paraId="632EEFE6" w14:textId="77777777" w:rsidR="00425830" w:rsidRPr="006D6B77" w:rsidRDefault="00425830" w:rsidP="00425830">
      <w:pPr>
        <w:pStyle w:val="ListParagraph"/>
      </w:pPr>
    </w:p>
    <w:p w14:paraId="30736BC7" w14:textId="77777777" w:rsidR="00CE2DFC" w:rsidRPr="006D6B77" w:rsidRDefault="00CE2DFC" w:rsidP="00CE2DFC">
      <w:pPr>
        <w:pStyle w:val="ListParagraph"/>
      </w:pPr>
    </w:p>
    <w:p w14:paraId="56FA6FB5" w14:textId="084B0C76" w:rsidR="00CE2DFC" w:rsidRDefault="00CE2DFC" w:rsidP="00425830">
      <w:pPr>
        <w:pStyle w:val="ListParagraph"/>
        <w:numPr>
          <w:ilvl w:val="0"/>
          <w:numId w:val="1"/>
        </w:numPr>
      </w:pPr>
      <w:r w:rsidRPr="006D6B77">
        <w:t>Blood test for alpha fetoprotein (AFP) level every 6 months and liver ultrasound every 6-12 months for liver cancer screening (Particularly important if the patient has cirrhosis or a family history of liver cancer).</w:t>
      </w:r>
    </w:p>
    <w:p w14:paraId="1AAF5895" w14:textId="77129476" w:rsidR="00425830" w:rsidRPr="00425830" w:rsidRDefault="00425830" w:rsidP="00425830">
      <w:pPr>
        <w:pStyle w:val="ListParagraph"/>
        <w:numPr>
          <w:ilvl w:val="0"/>
          <w:numId w:val="4"/>
        </w:numPr>
      </w:pPr>
      <w:r w:rsidRPr="00425830">
        <w:t>Xét nghiệm máu kiểm tra alpha fetoprotein 6 tháng một lần, siêu âm gan 6-12 tháng một lần để tầm soát ung thư gan (Đặc biệt quan trong nếu bệnh nhân bị xơ gan hoặc trong gia đình có người mắc ung thư gan)</w:t>
      </w:r>
      <w:r w:rsidR="00BB6D61">
        <w:t>.</w:t>
      </w:r>
    </w:p>
    <w:p w14:paraId="4229B5BA" w14:textId="77777777" w:rsidR="00425830" w:rsidRPr="006D6B77" w:rsidRDefault="00425830" w:rsidP="00425830">
      <w:pPr>
        <w:pStyle w:val="ListParagraph"/>
      </w:pPr>
    </w:p>
    <w:p w14:paraId="609C585B" w14:textId="77777777" w:rsidR="00CE2DFC" w:rsidRPr="006D6B77" w:rsidRDefault="00CE2DFC" w:rsidP="00CE2DFC"/>
    <w:p w14:paraId="68F68096" w14:textId="217CE340" w:rsidR="00CE2DFC" w:rsidRDefault="00CE2DFC" w:rsidP="00CE2DFC">
      <w:pPr>
        <w:pStyle w:val="ListParagraph"/>
        <w:ind w:left="0"/>
        <w:rPr>
          <w:b/>
          <w:bCs/>
        </w:rPr>
      </w:pPr>
      <w:r w:rsidRPr="00690A9C">
        <w:rPr>
          <w:b/>
          <w:bCs/>
        </w:rPr>
        <w:t xml:space="preserve">• Avoid drinking alcohol and moldy food. </w:t>
      </w:r>
      <w:r w:rsidRPr="00CE2DFC">
        <w:rPr>
          <w:b/>
          <w:bCs/>
          <w:color w:val="FF0000"/>
        </w:rPr>
        <w:t xml:space="preserve">Advise the patient to receive the hepatitis A vaccine if unprotected and the patient’s family and partner </w:t>
      </w:r>
      <w:r w:rsidRPr="00EB11BC">
        <w:rPr>
          <w:b/>
          <w:bCs/>
          <w:color w:val="FF0000"/>
        </w:rPr>
        <w:t xml:space="preserve">to get tested </w:t>
      </w:r>
      <w:r w:rsidRPr="00690A9C">
        <w:rPr>
          <w:b/>
          <w:bCs/>
        </w:rPr>
        <w:t>for hepatitis B and get vaccinated if they are not protected.</w:t>
      </w:r>
    </w:p>
    <w:p w14:paraId="4F26D787" w14:textId="135BEAE7" w:rsidR="00425830" w:rsidRPr="00690A9C" w:rsidRDefault="00425830" w:rsidP="00CE2DFC">
      <w:pPr>
        <w:pStyle w:val="ListParagraph"/>
        <w:ind w:left="0"/>
        <w:rPr>
          <w:b/>
          <w:bCs/>
        </w:rPr>
      </w:pPr>
      <w:r w:rsidRPr="00425830">
        <w:rPr>
          <w:b/>
          <w:bCs/>
        </w:rPr>
        <w:lastRenderedPageBreak/>
        <w:t xml:space="preserve">• Tránh uống rượu và thức ăn có nấm mốc. </w:t>
      </w:r>
      <w:r w:rsidRPr="00245163">
        <w:rPr>
          <w:b/>
          <w:bCs/>
          <w:color w:val="ED7D31" w:themeColor="accent2"/>
        </w:rPr>
        <w:t>T</w:t>
      </w:r>
      <w:r w:rsidR="00245163" w:rsidRPr="00245163">
        <w:rPr>
          <w:b/>
          <w:bCs/>
          <w:color w:val="ED7D31" w:themeColor="accent2"/>
        </w:rPr>
        <w:t>ư vấn cho bện nhân đi t</w:t>
      </w:r>
      <w:r w:rsidRPr="00245163">
        <w:rPr>
          <w:b/>
          <w:bCs/>
          <w:color w:val="ED7D31" w:themeColor="accent2"/>
        </w:rPr>
        <w:t>iêm vắc xin phòng viêm gan A</w:t>
      </w:r>
      <w:r w:rsidR="00245163" w:rsidRPr="00245163">
        <w:rPr>
          <w:b/>
          <w:bCs/>
          <w:color w:val="ED7D31" w:themeColor="accent2"/>
        </w:rPr>
        <w:t xml:space="preserve"> nếu chưa được bảo vệ và tư vấn cho v</w:t>
      </w:r>
      <w:r w:rsidRPr="00245163">
        <w:rPr>
          <w:b/>
          <w:bCs/>
          <w:color w:val="ED7D31" w:themeColor="accent2"/>
        </w:rPr>
        <w:t xml:space="preserve">ợ/chồng và các </w:t>
      </w:r>
      <w:r w:rsidR="00245163" w:rsidRPr="00245163">
        <w:rPr>
          <w:b/>
          <w:bCs/>
          <w:color w:val="ED7D31" w:themeColor="accent2"/>
        </w:rPr>
        <w:t>thành viên khác trong gia đình đi</w:t>
      </w:r>
      <w:r w:rsidRPr="00245163">
        <w:rPr>
          <w:b/>
          <w:bCs/>
          <w:color w:val="ED7D31" w:themeColor="accent2"/>
        </w:rPr>
        <w:t xml:space="preserve"> xét nghiệm viêm gan B và tiêm vắc xin phòng viêm gan B nếu chưa được bảo vệ.</w:t>
      </w:r>
    </w:p>
    <w:p w14:paraId="16AE5E5F" w14:textId="2321574B" w:rsidR="00CE2DFC" w:rsidRDefault="00CE2DFC" w:rsidP="00CE2DFC"/>
    <w:p w14:paraId="511E9F47" w14:textId="1ED14821" w:rsidR="00CE2DFC" w:rsidRDefault="00CE2DFC" w:rsidP="00CE2DFC"/>
    <w:p w14:paraId="5DC8CB97" w14:textId="7B374322" w:rsidR="00CE2DFC" w:rsidRDefault="00CE2DFC" w:rsidP="00CE2DFC"/>
    <w:p w14:paraId="1217630B" w14:textId="263F61DB" w:rsidR="00CE2DFC" w:rsidRDefault="00CE2DFC" w:rsidP="00CE2DFC"/>
    <w:p w14:paraId="6899E5A0" w14:textId="730B0782" w:rsidR="00CE2DFC" w:rsidRDefault="00CE2DFC" w:rsidP="00CE2DFC"/>
    <w:p w14:paraId="092C0502" w14:textId="78C8DE16" w:rsidR="00CE2DFC" w:rsidRDefault="00CE2DFC" w:rsidP="00CE2DFC"/>
    <w:p w14:paraId="4CFCF351" w14:textId="1F0F580C" w:rsidR="00CE2DFC" w:rsidRDefault="00CE2DFC" w:rsidP="00CE2DFC"/>
    <w:p w14:paraId="1BD8775A" w14:textId="77777777" w:rsidR="00CE2DFC" w:rsidRDefault="00CE2DFC" w:rsidP="00CE2DFC">
      <w:pPr>
        <w:rPr>
          <w:b/>
          <w:bCs/>
        </w:rPr>
      </w:pPr>
      <w:r w:rsidRPr="0075396D">
        <w:rPr>
          <w:b/>
          <w:bCs/>
        </w:rPr>
        <w:t>WHO No Treatment Recommendation page</w:t>
      </w:r>
    </w:p>
    <w:p w14:paraId="5A676B52" w14:textId="56FCB64A" w:rsidR="00CE2DFC" w:rsidRDefault="00CE2DFC" w:rsidP="00CE2DFC">
      <w:pPr>
        <w:rPr>
          <w:b/>
          <w:bCs/>
        </w:rPr>
      </w:pPr>
      <w:r>
        <w:rPr>
          <w:b/>
          <w:bCs/>
        </w:rPr>
        <w:t>Recommendation: No Treatment</w:t>
      </w:r>
      <w:r w:rsidR="009A2B7F">
        <w:rPr>
          <w:b/>
          <w:bCs/>
        </w:rPr>
        <w:tab/>
      </w:r>
      <w:r w:rsidR="009A2B7F" w:rsidRPr="009A2B7F">
        <w:rPr>
          <w:b/>
          <w:bCs/>
        </w:rPr>
        <w:t>Khuyến nghị: Không điều trị</w:t>
      </w:r>
    </w:p>
    <w:p w14:paraId="4C8D0866" w14:textId="027CF5B8" w:rsidR="00CE2DFC" w:rsidRDefault="00CE2DFC" w:rsidP="00CE2DFC">
      <w:pPr>
        <w:rPr>
          <w:b/>
          <w:bCs/>
        </w:rPr>
      </w:pPr>
      <w:r w:rsidRPr="0075396D">
        <w:rPr>
          <w:b/>
          <w:bCs/>
        </w:rPr>
        <w:t>The result shows antiviral treatment is not indicated at this time</w:t>
      </w:r>
      <w:r>
        <w:rPr>
          <w:b/>
          <w:bCs/>
        </w:rPr>
        <w:t>.</w:t>
      </w:r>
      <w:r w:rsidR="009A2B7F">
        <w:rPr>
          <w:b/>
          <w:bCs/>
        </w:rPr>
        <w:t xml:space="preserve"> </w:t>
      </w:r>
    </w:p>
    <w:p w14:paraId="0EEB53C3" w14:textId="49B49992" w:rsidR="009A2B7F" w:rsidRPr="0075396D" w:rsidRDefault="009A2B7F" w:rsidP="00CE2DFC">
      <w:pPr>
        <w:rPr>
          <w:b/>
          <w:bCs/>
        </w:rPr>
      </w:pPr>
      <w:r w:rsidRPr="009A2B7F">
        <w:rPr>
          <w:b/>
          <w:bCs/>
        </w:rPr>
        <w:t>TKết quả cho thấy không khuyến nghị chỉ định điều trị thuốc kháng vi rút tại thời điểm này</w:t>
      </w:r>
      <w:r w:rsidR="00BB6D61">
        <w:rPr>
          <w:b/>
          <w:bCs/>
        </w:rPr>
        <w:t>.</w:t>
      </w:r>
    </w:p>
    <w:p w14:paraId="59880233" w14:textId="77777777" w:rsidR="00CE2DFC" w:rsidRDefault="00CE2DFC" w:rsidP="00CE2DFC">
      <w:pPr>
        <w:rPr>
          <w:b/>
          <w:bCs/>
        </w:rPr>
      </w:pPr>
    </w:p>
    <w:p w14:paraId="51C953DD" w14:textId="6D9F7028" w:rsidR="00CE2DFC" w:rsidRDefault="00CE2DFC" w:rsidP="00CE2DFC">
      <w:pPr>
        <w:rPr>
          <w:b/>
          <w:bCs/>
        </w:rPr>
      </w:pPr>
      <w:r w:rsidRPr="00146575">
        <w:rPr>
          <w:b/>
          <w:bCs/>
        </w:rPr>
        <w:t xml:space="preserve">Even though treatment is not indicated for now, </w:t>
      </w:r>
      <w:r w:rsidRPr="00345C74">
        <w:rPr>
          <w:b/>
          <w:bCs/>
          <w:color w:val="FF0000"/>
        </w:rPr>
        <w:t xml:space="preserve">the chronically infected person still has </w:t>
      </w:r>
      <w:r w:rsidRPr="00146575">
        <w:rPr>
          <w:b/>
          <w:bCs/>
        </w:rPr>
        <w:t>a risk of developing liver cancer and active hepatitis that would require treatment in the future. It is important to follow long-term monitoring recommendations.</w:t>
      </w:r>
    </w:p>
    <w:p w14:paraId="189EA49F" w14:textId="484F5B09" w:rsidR="009A2B7F" w:rsidRPr="00146575" w:rsidRDefault="009A2B7F" w:rsidP="00CE2DFC">
      <w:pPr>
        <w:rPr>
          <w:b/>
          <w:bCs/>
        </w:rPr>
      </w:pPr>
      <w:r w:rsidRPr="009A2B7F">
        <w:rPr>
          <w:b/>
          <w:bCs/>
        </w:rPr>
        <w:t xml:space="preserve">Mặc dù không khuyến nghị chỉ định điều trị kháng vi rút tại thời điểm này, </w:t>
      </w:r>
      <w:r w:rsidRPr="007F3068">
        <w:rPr>
          <w:b/>
          <w:bCs/>
          <w:color w:val="ED7D31" w:themeColor="accent2"/>
        </w:rPr>
        <w:t>bệnh nhân</w:t>
      </w:r>
      <w:r w:rsidR="00245163" w:rsidRPr="007F3068">
        <w:rPr>
          <w:b/>
          <w:bCs/>
          <w:color w:val="ED7D31" w:themeColor="accent2"/>
        </w:rPr>
        <w:t xml:space="preserve"> mạn tính</w:t>
      </w:r>
      <w:r w:rsidRPr="007F3068">
        <w:rPr>
          <w:b/>
          <w:bCs/>
          <w:color w:val="ED7D31" w:themeColor="accent2"/>
        </w:rPr>
        <w:t xml:space="preserve"> </w:t>
      </w:r>
      <w:r w:rsidRPr="009A2B7F">
        <w:rPr>
          <w:b/>
          <w:bCs/>
        </w:rPr>
        <w:t>vẫn có nguy cơ tiến triển thành ung thư gan hoặc bệnh gan mạn tính và cần điều trị trong tương lai. Cần tuân theo các khuyến nghị về khám theo dõi lâu dài.</w:t>
      </w:r>
    </w:p>
    <w:p w14:paraId="33A3305C" w14:textId="77777777" w:rsidR="00CE2DFC" w:rsidRPr="00B17F47" w:rsidRDefault="00CE2DFC" w:rsidP="00CE2DFC"/>
    <w:p w14:paraId="1683028E" w14:textId="64D6DEDA" w:rsidR="00CE2DFC" w:rsidRDefault="00CE2DFC" w:rsidP="00CE2DFC">
      <w:pPr>
        <w:rPr>
          <w:b/>
          <w:bCs/>
        </w:rPr>
      </w:pPr>
      <w:r w:rsidRPr="00B17F47">
        <w:t>•</w:t>
      </w:r>
      <w:r w:rsidRPr="00146575">
        <w:rPr>
          <w:b/>
          <w:bCs/>
        </w:rPr>
        <w:t>Long-term Monitoring recommendations</w:t>
      </w:r>
    </w:p>
    <w:p w14:paraId="22302D0F" w14:textId="27910F9F" w:rsidR="009A2B7F" w:rsidRDefault="009A2B7F" w:rsidP="00CE2DFC">
      <w:pPr>
        <w:rPr>
          <w:b/>
          <w:bCs/>
        </w:rPr>
      </w:pPr>
      <w:r w:rsidRPr="009A2B7F">
        <w:rPr>
          <w:b/>
          <w:bCs/>
        </w:rPr>
        <w:t>• Khuyến nghị về Khám theo dõi lâu dài</w:t>
      </w:r>
    </w:p>
    <w:p w14:paraId="03110961" w14:textId="77777777" w:rsidR="00B966C0" w:rsidRPr="00146575" w:rsidRDefault="00B966C0" w:rsidP="00CE2DFC">
      <w:pPr>
        <w:rPr>
          <w:b/>
          <w:bCs/>
        </w:rPr>
      </w:pPr>
    </w:p>
    <w:p w14:paraId="3B05BFDA" w14:textId="3A00DFB2" w:rsidR="00CE2DFC" w:rsidRDefault="00CE2DFC" w:rsidP="00CE2DFC">
      <w:pPr>
        <w:pStyle w:val="ListParagraph"/>
        <w:numPr>
          <w:ilvl w:val="0"/>
          <w:numId w:val="2"/>
        </w:numPr>
      </w:pPr>
      <w:r w:rsidRPr="00B17F47">
        <w:t>Blood test for ALT level to monitor for active hepatitis every 6-12 months. When ALT becomes elevated, repeat HBV DNA level to check for increased viral activity.</w:t>
      </w:r>
    </w:p>
    <w:p w14:paraId="4E927A38" w14:textId="5B96CB93" w:rsidR="009A2B7F" w:rsidRPr="00B17F47" w:rsidRDefault="009A2B7F" w:rsidP="009A2B7F">
      <w:pPr>
        <w:pStyle w:val="ListParagraph"/>
        <w:ind w:left="360"/>
      </w:pPr>
      <w:r w:rsidRPr="009A2B7F">
        <w:t>1. Xét nghiệm máu kiểm tra ALT để theo dõi độ hoạt động của vi rút viêm gan 6-12 tháng một lần. Nếu ALT tăng cao, cần làm lại xét nghiệm tải lượng vi rút HBV DNA để đánh giá mức độ hoạt động của vi rút.</w:t>
      </w:r>
    </w:p>
    <w:p w14:paraId="669DE5DC" w14:textId="77777777" w:rsidR="00CE2DFC" w:rsidRPr="00B17F47" w:rsidRDefault="00CE2DFC" w:rsidP="00CE2DFC"/>
    <w:p w14:paraId="528816B1" w14:textId="5B31E53B" w:rsidR="00CE2DFC" w:rsidRDefault="00CE2DFC" w:rsidP="00CE2DFC">
      <w:pPr>
        <w:pStyle w:val="ListParagraph"/>
        <w:numPr>
          <w:ilvl w:val="0"/>
          <w:numId w:val="2"/>
        </w:numPr>
      </w:pPr>
      <w:r w:rsidRPr="00B17F47">
        <w:lastRenderedPageBreak/>
        <w:t>Blood test for alpha fetoprotein (AFP) level every 6 months and liver ultrasound every 6-12 months for liver cancer screening (Particularly important if there is a family history of liver cancer).</w:t>
      </w:r>
    </w:p>
    <w:p w14:paraId="2433EF16" w14:textId="07CC7517" w:rsidR="009A2B7F" w:rsidRPr="00B17F47" w:rsidRDefault="009A2B7F" w:rsidP="009A2B7F">
      <w:pPr>
        <w:pStyle w:val="ListParagraph"/>
        <w:ind w:left="360"/>
      </w:pPr>
      <w:r w:rsidRPr="009A2B7F">
        <w:t>2. Xét nghiệm máu kiểm tra mức alpha fetoprotein(AFP) 6 tháng một lần và siêu âm gan 6-12 tháng một lần để tầm soát ung thư gan (Cần tầm soát ung thư gan thường xuyên đối với bệnh nhân tiền sử gia đình có người mắc ung thư gan)</w:t>
      </w:r>
      <w:r w:rsidR="00BB6D61">
        <w:t>.</w:t>
      </w:r>
    </w:p>
    <w:p w14:paraId="49DB621C" w14:textId="77777777" w:rsidR="00CE2DFC" w:rsidRPr="00B17F47" w:rsidRDefault="00CE2DFC" w:rsidP="00CE2DFC"/>
    <w:p w14:paraId="004FB5E6" w14:textId="5C792098" w:rsidR="00CE2DFC" w:rsidRDefault="00CE2DFC" w:rsidP="00CE2DFC">
      <w:pPr>
        <w:pStyle w:val="ListParagraph"/>
        <w:numPr>
          <w:ilvl w:val="0"/>
          <w:numId w:val="2"/>
        </w:numPr>
      </w:pPr>
      <w:r w:rsidRPr="00B17F47">
        <w:t>Baseline blood test for HBeAg and anti-HBe. Blood test for HBV DNA level once a year if feasible to monitor viral activity.</w:t>
      </w:r>
    </w:p>
    <w:p w14:paraId="0D01F759" w14:textId="55848E88" w:rsidR="00CE2DFC" w:rsidRPr="00B17F47" w:rsidRDefault="00425830" w:rsidP="00425830">
      <w:pPr>
        <w:pStyle w:val="ListParagraph"/>
      </w:pPr>
      <w:r>
        <w:t>3.</w:t>
      </w:r>
      <w:r w:rsidRPr="00425830">
        <w:t>Xét nghiệm HBeAg và Anti-HBe lần đầu. Xét nghiệm tải lượng vi rút HBV DNA hàng năm nếu có thể để đánh giá mức độ hoạt động của vi rút.</w:t>
      </w:r>
    </w:p>
    <w:p w14:paraId="1F7ACD0E" w14:textId="1E4E8EFE" w:rsidR="00CE2DFC" w:rsidRDefault="00CE2DFC" w:rsidP="00CE2DFC">
      <w:pPr>
        <w:rPr>
          <w:b/>
          <w:bCs/>
        </w:rPr>
      </w:pPr>
      <w:r w:rsidRPr="00B17F47">
        <w:t>•</w:t>
      </w:r>
      <w:r w:rsidRPr="00146575">
        <w:rPr>
          <w:b/>
          <w:bCs/>
        </w:rPr>
        <w:t>Circumstances where prophylactic antiviral treatment may be appropriate</w:t>
      </w:r>
    </w:p>
    <w:p w14:paraId="46D074F3" w14:textId="6B22CBA3" w:rsidR="009A2B7F" w:rsidRPr="00146575" w:rsidRDefault="009A2B7F" w:rsidP="00CE2DFC">
      <w:pPr>
        <w:rPr>
          <w:b/>
          <w:bCs/>
        </w:rPr>
      </w:pPr>
      <w:r w:rsidRPr="009A2B7F">
        <w:rPr>
          <w:b/>
          <w:bCs/>
        </w:rPr>
        <w:t>• Tình huống có thể cần điều trị dự phòng</w:t>
      </w:r>
      <w:r w:rsidR="00524433">
        <w:rPr>
          <w:b/>
          <w:bCs/>
        </w:rPr>
        <w:t xml:space="preserve"> </w:t>
      </w:r>
    </w:p>
    <w:p w14:paraId="45194B06" w14:textId="77777777" w:rsidR="00CE2DFC" w:rsidRPr="00B17F47" w:rsidRDefault="00CE2DFC" w:rsidP="00CE2DFC"/>
    <w:p w14:paraId="765FF191" w14:textId="1DD7D491" w:rsidR="00CE2DFC" w:rsidRDefault="00CE2DFC" w:rsidP="00CE2DFC">
      <w:pPr>
        <w:pStyle w:val="ListParagraph"/>
        <w:numPr>
          <w:ilvl w:val="0"/>
          <w:numId w:val="3"/>
        </w:numPr>
      </w:pPr>
      <w:r w:rsidRPr="00B17F47">
        <w:t>To prevent hepatitis flare while receiving or following immunosuppressive therapy</w:t>
      </w:r>
      <w:r w:rsidR="00BB6D61">
        <w:t>.</w:t>
      </w:r>
    </w:p>
    <w:p w14:paraId="7463CDDA" w14:textId="0E639856" w:rsidR="009A2B7F" w:rsidRPr="00B17F47" w:rsidRDefault="009A2B7F" w:rsidP="009A2B7F">
      <w:pPr>
        <w:pStyle w:val="ListParagraph"/>
        <w:ind w:left="360"/>
      </w:pPr>
      <w:r w:rsidRPr="009A2B7F">
        <w:t>1. Để dự phòng đợt viêm gan cấp khi bệnh nhân đang dùng hoặc sau khi dùng thuốc ức chế miễn dịch</w:t>
      </w:r>
      <w:r w:rsidR="00BB6D61">
        <w:t>.</w:t>
      </w:r>
    </w:p>
    <w:p w14:paraId="59C33BAA" w14:textId="77777777" w:rsidR="00CE2DFC" w:rsidRPr="00B17F47" w:rsidRDefault="00CE2DFC" w:rsidP="00CE2DFC"/>
    <w:p w14:paraId="31D4C97E" w14:textId="7C02706D" w:rsidR="00CE2DFC" w:rsidRDefault="00CE2DFC" w:rsidP="00CE2DFC">
      <w:pPr>
        <w:pStyle w:val="ListParagraph"/>
        <w:numPr>
          <w:ilvl w:val="0"/>
          <w:numId w:val="3"/>
        </w:numPr>
      </w:pPr>
      <w:r w:rsidRPr="00B17F47">
        <w:t xml:space="preserve"> To further reduce the risk of mother to child transmission in pregnant women with very high hepatitis B DNA level</w:t>
      </w:r>
      <w:r w:rsidR="00BB6D61">
        <w:t>.</w:t>
      </w:r>
    </w:p>
    <w:p w14:paraId="5B3A9655" w14:textId="049FF6D1" w:rsidR="009A2B7F" w:rsidRPr="00B17F47" w:rsidRDefault="009A2B7F" w:rsidP="009A2B7F">
      <w:pPr>
        <w:pStyle w:val="ListParagraph"/>
        <w:ind w:left="360"/>
      </w:pPr>
      <w:r w:rsidRPr="009A2B7F">
        <w:t>2. Để giảm hơn nữa nguy cơ lây truyền từ mẹ sang con ở phụ nữ mang thai có tải lượng vi rút rất cao</w:t>
      </w:r>
      <w:r w:rsidR="00BB6D61">
        <w:t>.</w:t>
      </w:r>
    </w:p>
    <w:p w14:paraId="4B42AD5B" w14:textId="77777777" w:rsidR="00CE2DFC" w:rsidRPr="00B17F47" w:rsidRDefault="00CE2DFC" w:rsidP="00CE2DFC">
      <w:pPr>
        <w:pStyle w:val="ListParagraph"/>
      </w:pPr>
    </w:p>
    <w:p w14:paraId="580159F1" w14:textId="77777777" w:rsidR="00CE2DFC" w:rsidRPr="00B17F47" w:rsidRDefault="00CE2DFC" w:rsidP="00CE2DFC">
      <w:pPr>
        <w:pStyle w:val="ListParagraph"/>
      </w:pPr>
    </w:p>
    <w:p w14:paraId="46E4633E" w14:textId="2438E75A" w:rsidR="00CE2DFC" w:rsidRDefault="00CE2DFC" w:rsidP="00CE2DFC">
      <w:pPr>
        <w:pStyle w:val="ListParagraph"/>
        <w:ind w:left="0"/>
        <w:rPr>
          <w:b/>
          <w:bCs/>
        </w:rPr>
      </w:pPr>
      <w:r w:rsidRPr="00B17F47">
        <w:t xml:space="preserve">• </w:t>
      </w:r>
      <w:r w:rsidRPr="00146575">
        <w:rPr>
          <w:b/>
          <w:bCs/>
        </w:rPr>
        <w:t xml:space="preserve">Avoid drinking alcohol and moldy food. </w:t>
      </w:r>
      <w:r w:rsidRPr="00CE2DFC">
        <w:rPr>
          <w:b/>
          <w:bCs/>
          <w:color w:val="FF0000"/>
        </w:rPr>
        <w:t xml:space="preserve">Advise the patient to receive the hepatitis A vaccine if unprotected and the patient’s family and partner to </w:t>
      </w:r>
      <w:r w:rsidRPr="00EB11BC">
        <w:rPr>
          <w:b/>
          <w:bCs/>
          <w:color w:val="FF0000"/>
        </w:rPr>
        <w:t xml:space="preserve">get tested </w:t>
      </w:r>
      <w:r w:rsidRPr="00146575">
        <w:rPr>
          <w:b/>
          <w:bCs/>
        </w:rPr>
        <w:t>for hepatitis B and get vaccinated if they are not protected.</w:t>
      </w:r>
    </w:p>
    <w:p w14:paraId="361030AD" w14:textId="1F10322A" w:rsidR="009A2B7F" w:rsidRDefault="009A2B7F" w:rsidP="00CE2DFC">
      <w:pPr>
        <w:pStyle w:val="ListParagraph"/>
        <w:ind w:left="0"/>
        <w:rPr>
          <w:b/>
          <w:bCs/>
        </w:rPr>
      </w:pPr>
      <w:r w:rsidRPr="009A2B7F">
        <w:rPr>
          <w:b/>
          <w:bCs/>
        </w:rPr>
        <w:t xml:space="preserve">• Tránh uống rượu và các thực phẩm có nấm mốc. </w:t>
      </w:r>
      <w:r w:rsidR="00245163">
        <w:rPr>
          <w:b/>
          <w:bCs/>
        </w:rPr>
        <w:t xml:space="preserve"> </w:t>
      </w:r>
      <w:r w:rsidR="00245163" w:rsidRPr="00245163">
        <w:rPr>
          <w:b/>
          <w:bCs/>
          <w:color w:val="ED7D31" w:themeColor="accent2"/>
        </w:rPr>
        <w:t>Tư vấn cho bện</w:t>
      </w:r>
      <w:r w:rsidR="00524433">
        <w:rPr>
          <w:b/>
          <w:bCs/>
          <w:color w:val="ED7D31" w:themeColor="accent2"/>
        </w:rPr>
        <w:t>h</w:t>
      </w:r>
      <w:r w:rsidR="00245163" w:rsidRPr="00245163">
        <w:rPr>
          <w:b/>
          <w:bCs/>
          <w:color w:val="ED7D31" w:themeColor="accent2"/>
        </w:rPr>
        <w:t xml:space="preserve"> nhân đi tiêm vắc xin phòng viêm gan A nếu chưa được bảo vệ</w:t>
      </w:r>
      <w:r w:rsidR="00524433">
        <w:rPr>
          <w:b/>
          <w:bCs/>
          <w:color w:val="ED7D31" w:themeColor="accent2"/>
        </w:rPr>
        <w:t>,</w:t>
      </w:r>
      <w:r w:rsidR="00245163" w:rsidRPr="00245163">
        <w:rPr>
          <w:b/>
          <w:bCs/>
          <w:color w:val="ED7D31" w:themeColor="accent2"/>
        </w:rPr>
        <w:t xml:space="preserve"> và tư vấn cho vợ/chồng và các thành viên khác trong gia đình</w:t>
      </w:r>
      <w:r w:rsidR="00245163" w:rsidRPr="007F3068">
        <w:rPr>
          <w:b/>
          <w:bCs/>
          <w:color w:val="000000" w:themeColor="text1"/>
        </w:rPr>
        <w:t xml:space="preserve"> đi xét nghiệm viêm gan B và tiêm vắc xin phòng viêm gan B nếu chưa được bảo vệ.</w:t>
      </w:r>
    </w:p>
    <w:p w14:paraId="69CE1211" w14:textId="219808F8" w:rsidR="00CE2DFC" w:rsidRDefault="00CE2DFC" w:rsidP="00CE2DFC">
      <w:pPr>
        <w:pStyle w:val="ListParagraph"/>
        <w:ind w:left="0"/>
        <w:rPr>
          <w:b/>
          <w:bCs/>
        </w:rPr>
      </w:pPr>
    </w:p>
    <w:p w14:paraId="609CD00F" w14:textId="7AE6B19A" w:rsidR="00CE2DFC" w:rsidRDefault="00CE2DFC" w:rsidP="00CE2DFC">
      <w:pPr>
        <w:pStyle w:val="ListParagraph"/>
        <w:ind w:left="0"/>
        <w:rPr>
          <w:b/>
          <w:bCs/>
        </w:rPr>
      </w:pPr>
    </w:p>
    <w:p w14:paraId="7F385F32" w14:textId="30A903EA" w:rsidR="00CE2DFC" w:rsidRDefault="00CE2DFC" w:rsidP="00CE2DFC">
      <w:pPr>
        <w:pStyle w:val="ListParagraph"/>
        <w:ind w:left="0"/>
        <w:rPr>
          <w:b/>
          <w:bCs/>
        </w:rPr>
      </w:pPr>
    </w:p>
    <w:p w14:paraId="5F08007F" w14:textId="5107F5D5" w:rsidR="00CE2DFC" w:rsidRDefault="00CE2DFC" w:rsidP="00CE2DFC">
      <w:pPr>
        <w:pStyle w:val="ListParagraph"/>
        <w:ind w:left="0"/>
        <w:rPr>
          <w:b/>
          <w:bCs/>
        </w:rPr>
      </w:pPr>
    </w:p>
    <w:p w14:paraId="396EC339" w14:textId="69442930" w:rsidR="00CE2DFC" w:rsidRDefault="00CE2DFC" w:rsidP="00CE2DFC">
      <w:pPr>
        <w:pStyle w:val="ListParagraph"/>
        <w:ind w:left="0"/>
        <w:rPr>
          <w:b/>
          <w:bCs/>
        </w:rPr>
      </w:pPr>
    </w:p>
    <w:p w14:paraId="76ECFB37" w14:textId="7DCE88BE" w:rsidR="00CE2DFC" w:rsidRDefault="00CE2DFC" w:rsidP="00CE2DFC">
      <w:pPr>
        <w:pStyle w:val="ListParagraph"/>
        <w:ind w:left="0"/>
        <w:rPr>
          <w:b/>
          <w:bCs/>
        </w:rPr>
      </w:pPr>
      <w:r>
        <w:rPr>
          <w:b/>
          <w:bCs/>
        </w:rPr>
        <w:t>AASLD Guidelines Page</w:t>
      </w:r>
    </w:p>
    <w:p w14:paraId="7760DCBA" w14:textId="5A00C793" w:rsidR="00CE2DFC" w:rsidRDefault="00CE2DFC" w:rsidP="00CE2DFC">
      <w:pPr>
        <w:pStyle w:val="ListParagraph"/>
        <w:ind w:left="0"/>
        <w:rPr>
          <w:b/>
          <w:bCs/>
        </w:rPr>
      </w:pPr>
    </w:p>
    <w:p w14:paraId="53AAC085" w14:textId="3DF83558" w:rsidR="00CE2DFC" w:rsidRDefault="00CE2DFC" w:rsidP="00CE2DFC">
      <w:pPr>
        <w:rPr>
          <w:b/>
          <w:bCs/>
        </w:rPr>
      </w:pPr>
      <w:r w:rsidRPr="002D51E1">
        <w:rPr>
          <w:b/>
          <w:bCs/>
        </w:rPr>
        <w:t>1.</w:t>
      </w:r>
      <w:r>
        <w:rPr>
          <w:b/>
          <w:bCs/>
        </w:rPr>
        <w:t xml:space="preserve"> </w:t>
      </w:r>
      <w:r w:rsidRPr="002D51E1">
        <w:rPr>
          <w:b/>
          <w:bCs/>
        </w:rPr>
        <w:t>Is your patient HBeAg positive?</w:t>
      </w:r>
    </w:p>
    <w:p w14:paraId="312E1757" w14:textId="77777777" w:rsidR="00B966C0" w:rsidRPr="00B966C0" w:rsidRDefault="00B966C0" w:rsidP="00B966C0">
      <w:pPr>
        <w:shd w:val="clear" w:color="auto" w:fill="1E1E1E"/>
        <w:spacing w:after="0" w:line="270" w:lineRule="atLeast"/>
        <w:rPr>
          <w:rFonts w:ascii="Menlo" w:eastAsia="Times New Roman" w:hAnsi="Menlo" w:cs="Menlo"/>
          <w:color w:val="D4D4D4"/>
          <w:sz w:val="18"/>
          <w:szCs w:val="18"/>
          <w:lang w:eastAsia="zh-CN"/>
        </w:rPr>
      </w:pPr>
      <w:r w:rsidRPr="00B966C0">
        <w:rPr>
          <w:rFonts w:ascii="Menlo" w:eastAsia="Times New Roman" w:hAnsi="Menlo" w:cs="Menlo"/>
          <w:color w:val="CE9178"/>
          <w:sz w:val="18"/>
          <w:szCs w:val="18"/>
          <w:lang w:eastAsia="zh-CN"/>
        </w:rPr>
        <w:t>Bệnh nhân có HBeAg dương tính?</w:t>
      </w:r>
    </w:p>
    <w:p w14:paraId="762334A0" w14:textId="77777777" w:rsidR="00B966C0" w:rsidRPr="002D51E1" w:rsidRDefault="00B966C0" w:rsidP="00CE2DFC">
      <w:pPr>
        <w:rPr>
          <w:b/>
          <w:bCs/>
        </w:rPr>
      </w:pPr>
    </w:p>
    <w:p w14:paraId="58A88C93" w14:textId="77777777" w:rsidR="00CE2DFC" w:rsidRPr="00CE2DFC" w:rsidRDefault="00CE2DFC" w:rsidP="00CE2DFC">
      <w:r w:rsidRPr="00CE2DFC">
        <w:t xml:space="preserve">Yes </w:t>
      </w:r>
    </w:p>
    <w:p w14:paraId="5525D092" w14:textId="77777777" w:rsidR="00CE2DFC" w:rsidRPr="00CE2DFC" w:rsidRDefault="00CE2DFC" w:rsidP="00CE2DFC">
      <w:r w:rsidRPr="00CE2DFC">
        <w:t xml:space="preserve">No </w:t>
      </w:r>
    </w:p>
    <w:p w14:paraId="0C7E62AE" w14:textId="0E7FDA36" w:rsidR="00436FBD" w:rsidRPr="004B1E72" w:rsidRDefault="00CE2DFC" w:rsidP="00436FBD">
      <w:pPr>
        <w:pStyle w:val="ListParagraph"/>
        <w:numPr>
          <w:ilvl w:val="0"/>
          <w:numId w:val="3"/>
        </w:numPr>
        <w:rPr>
          <w:b/>
          <w:bCs/>
        </w:rPr>
      </w:pPr>
      <w:r w:rsidRPr="00436FBD">
        <w:rPr>
          <w:b/>
          <w:bCs/>
        </w:rPr>
        <w:t>Does your patient have cirrhosis or significant fibrosis (F2-F4)?</w:t>
      </w:r>
    </w:p>
    <w:p w14:paraId="43B94455" w14:textId="77777777" w:rsidR="004B1E72" w:rsidRPr="004B1E72" w:rsidRDefault="004B1E72" w:rsidP="004B1E72">
      <w:pPr>
        <w:shd w:val="clear" w:color="auto" w:fill="1E1E1E"/>
        <w:spacing w:after="0" w:line="270" w:lineRule="atLeast"/>
        <w:rPr>
          <w:rFonts w:ascii="Menlo" w:eastAsia="Times New Roman" w:hAnsi="Menlo" w:cs="Menlo"/>
          <w:color w:val="D4D4D4"/>
          <w:sz w:val="18"/>
          <w:szCs w:val="18"/>
          <w:lang w:eastAsia="zh-CN"/>
        </w:rPr>
      </w:pPr>
      <w:r w:rsidRPr="004B1E72">
        <w:rPr>
          <w:rFonts w:ascii="Menlo" w:eastAsia="Times New Roman" w:hAnsi="Menlo" w:cs="Menlo"/>
          <w:color w:val="CE9178"/>
          <w:sz w:val="18"/>
          <w:szCs w:val="18"/>
          <w:lang w:eastAsia="zh-CN"/>
        </w:rPr>
        <w:t>Bệnh nhân có xơ gan mức độ trung bình tr</w:t>
      </w:r>
      <w:r w:rsidRPr="004B1E72">
        <w:rPr>
          <w:rFonts w:ascii="Calibri" w:eastAsia="Times New Roman" w:hAnsi="Calibri" w:cs="Calibri"/>
          <w:color w:val="CE9178"/>
          <w:sz w:val="18"/>
          <w:szCs w:val="18"/>
          <w:lang w:eastAsia="zh-CN"/>
        </w:rPr>
        <w:t>ở</w:t>
      </w:r>
      <w:r w:rsidRPr="004B1E72">
        <w:rPr>
          <w:rFonts w:ascii="Menlo" w:eastAsia="Times New Roman" w:hAnsi="Menlo" w:cs="Menlo"/>
          <w:color w:val="CE9178"/>
          <w:sz w:val="18"/>
          <w:szCs w:val="18"/>
          <w:lang w:eastAsia="zh-CN"/>
        </w:rPr>
        <w:t xml:space="preserve"> lên (F2-F4) không)?</w:t>
      </w:r>
    </w:p>
    <w:p w14:paraId="13774A8F" w14:textId="77777777" w:rsidR="004B1E72" w:rsidRPr="00436FBD" w:rsidRDefault="004B1E72" w:rsidP="00436FBD">
      <w:pPr>
        <w:rPr>
          <w:b/>
          <w:bCs/>
        </w:rPr>
      </w:pPr>
    </w:p>
    <w:p w14:paraId="1765A059" w14:textId="77777777" w:rsidR="00CE2DFC" w:rsidRPr="00CE2DFC" w:rsidRDefault="00CE2DFC" w:rsidP="00CE2DFC">
      <w:r w:rsidRPr="00CE2DFC">
        <w:rPr>
          <w:highlight w:val="lightGray"/>
        </w:rPr>
        <w:t>If you don’t know, tap here to APRI and FIB-4 Calculator</w:t>
      </w:r>
      <w:r w:rsidRPr="00CE2DFC">
        <w:t xml:space="preserve"> </w:t>
      </w:r>
    </w:p>
    <w:p w14:paraId="30C53220" w14:textId="77777777" w:rsidR="00CE2DFC" w:rsidRPr="00CE2DFC" w:rsidRDefault="00CE2DFC" w:rsidP="00CE2DFC">
      <w:r w:rsidRPr="00CE2DFC">
        <w:t>Yes</w:t>
      </w:r>
    </w:p>
    <w:p w14:paraId="1820CD85" w14:textId="77777777" w:rsidR="00CE2DFC" w:rsidRPr="00CE2DFC" w:rsidRDefault="00CE2DFC" w:rsidP="00CE2DFC">
      <w:r w:rsidRPr="00CE2DFC">
        <w:t>No</w:t>
      </w:r>
    </w:p>
    <w:p w14:paraId="3D791D44" w14:textId="77777777" w:rsidR="00CE2DFC" w:rsidRPr="002D51E1" w:rsidRDefault="00CE2DFC" w:rsidP="00CE2DFC">
      <w:pPr>
        <w:rPr>
          <w:b/>
          <w:bCs/>
        </w:rPr>
      </w:pPr>
      <w:r w:rsidRPr="002D51E1">
        <w:rPr>
          <w:b/>
          <w:bCs/>
        </w:rPr>
        <w:t>3.</w:t>
      </w:r>
      <w:r>
        <w:rPr>
          <w:b/>
          <w:bCs/>
        </w:rPr>
        <w:t xml:space="preserve"> </w:t>
      </w:r>
      <w:r w:rsidRPr="002D51E1">
        <w:rPr>
          <w:b/>
          <w:bCs/>
        </w:rPr>
        <w:t xml:space="preserve">What is your patient’s ALT level? </w:t>
      </w:r>
    </w:p>
    <w:p w14:paraId="6A648B26" w14:textId="77777777" w:rsidR="00CE2DFC" w:rsidRPr="00CE2DFC" w:rsidRDefault="00CE2DFC" w:rsidP="00CE2DFC">
      <w:r w:rsidRPr="00CE2DFC">
        <w:t xml:space="preserve">Persistently normal </w:t>
      </w:r>
    </w:p>
    <w:p w14:paraId="2E3B1BA7" w14:textId="77777777" w:rsidR="00CE2DFC" w:rsidRPr="00CE2DFC" w:rsidRDefault="00CE2DFC" w:rsidP="00CE2DFC">
      <w:r w:rsidRPr="00CE2DFC">
        <w:t xml:space="preserve">Intermittently abnormal </w:t>
      </w:r>
    </w:p>
    <w:p w14:paraId="2CA0B042" w14:textId="02064A9F" w:rsidR="00CE2DFC" w:rsidRDefault="00CE2DFC" w:rsidP="00CE2DFC">
      <w:pPr>
        <w:rPr>
          <w:rFonts w:cstheme="minorHAnsi"/>
        </w:rPr>
      </w:pPr>
      <w:r w:rsidRPr="00CE2DFC">
        <w:t xml:space="preserve">Persistently abnormal </w:t>
      </w:r>
      <w:r w:rsidRPr="00CE2DFC">
        <w:rPr>
          <w:rFonts w:cstheme="minorHAnsi"/>
        </w:rPr>
        <w:t>(men 35-69 U/l, women 25-49 U/l)</w:t>
      </w:r>
    </w:p>
    <w:p w14:paraId="4FEB5A9D" w14:textId="77777777" w:rsidR="00722B3F" w:rsidRPr="00722B3F" w:rsidRDefault="00722B3F" w:rsidP="00722B3F">
      <w:pPr>
        <w:shd w:val="clear" w:color="auto" w:fill="1E1E1E"/>
        <w:spacing w:after="0" w:line="270" w:lineRule="atLeast"/>
        <w:rPr>
          <w:rFonts w:ascii="Menlo" w:eastAsia="Times New Roman" w:hAnsi="Menlo" w:cs="Menlo"/>
          <w:color w:val="D4D4D4"/>
          <w:sz w:val="18"/>
          <w:szCs w:val="18"/>
          <w:lang w:eastAsia="zh-CN"/>
        </w:rPr>
      </w:pPr>
      <w:r w:rsidRPr="00722B3F">
        <w:rPr>
          <w:rFonts w:ascii="Menlo" w:eastAsia="Times New Roman" w:hAnsi="Menlo" w:cs="Menlo"/>
          <w:color w:val="CE9178"/>
          <w:sz w:val="18"/>
          <w:szCs w:val="18"/>
          <w:lang w:eastAsia="zh-CN"/>
        </w:rPr>
        <w:t>Luôn b</w:t>
      </w:r>
      <w:r w:rsidRPr="00722B3F">
        <w:rPr>
          <w:rFonts w:ascii="Calibri" w:eastAsia="Times New Roman" w:hAnsi="Calibri" w:cs="Calibri"/>
          <w:color w:val="CE9178"/>
          <w:sz w:val="18"/>
          <w:szCs w:val="18"/>
          <w:lang w:eastAsia="zh-CN"/>
        </w:rPr>
        <w:t>ấ</w:t>
      </w:r>
      <w:r w:rsidRPr="00722B3F">
        <w:rPr>
          <w:rFonts w:ascii="Menlo" w:eastAsia="Times New Roman" w:hAnsi="Menlo" w:cs="Menlo"/>
          <w:color w:val="CE9178"/>
          <w:sz w:val="18"/>
          <w:szCs w:val="18"/>
          <w:lang w:eastAsia="zh-CN"/>
        </w:rPr>
        <w:t>t thường</w:t>
      </w:r>
    </w:p>
    <w:p w14:paraId="466970CE" w14:textId="77777777" w:rsidR="00722B3F" w:rsidRDefault="00722B3F" w:rsidP="00CE2DFC">
      <w:pPr>
        <w:rPr>
          <w:rFonts w:cstheme="minorHAnsi"/>
        </w:rPr>
      </w:pPr>
    </w:p>
    <w:p w14:paraId="5F635D7C" w14:textId="77777777" w:rsidR="00722B3F" w:rsidRPr="00722B3F" w:rsidRDefault="00722B3F" w:rsidP="00722B3F">
      <w:pPr>
        <w:shd w:val="clear" w:color="auto" w:fill="1E1E1E"/>
        <w:spacing w:after="0" w:line="270" w:lineRule="atLeast"/>
        <w:rPr>
          <w:rFonts w:ascii="Menlo" w:eastAsia="Times New Roman" w:hAnsi="Menlo" w:cs="Menlo"/>
          <w:color w:val="D4D4D4"/>
          <w:sz w:val="18"/>
          <w:szCs w:val="18"/>
          <w:lang w:eastAsia="zh-CN"/>
        </w:rPr>
      </w:pPr>
      <w:r w:rsidRPr="00722B3F">
        <w:rPr>
          <w:rFonts w:ascii="Menlo" w:eastAsia="Times New Roman" w:hAnsi="Menlo" w:cs="Menlo"/>
          <w:color w:val="CE9178"/>
          <w:sz w:val="18"/>
          <w:szCs w:val="18"/>
          <w:lang w:eastAsia="zh-CN"/>
        </w:rPr>
        <w:t>(nam giới: 35-69 U/L, giới: 25-49 U/L)</w:t>
      </w:r>
    </w:p>
    <w:p w14:paraId="0A92DAFC" w14:textId="77777777" w:rsidR="00722B3F" w:rsidRPr="00CE2DFC" w:rsidRDefault="00722B3F" w:rsidP="00CE2DFC"/>
    <w:p w14:paraId="2B969E9B" w14:textId="77777777" w:rsidR="00CE2DFC" w:rsidRPr="00CE2DFC" w:rsidRDefault="00CE2DFC" w:rsidP="00CE2DFC">
      <w:pPr>
        <w:rPr>
          <w:rFonts w:cstheme="minorHAnsi"/>
        </w:rPr>
      </w:pPr>
      <w:r w:rsidRPr="00CE2DFC">
        <w:t xml:space="preserve">Persistently </w:t>
      </w:r>
      <w:r w:rsidRPr="00CE2DFC">
        <w:rPr>
          <w:rFonts w:cstheme="minorHAnsi"/>
        </w:rPr>
        <w:t>abnormal (men &gt; 70 U/l, women &gt; 50 U/l)</w:t>
      </w:r>
    </w:p>
    <w:p w14:paraId="3F8C0195" w14:textId="77777777" w:rsidR="00722B3F" w:rsidRPr="00722B3F" w:rsidRDefault="00722B3F" w:rsidP="00722B3F">
      <w:pPr>
        <w:shd w:val="clear" w:color="auto" w:fill="1E1E1E"/>
        <w:spacing w:after="0" w:line="270" w:lineRule="atLeast"/>
        <w:rPr>
          <w:rFonts w:ascii="Menlo" w:eastAsia="Times New Roman" w:hAnsi="Menlo" w:cs="Menlo"/>
          <w:color w:val="D4D4D4"/>
          <w:sz w:val="18"/>
          <w:szCs w:val="18"/>
          <w:lang w:eastAsia="zh-CN"/>
        </w:rPr>
      </w:pPr>
      <w:r w:rsidRPr="00722B3F">
        <w:rPr>
          <w:rFonts w:ascii="Menlo" w:eastAsia="Times New Roman" w:hAnsi="Menlo" w:cs="Menlo"/>
          <w:color w:val="CE9178"/>
          <w:sz w:val="18"/>
          <w:szCs w:val="18"/>
          <w:lang w:eastAsia="zh-CN"/>
        </w:rPr>
        <w:t>(nam giới: ≥ 70 U/L, giới: ≥ 50 U/L)</w:t>
      </w:r>
    </w:p>
    <w:p w14:paraId="4C4F76DA" w14:textId="77777777" w:rsidR="00CE2DFC" w:rsidRPr="002D51E1" w:rsidRDefault="00CE2DFC" w:rsidP="00CE2DFC">
      <w:pPr>
        <w:rPr>
          <w:rFonts w:cstheme="minorHAnsi"/>
          <w:b/>
          <w:bCs/>
        </w:rPr>
      </w:pPr>
    </w:p>
    <w:p w14:paraId="1F8F5B2B" w14:textId="77777777" w:rsidR="00CE2DFC" w:rsidRPr="002D51E1" w:rsidRDefault="00CE2DFC" w:rsidP="00CE2DFC">
      <w:pPr>
        <w:rPr>
          <w:b/>
          <w:bCs/>
        </w:rPr>
      </w:pPr>
      <w:r w:rsidRPr="002D51E1">
        <w:rPr>
          <w:b/>
          <w:bCs/>
        </w:rPr>
        <w:t>4.</w:t>
      </w:r>
      <w:r>
        <w:rPr>
          <w:b/>
          <w:bCs/>
        </w:rPr>
        <w:t xml:space="preserve"> </w:t>
      </w:r>
      <w:r w:rsidRPr="002D51E1">
        <w:rPr>
          <w:b/>
          <w:bCs/>
        </w:rPr>
        <w:t xml:space="preserve">What is your patient’s HBV DNA level? </w:t>
      </w:r>
    </w:p>
    <w:p w14:paraId="7DF44E33" w14:textId="77777777" w:rsidR="0026272D" w:rsidRPr="0026272D" w:rsidRDefault="0026272D" w:rsidP="0026272D">
      <w:pPr>
        <w:shd w:val="clear" w:color="auto" w:fill="1E1E1E"/>
        <w:spacing w:after="0" w:line="270" w:lineRule="atLeast"/>
        <w:rPr>
          <w:rFonts w:ascii="Menlo" w:eastAsia="Times New Roman" w:hAnsi="Menlo" w:cs="Menlo"/>
          <w:color w:val="D4D4D4"/>
          <w:sz w:val="18"/>
          <w:szCs w:val="18"/>
          <w:lang w:eastAsia="zh-CN"/>
        </w:rPr>
      </w:pPr>
      <w:r w:rsidRPr="0026272D">
        <w:rPr>
          <w:rFonts w:ascii="Menlo" w:eastAsia="Times New Roman" w:hAnsi="Menlo" w:cs="Menlo"/>
          <w:color w:val="CE9178"/>
          <w:sz w:val="18"/>
          <w:szCs w:val="18"/>
          <w:lang w:eastAsia="zh-CN"/>
        </w:rPr>
        <w:t>T</w:t>
      </w:r>
      <w:r w:rsidRPr="0026272D">
        <w:rPr>
          <w:rFonts w:ascii="Calibri" w:eastAsia="Times New Roman" w:hAnsi="Calibri" w:cs="Calibri"/>
          <w:color w:val="CE9178"/>
          <w:sz w:val="18"/>
          <w:szCs w:val="18"/>
          <w:lang w:eastAsia="zh-CN"/>
        </w:rPr>
        <w:t>ả</w:t>
      </w:r>
      <w:r w:rsidRPr="0026272D">
        <w:rPr>
          <w:rFonts w:ascii="Menlo" w:eastAsia="Times New Roman" w:hAnsi="Menlo" w:cs="Menlo"/>
          <w:color w:val="CE9178"/>
          <w:sz w:val="18"/>
          <w:szCs w:val="18"/>
          <w:lang w:eastAsia="zh-CN"/>
        </w:rPr>
        <w:t>i lượng vi rút c</w:t>
      </w:r>
      <w:r w:rsidRPr="0026272D">
        <w:rPr>
          <w:rFonts w:ascii="Calibri" w:eastAsia="Times New Roman" w:hAnsi="Calibri" w:cs="Calibri"/>
          <w:color w:val="CE9178"/>
          <w:sz w:val="18"/>
          <w:szCs w:val="18"/>
          <w:lang w:eastAsia="zh-CN"/>
        </w:rPr>
        <w:t>ủ</w:t>
      </w:r>
      <w:r w:rsidRPr="0026272D">
        <w:rPr>
          <w:rFonts w:ascii="Menlo" w:eastAsia="Times New Roman" w:hAnsi="Menlo" w:cs="Menlo"/>
          <w:color w:val="CE9178"/>
          <w:sz w:val="18"/>
          <w:szCs w:val="18"/>
          <w:lang w:eastAsia="zh-CN"/>
        </w:rPr>
        <w:t>a bệnh nhân?</w:t>
      </w:r>
    </w:p>
    <w:p w14:paraId="57503054" w14:textId="77777777" w:rsidR="0026272D" w:rsidRDefault="0026272D" w:rsidP="00CE2DFC"/>
    <w:p w14:paraId="59A94F85" w14:textId="125EBB9D" w:rsidR="00CE2DFC" w:rsidRPr="00CE2DFC" w:rsidRDefault="00CE2DFC" w:rsidP="00CE2DFC">
      <w:r w:rsidRPr="00CE2DFC">
        <w:t xml:space="preserve">Undetectable </w:t>
      </w:r>
    </w:p>
    <w:p w14:paraId="4F5C856C" w14:textId="77777777" w:rsidR="00CE2DFC" w:rsidRPr="00CE2DFC" w:rsidRDefault="00CE2DFC" w:rsidP="00CE2DFC">
      <w:r w:rsidRPr="00CE2DFC">
        <w:t>&lt;2000 IU/ml</w:t>
      </w:r>
    </w:p>
    <w:p w14:paraId="2B774D7D" w14:textId="77777777" w:rsidR="00CE2DFC" w:rsidRPr="00CE2DFC" w:rsidRDefault="00CE2DFC" w:rsidP="00CE2DFC">
      <w:r w:rsidRPr="00CE2DFC">
        <w:t>2000~20,000 IU/mL</w:t>
      </w:r>
    </w:p>
    <w:p w14:paraId="1AE4724E" w14:textId="77777777" w:rsidR="00CE2DFC" w:rsidRPr="00CE2DFC" w:rsidRDefault="00CE2DFC" w:rsidP="00CE2DFC">
      <w:r w:rsidRPr="00CE2DFC">
        <w:t>&gt;20,000 IU/mL</w:t>
      </w:r>
    </w:p>
    <w:p w14:paraId="4901CF29" w14:textId="77777777" w:rsidR="00CE2DFC" w:rsidRDefault="00CE2DFC" w:rsidP="00CE2DFC">
      <w:pPr>
        <w:rPr>
          <w:b/>
          <w:bCs/>
          <w:highlight w:val="lightGray"/>
        </w:rPr>
      </w:pPr>
    </w:p>
    <w:p w14:paraId="657533E8" w14:textId="77777777" w:rsidR="00CE2DFC" w:rsidRPr="00CE2DFC" w:rsidRDefault="00CE2DFC" w:rsidP="00CE2DFC">
      <w:r w:rsidRPr="00CE2DFC">
        <w:rPr>
          <w:highlight w:val="lightGray"/>
        </w:rPr>
        <w:t>Enter</w:t>
      </w:r>
    </w:p>
    <w:p w14:paraId="6AF543EB" w14:textId="77777777" w:rsidR="00CE2DFC" w:rsidRPr="00146575" w:rsidRDefault="00CE2DFC" w:rsidP="00CE2DFC">
      <w:pPr>
        <w:pStyle w:val="ListParagraph"/>
        <w:ind w:left="0"/>
        <w:rPr>
          <w:b/>
          <w:bCs/>
        </w:rPr>
      </w:pPr>
    </w:p>
    <w:p w14:paraId="42C0228E" w14:textId="77777777" w:rsidR="00CE2DFC" w:rsidRPr="00B17F47" w:rsidRDefault="00CE2DFC" w:rsidP="00CE2DFC">
      <w:pPr>
        <w:pStyle w:val="ListParagraph"/>
      </w:pPr>
    </w:p>
    <w:p w14:paraId="5FFA840A" w14:textId="77777777" w:rsidR="00CE2DFC" w:rsidRPr="00B17F47" w:rsidRDefault="00CE2DFC" w:rsidP="00CE2DFC">
      <w:pPr>
        <w:rPr>
          <w:b/>
          <w:bCs/>
        </w:rPr>
      </w:pPr>
    </w:p>
    <w:p w14:paraId="2AB1943C" w14:textId="18BEA457" w:rsidR="00CE2DFC" w:rsidRDefault="00CE2DFC" w:rsidP="00CE2DFC"/>
    <w:p w14:paraId="64B36815" w14:textId="51ACDC99" w:rsidR="00EB11BC" w:rsidRDefault="00EB11BC" w:rsidP="00CE2DFC"/>
    <w:p w14:paraId="6F97B3CB" w14:textId="29D96743" w:rsidR="00EB11BC" w:rsidRDefault="00EB11BC" w:rsidP="00CE2DFC"/>
    <w:p w14:paraId="145B3A34" w14:textId="0AD48D99" w:rsidR="00EB11BC" w:rsidRDefault="00EB11BC" w:rsidP="00CE2DFC"/>
    <w:p w14:paraId="1748DC9C" w14:textId="0824C291" w:rsidR="00EB11BC" w:rsidRDefault="00EB11BC" w:rsidP="00CE2DFC">
      <w:pPr>
        <w:rPr>
          <w:b/>
          <w:bCs/>
        </w:rPr>
      </w:pPr>
      <w:r w:rsidRPr="00EB11BC">
        <w:rPr>
          <w:b/>
          <w:bCs/>
        </w:rPr>
        <w:t>AASLD Treatment Recommended Page</w:t>
      </w:r>
    </w:p>
    <w:p w14:paraId="1AB7DB10" w14:textId="587AFC6E" w:rsidR="00EB11BC" w:rsidRDefault="00EB11BC" w:rsidP="00EB11BC">
      <w:pPr>
        <w:rPr>
          <w:b/>
          <w:bCs/>
        </w:rPr>
      </w:pPr>
      <w:r>
        <w:rPr>
          <w:b/>
          <w:bCs/>
        </w:rPr>
        <w:t>Recommendation: Treatment</w:t>
      </w:r>
      <w:r w:rsidR="00BB6D61">
        <w:rPr>
          <w:b/>
          <w:bCs/>
        </w:rPr>
        <w:tab/>
      </w:r>
      <w:r w:rsidR="00BB6D61">
        <w:rPr>
          <w:b/>
          <w:bCs/>
        </w:rPr>
        <w:tab/>
      </w:r>
      <w:r w:rsidR="00BB6D61" w:rsidRPr="00BB6D61">
        <w:rPr>
          <w:b/>
          <w:bCs/>
        </w:rPr>
        <w:t>Khuyến nghị: Điều trị</w:t>
      </w:r>
    </w:p>
    <w:p w14:paraId="1A5BA90A" w14:textId="1AC7C7B9" w:rsidR="00EB11BC" w:rsidRDefault="00EB11BC" w:rsidP="00EB11BC">
      <w:pPr>
        <w:rPr>
          <w:b/>
          <w:bCs/>
        </w:rPr>
      </w:pPr>
      <w:r w:rsidRPr="00EF0C56">
        <w:rPr>
          <w:b/>
          <w:bCs/>
        </w:rPr>
        <w:t xml:space="preserve">The result shows antiviral treatment is indicated at this time </w:t>
      </w:r>
    </w:p>
    <w:p w14:paraId="7D45B342" w14:textId="3DF05A76" w:rsidR="00BB6D61" w:rsidRPr="00EF0C56" w:rsidRDefault="00BB6D61" w:rsidP="00EB11BC">
      <w:pPr>
        <w:rPr>
          <w:b/>
          <w:bCs/>
        </w:rPr>
      </w:pPr>
      <w:r w:rsidRPr="00BB6D61">
        <w:rPr>
          <w:b/>
          <w:bCs/>
        </w:rPr>
        <w:t>Kết quả khuyến nghị chỉ định điều trị thuốc kháng vi rút</w:t>
      </w:r>
    </w:p>
    <w:p w14:paraId="4970AF43" w14:textId="7C928B7E" w:rsidR="00EB11BC" w:rsidRDefault="00EB11BC" w:rsidP="00EB11BC">
      <w:pPr>
        <w:rPr>
          <w:b/>
          <w:bCs/>
        </w:rPr>
      </w:pPr>
      <w:r w:rsidRPr="00EF0C56">
        <w:rPr>
          <w:b/>
          <w:bCs/>
        </w:rPr>
        <w:t xml:space="preserve">Entecavir (ETV 0.5 mg/pill/day) or Tenofovir disoproxil fumarate (TDF 300mg/pill/day) or Tenofovir alafenamide fumarate (TAF 25mg/pill/day) are the recommended first line treatment because of their potency and low risk of developing drug resistance. </w:t>
      </w:r>
    </w:p>
    <w:p w14:paraId="1CFE4F4C" w14:textId="24CF5DA8" w:rsidR="00BB6D61" w:rsidRPr="00EF0C56" w:rsidRDefault="00BB6D61" w:rsidP="00EB11BC">
      <w:pPr>
        <w:rPr>
          <w:b/>
          <w:bCs/>
        </w:rPr>
      </w:pPr>
      <w:r w:rsidRPr="00BB6D61">
        <w:rPr>
          <w:b/>
          <w:bCs/>
        </w:rPr>
        <w:t>Entecavir (ETV 0.5mg/viên/ngày) hoặc Tenofovir disoproxil fumarate (TDF 300mg/viên/ngày) hoặc Tenofovir alafenamide fumarate (TAF 25mg/viên/ngày) là phác đồ bậc 1 ưu tiên do có hoạt tính cao và ít nguy cơ kháng thuốc.</w:t>
      </w:r>
    </w:p>
    <w:p w14:paraId="030073E3" w14:textId="23AF43FE" w:rsidR="00EB11BC" w:rsidRDefault="00EB11BC" w:rsidP="00EB11BC">
      <w:r w:rsidRPr="008E4EED">
        <w:t>The medicines act by preventing the hepatitis B virus from replicating</w:t>
      </w:r>
      <w:r w:rsidR="00BB6D61">
        <w:t>.</w:t>
      </w:r>
    </w:p>
    <w:p w14:paraId="0B36D48A" w14:textId="46211DC8" w:rsidR="00BB6D61" w:rsidRPr="008E4EED" w:rsidRDefault="00BB6D61" w:rsidP="00EB11BC">
      <w:r w:rsidRPr="00BB6D61">
        <w:t>Thuốc có tác dụng ngăn chặn sự nhân lên của vi rút</w:t>
      </w:r>
      <w:r>
        <w:t>.</w:t>
      </w:r>
    </w:p>
    <w:p w14:paraId="436A7713" w14:textId="4B376876" w:rsidR="00EB11BC" w:rsidRDefault="00EB11BC" w:rsidP="00EB11BC">
      <w:r w:rsidRPr="008E4EED">
        <w:t>Important to take the medicine daily to prevent the development of drug resistance. Patients who had taken lamivudine and developed drug resistance should be placed on tenofovir.</w:t>
      </w:r>
    </w:p>
    <w:p w14:paraId="27AF45D8" w14:textId="26632F7A" w:rsidR="00BB6D61" w:rsidRPr="008E4EED" w:rsidRDefault="00BB6D61" w:rsidP="00EB11BC">
      <w:r w:rsidRPr="00BB6D61">
        <w:t>Cần dùng thuốc hàng ngày để tránh gây kháng thuốc. Bệnh nhân đã sử dụng lamivudine và kháng thuốc nên chuyển sang dùng tenofovir</w:t>
      </w:r>
      <w:r>
        <w:t>.</w:t>
      </w:r>
    </w:p>
    <w:p w14:paraId="1417CD95" w14:textId="44BDF073" w:rsidR="00EB11BC" w:rsidRDefault="00EB11BC" w:rsidP="00EB11BC">
      <w:r w:rsidRPr="008E4EED">
        <w:t>Duration of treatment is likely life-long. Stopping treatment can result in hepatitis flare.</w:t>
      </w:r>
    </w:p>
    <w:p w14:paraId="45BE465E" w14:textId="7964AD8F" w:rsidR="00BB6D61" w:rsidRPr="008E4EED" w:rsidRDefault="00BB6D61" w:rsidP="00EB11BC">
      <w:r w:rsidRPr="00BB6D61">
        <w:t>Thời gian điều trị có thể là suốt đời. Dừng thuốc có thể gây cơn viêm gan kịch phát</w:t>
      </w:r>
      <w:r>
        <w:t>.</w:t>
      </w:r>
    </w:p>
    <w:p w14:paraId="553C9201" w14:textId="77777777" w:rsidR="00BB6D61" w:rsidRDefault="00EB11BC" w:rsidP="00EB11BC">
      <w:pPr>
        <w:rPr>
          <w:b/>
          <w:bCs/>
        </w:rPr>
      </w:pPr>
      <w:r w:rsidRPr="00EF0C56">
        <w:rPr>
          <w:rFonts w:hint="eastAsia"/>
          <w:b/>
          <w:bCs/>
        </w:rPr>
        <w:t>•</w:t>
      </w:r>
      <w:r w:rsidRPr="00EF0C56">
        <w:rPr>
          <w:b/>
          <w:bCs/>
        </w:rPr>
        <w:t>Long-term Monitoring recommendations:</w:t>
      </w:r>
    </w:p>
    <w:p w14:paraId="70369150" w14:textId="1452266B" w:rsidR="00EB11BC" w:rsidRPr="00EF0C56" w:rsidRDefault="00EB11BC" w:rsidP="00EB11BC">
      <w:pPr>
        <w:rPr>
          <w:b/>
          <w:bCs/>
        </w:rPr>
      </w:pPr>
      <w:r w:rsidRPr="00EF0C56">
        <w:rPr>
          <w:b/>
          <w:bCs/>
        </w:rPr>
        <w:t xml:space="preserve"> </w:t>
      </w:r>
      <w:r w:rsidR="00BB6D61" w:rsidRPr="00BB6D61">
        <w:rPr>
          <w:b/>
          <w:bCs/>
        </w:rPr>
        <w:t>• Khuyến nghị về Khám theo dõi lâu dài</w:t>
      </w:r>
    </w:p>
    <w:p w14:paraId="7CA6AC13" w14:textId="21244273" w:rsidR="00BB6D61" w:rsidRDefault="00EB11BC" w:rsidP="00EB11BC">
      <w:r w:rsidRPr="008E4EED">
        <w:t>1.Blood test for ALT level to monitor for treatment response and hepatitis flare every 6 months. Blood test for creatinine every 6 -12 months to monitor kidney function if taking tenofovir.</w:t>
      </w:r>
    </w:p>
    <w:p w14:paraId="0715FED6" w14:textId="38F3C9AE" w:rsidR="00BB6D61" w:rsidRDefault="00BB6D61" w:rsidP="00EB11BC">
      <w:r w:rsidRPr="00BB6D61">
        <w:t>1. Xét nghiệm máu kiểm tra ALT để theo dõi đáp ứng điều trị 6 tháng một lần. Xét nghiệm máu kiểm tra creatinine 6 -12 một lần để theo dõi chức năng thân nếu dùng tenofovir</w:t>
      </w:r>
      <w:r>
        <w:t>.</w:t>
      </w:r>
    </w:p>
    <w:p w14:paraId="378D3344" w14:textId="69D5888B" w:rsidR="00EB11BC" w:rsidRDefault="00EB11BC" w:rsidP="00EB11BC">
      <w:r w:rsidRPr="008E4EED">
        <w:t>2. Blood test for hepatitis B DNA level 3 - 6 months after starting treatment to evaluate treatment response. Repeat if ALT level becomes elevated on treatment and if feasible once a year.</w:t>
      </w:r>
    </w:p>
    <w:p w14:paraId="5944F3A4" w14:textId="34F19CA7" w:rsidR="004F213C" w:rsidRPr="004F213C" w:rsidRDefault="004F213C" w:rsidP="004F213C">
      <w:pPr>
        <w:rPr>
          <w:color w:val="ED7D31" w:themeColor="accent2"/>
        </w:rPr>
      </w:pPr>
      <w:r>
        <w:rPr>
          <w:color w:val="ED7D31" w:themeColor="accent2"/>
        </w:rPr>
        <w:lastRenderedPageBreak/>
        <w:t xml:space="preserve">2. </w:t>
      </w:r>
      <w:r w:rsidRPr="004F213C">
        <w:rPr>
          <w:color w:val="ED7D31" w:themeColor="accent2"/>
        </w:rPr>
        <w:t>Xét nghiệm máu đo tải lượng vi rút 3-6 tháng sau điều trị để đánh giá đáp ứng điều trị</w:t>
      </w:r>
      <w:r>
        <w:rPr>
          <w:color w:val="ED7D31" w:themeColor="accent2"/>
        </w:rPr>
        <w:t>. Xét nghiệm lại</w:t>
      </w:r>
      <w:r w:rsidRPr="004F213C">
        <w:rPr>
          <w:color w:val="ED7D31" w:themeColor="accent2"/>
        </w:rPr>
        <w:t xml:space="preserve"> nếu ALT tăng cao trong quá trình điều trị, và nhắc lại hàng năm nếu có thể</w:t>
      </w:r>
    </w:p>
    <w:p w14:paraId="72058825" w14:textId="77777777" w:rsidR="004F213C" w:rsidRDefault="004F213C" w:rsidP="00EB11BC"/>
    <w:p w14:paraId="3EF493CA" w14:textId="1DF2B442" w:rsidR="00EB11BC" w:rsidRDefault="00EB11BC" w:rsidP="00EB11BC">
      <w:r w:rsidRPr="008E4EED">
        <w:t>3. Blood test for alpha fetoprotein (AFP) level every 6 months and liver ultrasound every 6-12 months for liver cancer screening (Particularly important if the patient has cirrhosis or a family history of liver cancer)</w:t>
      </w:r>
    </w:p>
    <w:p w14:paraId="236AED84" w14:textId="4F01B6D7" w:rsidR="00BB6D61" w:rsidRPr="008E4EED" w:rsidRDefault="00BB6D61" w:rsidP="00EB11BC">
      <w:r w:rsidRPr="00BB6D61">
        <w:t>3. Xét nghiệm máu kiểm tra alpha fetoprotein 6 tháng một lần, siêu âm gan 6-12 tháng một lần để tầm soát ung thư gan (Đặc biệt quan trong nếu bệnh nhân bị xơ gan hoặc trong gia đình có người mắc ung thư gan)</w:t>
      </w:r>
      <w:r>
        <w:t>.</w:t>
      </w:r>
    </w:p>
    <w:p w14:paraId="47D68F4A" w14:textId="77777777" w:rsidR="00EB11BC" w:rsidRPr="00EF0C56" w:rsidRDefault="00EB11BC" w:rsidP="00EB11BC">
      <w:pPr>
        <w:rPr>
          <w:b/>
          <w:bCs/>
        </w:rPr>
      </w:pPr>
    </w:p>
    <w:p w14:paraId="0D43DABC" w14:textId="437860CF" w:rsidR="00EB11BC" w:rsidRDefault="00EB11BC" w:rsidP="00EB11BC">
      <w:pPr>
        <w:rPr>
          <w:b/>
          <w:bCs/>
        </w:rPr>
      </w:pPr>
      <w:r w:rsidRPr="00EF0C56">
        <w:rPr>
          <w:rFonts w:hint="eastAsia"/>
          <w:b/>
          <w:bCs/>
        </w:rPr>
        <w:t>•</w:t>
      </w:r>
      <w:r w:rsidRPr="00EF0C56">
        <w:rPr>
          <w:b/>
          <w:bCs/>
        </w:rPr>
        <w:t xml:space="preserve"> Avoid drinking alcohol and moldy food</w:t>
      </w:r>
      <w:r w:rsidRPr="00EB11BC">
        <w:rPr>
          <w:b/>
          <w:bCs/>
          <w:color w:val="FF0000"/>
        </w:rPr>
        <w:t xml:space="preserve">. Advise the patient to receive the hepatitis A vaccine if unprotected and the patient’s family and partner to get tested </w:t>
      </w:r>
      <w:r w:rsidRPr="00EF0C56">
        <w:rPr>
          <w:b/>
          <w:bCs/>
        </w:rPr>
        <w:t>for hepatitis B and get vaccinated if they are not protected.</w:t>
      </w:r>
    </w:p>
    <w:p w14:paraId="7C26C627" w14:textId="4B61371F" w:rsidR="00BB6D61" w:rsidRPr="00EF0C56" w:rsidRDefault="00BB6D61" w:rsidP="00EB11BC">
      <w:pPr>
        <w:rPr>
          <w:b/>
          <w:bCs/>
        </w:rPr>
      </w:pPr>
      <w:r w:rsidRPr="00BB6D61">
        <w:rPr>
          <w:b/>
          <w:bCs/>
        </w:rPr>
        <w:t xml:space="preserve">• Tránh uống rượu và thức ăn có nấm mốc. </w:t>
      </w:r>
      <w:r w:rsidR="007F3068" w:rsidRPr="00245163">
        <w:rPr>
          <w:b/>
          <w:bCs/>
          <w:color w:val="ED7D31" w:themeColor="accent2"/>
        </w:rPr>
        <w:t>Tư vấn cho bện</w:t>
      </w:r>
      <w:r w:rsidR="00524433">
        <w:rPr>
          <w:b/>
          <w:bCs/>
          <w:color w:val="ED7D31" w:themeColor="accent2"/>
        </w:rPr>
        <w:t>h</w:t>
      </w:r>
      <w:r w:rsidR="007F3068" w:rsidRPr="00245163">
        <w:rPr>
          <w:b/>
          <w:bCs/>
          <w:color w:val="ED7D31" w:themeColor="accent2"/>
        </w:rPr>
        <w:t xml:space="preserve"> nhân đi tiêm vắc xin phòng viêm gan A nếu chưa được bảo vệ</w:t>
      </w:r>
      <w:r w:rsidR="00524433">
        <w:rPr>
          <w:b/>
          <w:bCs/>
          <w:color w:val="ED7D31" w:themeColor="accent2"/>
        </w:rPr>
        <w:t>,</w:t>
      </w:r>
      <w:r w:rsidR="007F3068" w:rsidRPr="00245163">
        <w:rPr>
          <w:b/>
          <w:bCs/>
          <w:color w:val="ED7D31" w:themeColor="accent2"/>
        </w:rPr>
        <w:t xml:space="preserve"> và tư vấn cho vợ/chồng và các thành viên khác trong gia đình</w:t>
      </w:r>
      <w:r w:rsidR="007F3068" w:rsidRPr="007F3068">
        <w:rPr>
          <w:b/>
          <w:bCs/>
          <w:color w:val="000000" w:themeColor="text1"/>
        </w:rPr>
        <w:t xml:space="preserve"> </w:t>
      </w:r>
      <w:r w:rsidR="007F3068">
        <w:rPr>
          <w:b/>
          <w:bCs/>
          <w:color w:val="000000" w:themeColor="text1"/>
        </w:rPr>
        <w:t xml:space="preserve">đi </w:t>
      </w:r>
      <w:r w:rsidRPr="00BB6D61">
        <w:rPr>
          <w:b/>
          <w:bCs/>
        </w:rPr>
        <w:t>xét nghiệm viêm gan B và tiêm vắc xin phòng viêm gan B nếu chưa được bảo vệ.</w:t>
      </w:r>
    </w:p>
    <w:p w14:paraId="7F2B1165" w14:textId="32474B40" w:rsidR="00EB11BC" w:rsidRDefault="00EB11BC" w:rsidP="00EB11BC">
      <w:pPr>
        <w:rPr>
          <w:b/>
          <w:bCs/>
        </w:rPr>
      </w:pPr>
    </w:p>
    <w:p w14:paraId="741E9DF4" w14:textId="559E9353" w:rsidR="00EB11BC" w:rsidRDefault="00EB11BC" w:rsidP="00EB11BC">
      <w:pPr>
        <w:rPr>
          <w:b/>
          <w:bCs/>
        </w:rPr>
      </w:pPr>
    </w:p>
    <w:p w14:paraId="3F86B064" w14:textId="2D29D2FB" w:rsidR="00EB11BC" w:rsidRDefault="00EB11BC" w:rsidP="00EB11BC">
      <w:pPr>
        <w:rPr>
          <w:b/>
          <w:bCs/>
        </w:rPr>
      </w:pPr>
    </w:p>
    <w:p w14:paraId="388FBB2E" w14:textId="7D0C9EEF" w:rsidR="00EB11BC" w:rsidRDefault="00EB11BC" w:rsidP="00EB11BC">
      <w:pPr>
        <w:rPr>
          <w:b/>
          <w:bCs/>
        </w:rPr>
      </w:pPr>
    </w:p>
    <w:p w14:paraId="683A451C" w14:textId="1E7A40FB" w:rsidR="00EB11BC" w:rsidRDefault="00EB11BC" w:rsidP="00EB11BC">
      <w:pPr>
        <w:rPr>
          <w:b/>
          <w:bCs/>
        </w:rPr>
      </w:pPr>
    </w:p>
    <w:p w14:paraId="531B8FAF" w14:textId="636416BF" w:rsidR="00EB11BC" w:rsidRDefault="00EB11BC" w:rsidP="00EB11BC">
      <w:pPr>
        <w:rPr>
          <w:b/>
          <w:bCs/>
        </w:rPr>
      </w:pPr>
    </w:p>
    <w:p w14:paraId="11C985FD" w14:textId="7B260443" w:rsidR="00EB11BC" w:rsidRDefault="00EB11BC" w:rsidP="00EB11BC">
      <w:pPr>
        <w:rPr>
          <w:b/>
          <w:bCs/>
        </w:rPr>
      </w:pPr>
    </w:p>
    <w:p w14:paraId="7C7E77DF" w14:textId="1AC997D5" w:rsidR="00EB11BC" w:rsidRDefault="00EB11BC" w:rsidP="00EB11BC">
      <w:pPr>
        <w:rPr>
          <w:b/>
          <w:bCs/>
        </w:rPr>
      </w:pPr>
    </w:p>
    <w:p w14:paraId="42D2768F" w14:textId="1F1B1DEC" w:rsidR="00EB11BC" w:rsidRDefault="00EB11BC" w:rsidP="00EB11BC">
      <w:pPr>
        <w:rPr>
          <w:b/>
          <w:bCs/>
        </w:rPr>
      </w:pPr>
    </w:p>
    <w:p w14:paraId="61DC0301" w14:textId="77777777" w:rsidR="00EB11BC" w:rsidRDefault="00EB11BC" w:rsidP="00EB11BC">
      <w:pPr>
        <w:rPr>
          <w:b/>
          <w:bCs/>
        </w:rPr>
      </w:pPr>
      <w:r w:rsidRPr="00351D88">
        <w:rPr>
          <w:b/>
          <w:bCs/>
        </w:rPr>
        <w:t>AASLD No Treatment Recommended page</w:t>
      </w:r>
    </w:p>
    <w:p w14:paraId="506C28A9" w14:textId="3F5DE758" w:rsidR="00EB11BC" w:rsidRDefault="00EB11BC" w:rsidP="00EB11BC">
      <w:pPr>
        <w:rPr>
          <w:b/>
          <w:bCs/>
        </w:rPr>
      </w:pPr>
      <w:r>
        <w:rPr>
          <w:b/>
          <w:bCs/>
        </w:rPr>
        <w:t>Recommendation: No Treatment</w:t>
      </w:r>
      <w:r w:rsidR="009A2B7F">
        <w:rPr>
          <w:b/>
          <w:bCs/>
        </w:rPr>
        <w:tab/>
      </w:r>
      <w:r w:rsidR="009A2B7F" w:rsidRPr="009A2B7F">
        <w:rPr>
          <w:b/>
          <w:bCs/>
        </w:rPr>
        <w:t>Khuyến nghị: Không điều trị</w:t>
      </w:r>
    </w:p>
    <w:p w14:paraId="6060B96E" w14:textId="04F78627" w:rsidR="00EB11BC" w:rsidRDefault="00EB11BC" w:rsidP="00EB11BC">
      <w:pPr>
        <w:rPr>
          <w:b/>
          <w:bCs/>
        </w:rPr>
      </w:pPr>
      <w:r w:rsidRPr="005B0287">
        <w:rPr>
          <w:b/>
          <w:bCs/>
        </w:rPr>
        <w:t>The result shows antiviral treatment is not indicated at this time</w:t>
      </w:r>
    </w:p>
    <w:p w14:paraId="26E24795" w14:textId="7F1C83CA" w:rsidR="009A2B7F" w:rsidRDefault="009A2B7F" w:rsidP="00EB11BC">
      <w:pPr>
        <w:rPr>
          <w:b/>
          <w:bCs/>
        </w:rPr>
      </w:pPr>
      <w:r w:rsidRPr="009A2B7F">
        <w:rPr>
          <w:b/>
          <w:bCs/>
        </w:rPr>
        <w:t>TKết quả cho thấy không khuyến nghị chỉ định điều trị thuốc kháng vi rút tại thời điểm này</w:t>
      </w:r>
    </w:p>
    <w:p w14:paraId="3D0BC895" w14:textId="77777777" w:rsidR="009A2B7F" w:rsidRPr="005B0287" w:rsidRDefault="009A2B7F" w:rsidP="00EB11BC">
      <w:pPr>
        <w:rPr>
          <w:b/>
          <w:bCs/>
        </w:rPr>
      </w:pPr>
    </w:p>
    <w:p w14:paraId="79B68939" w14:textId="7CD17CA2" w:rsidR="00EB11BC" w:rsidRDefault="00EB11BC" w:rsidP="00EB11BC">
      <w:pPr>
        <w:rPr>
          <w:b/>
          <w:bCs/>
        </w:rPr>
      </w:pPr>
      <w:r w:rsidRPr="005B0287">
        <w:rPr>
          <w:b/>
          <w:bCs/>
        </w:rPr>
        <w:t xml:space="preserve">Even though treatment is not indicated for now, </w:t>
      </w:r>
      <w:r w:rsidRPr="00345C74">
        <w:rPr>
          <w:b/>
          <w:bCs/>
          <w:color w:val="FF0000"/>
        </w:rPr>
        <w:t xml:space="preserve">the chronically infected person still has </w:t>
      </w:r>
      <w:r w:rsidRPr="005B0287">
        <w:rPr>
          <w:b/>
          <w:bCs/>
        </w:rPr>
        <w:t>a risk of developing liver cancer and active hepatitis that would require treatment in the future. It is important to follow long-term monitoring recommendations.</w:t>
      </w:r>
    </w:p>
    <w:p w14:paraId="0BA74C3D" w14:textId="73F5F11B" w:rsidR="009A2B7F" w:rsidRPr="005B0287" w:rsidRDefault="009A2B7F" w:rsidP="00EB11BC">
      <w:pPr>
        <w:rPr>
          <w:b/>
          <w:bCs/>
        </w:rPr>
      </w:pPr>
      <w:r w:rsidRPr="009A2B7F">
        <w:rPr>
          <w:b/>
          <w:bCs/>
        </w:rPr>
        <w:lastRenderedPageBreak/>
        <w:t xml:space="preserve">Mặc dù không khuyến nghị chỉ định điều trị kháng vi rút tại thời điểm này, </w:t>
      </w:r>
      <w:r w:rsidRPr="00245163">
        <w:rPr>
          <w:b/>
          <w:bCs/>
          <w:color w:val="ED7D31" w:themeColor="accent2"/>
        </w:rPr>
        <w:t xml:space="preserve">bệnh nhân </w:t>
      </w:r>
      <w:r w:rsidR="00245163" w:rsidRPr="00245163">
        <w:rPr>
          <w:b/>
          <w:bCs/>
          <w:color w:val="ED7D31" w:themeColor="accent2"/>
        </w:rPr>
        <w:t xml:space="preserve">mắc bệnh mạn tính </w:t>
      </w:r>
      <w:r w:rsidRPr="009A2B7F">
        <w:rPr>
          <w:b/>
          <w:bCs/>
        </w:rPr>
        <w:t>vẫn có nguy cơ tiến triển thành ung thư gan hoặc bệnh gan mạn tính và cần điều trị trong tương lai. Cần tuân theo các khuyến nghị về khám theo dõi lâu dài.</w:t>
      </w:r>
    </w:p>
    <w:p w14:paraId="6ABB4EDC" w14:textId="77777777" w:rsidR="00EB11BC" w:rsidRDefault="00EB11BC" w:rsidP="00EB11BC"/>
    <w:p w14:paraId="2ECD3134" w14:textId="7E06894D" w:rsidR="00EB11BC" w:rsidRDefault="00EB11BC" w:rsidP="00EB11BC">
      <w:pPr>
        <w:rPr>
          <w:b/>
          <w:bCs/>
        </w:rPr>
      </w:pPr>
      <w:r w:rsidRPr="005B0287">
        <w:rPr>
          <w:b/>
          <w:bCs/>
        </w:rPr>
        <w:t>•Long-term Monitoring recommendations</w:t>
      </w:r>
    </w:p>
    <w:p w14:paraId="5BCE3A91" w14:textId="0B72AD53" w:rsidR="009A2B7F" w:rsidRPr="005B0287" w:rsidRDefault="009A2B7F" w:rsidP="00EB11BC">
      <w:pPr>
        <w:rPr>
          <w:b/>
          <w:bCs/>
        </w:rPr>
      </w:pPr>
      <w:r w:rsidRPr="009A2B7F">
        <w:rPr>
          <w:b/>
          <w:bCs/>
        </w:rPr>
        <w:t>• Khuyến nghị về Khám theo dõi lâu dài</w:t>
      </w:r>
    </w:p>
    <w:p w14:paraId="10E56538" w14:textId="00F73BA9" w:rsidR="00EB11BC" w:rsidRDefault="00EB11BC" w:rsidP="00EB11BC">
      <w:r>
        <w:t>1. Blood test for ALT level to monitor for active hepatitis every 6-12 months. When ALT becomes elevated, repeat HBV DNA level to check for increased viral activity.</w:t>
      </w:r>
    </w:p>
    <w:p w14:paraId="27B87353" w14:textId="2DB7E702" w:rsidR="009A2B7F" w:rsidRDefault="009A2B7F" w:rsidP="00EB11BC">
      <w:r w:rsidRPr="009A2B7F">
        <w:t>1. Xét nghiệm máu kiểm tra ALT để theo dõi độ hoạt động của vi rút viêm gan 6-12 tháng một lần. Nếu ALT tăng cao, cần làm lại xét nghiệm tải lượng vi rút HBV DNA để đánh giá mức độ hoạt động của vi rút.</w:t>
      </w:r>
    </w:p>
    <w:p w14:paraId="6AF8DE9A" w14:textId="77777777" w:rsidR="009A2B7F" w:rsidRDefault="009A2B7F" w:rsidP="00EB11BC"/>
    <w:p w14:paraId="4B68DA34" w14:textId="7F805FEA" w:rsidR="00EB11BC" w:rsidRDefault="00EB11BC" w:rsidP="00EB11BC">
      <w:r>
        <w:t>2. Blood test for alpha fetoprotein (AFP) level every 6 months and liver ultrasound every 6-12 months for liver cancer screening (Regular liver cancer screening is particularly important if there is a family history of liver cancer)</w:t>
      </w:r>
      <w:r w:rsidR="00BB6D61">
        <w:t>.</w:t>
      </w:r>
    </w:p>
    <w:p w14:paraId="52076A2D" w14:textId="7AEC812D" w:rsidR="00425830" w:rsidRDefault="00425830" w:rsidP="00EB11BC">
      <w:r w:rsidRPr="00425830">
        <w:t>2. Xét nghiệm máu kiểm tra mức alpha fetoprotein(AFP) 6 tháng một lần và siêu âm gan 6-12 tháng một lần để tầm soát ung thư gan (Cần tầm soát ung thư gan thường xuyên đối với bệnh nhân tiền sử gia đình có người mắc ung thư gan)</w:t>
      </w:r>
      <w:r w:rsidR="00BB6D61">
        <w:t>.</w:t>
      </w:r>
    </w:p>
    <w:p w14:paraId="1087D3F6" w14:textId="62429AC8" w:rsidR="00EB11BC" w:rsidRDefault="00EB11BC" w:rsidP="00EB11BC">
      <w:r>
        <w:t>3. Baseline blood test for anti-HBe. Blood test for HBV DNA level once a year if feasible to monitor viral activity.</w:t>
      </w:r>
    </w:p>
    <w:p w14:paraId="3038E610" w14:textId="7B42A5B8" w:rsidR="00425830" w:rsidRDefault="00425830" w:rsidP="00EB11BC">
      <w:r w:rsidRPr="00425830">
        <w:t>3. Xét nghiệm ani-HBeAg lần đầu. Làm xét nghiệm tải lượng vi rút HBV DNA hàng năm nếu có thể để đánh giá mức độ hoạt động của vi rút.</w:t>
      </w:r>
    </w:p>
    <w:p w14:paraId="45DB3A64" w14:textId="77777777" w:rsidR="00EB11BC" w:rsidRDefault="00EB11BC" w:rsidP="00EB11BC"/>
    <w:p w14:paraId="065BE6BF" w14:textId="14B432D5" w:rsidR="00EB11BC" w:rsidRDefault="00EB11BC" w:rsidP="00EB11BC">
      <w:pPr>
        <w:rPr>
          <w:b/>
          <w:bCs/>
        </w:rPr>
      </w:pPr>
      <w:r w:rsidRPr="005B0287">
        <w:rPr>
          <w:b/>
          <w:bCs/>
        </w:rPr>
        <w:t>•Circumstances where prophylactic antiviral treatment may be appropriate</w:t>
      </w:r>
    </w:p>
    <w:p w14:paraId="600EC495" w14:textId="3D43B3AE" w:rsidR="00425830" w:rsidRPr="005B0287" w:rsidRDefault="00425830" w:rsidP="00EB11BC">
      <w:pPr>
        <w:rPr>
          <w:b/>
          <w:bCs/>
        </w:rPr>
      </w:pPr>
      <w:r w:rsidRPr="00425830">
        <w:rPr>
          <w:b/>
          <w:bCs/>
        </w:rPr>
        <w:t>• Tình huống có thể cần điều trị dự phòng</w:t>
      </w:r>
    </w:p>
    <w:p w14:paraId="0EAFEDC1" w14:textId="5E248E36" w:rsidR="00EB11BC" w:rsidRDefault="00EB11BC" w:rsidP="00EB11BC">
      <w:r>
        <w:t>1. To prevent hepatitis flare while receiving or following immunosuppressive therapy</w:t>
      </w:r>
      <w:r w:rsidR="00BB6D61">
        <w:t>.</w:t>
      </w:r>
    </w:p>
    <w:p w14:paraId="4AE910EB" w14:textId="3B7098FD" w:rsidR="00425830" w:rsidRDefault="00425830" w:rsidP="00EB11BC">
      <w:r w:rsidRPr="00425830">
        <w:t>1. Để dự phòng đợt viêm gan cấp khi bệnh nhân đang dùng hoặc sau khi dùng thuốc ức chế miễn dịch</w:t>
      </w:r>
      <w:r w:rsidR="00BB6D61">
        <w:t>.</w:t>
      </w:r>
    </w:p>
    <w:p w14:paraId="0E40B9B7" w14:textId="69AA06E9" w:rsidR="00EB11BC" w:rsidRDefault="00EB11BC" w:rsidP="00EB11BC">
      <w:r>
        <w:t>2.To further reduce the risk of mother to child transmission in pregnant women with very high hepatitis B DNA level</w:t>
      </w:r>
      <w:r w:rsidR="00BB6D61">
        <w:t>.</w:t>
      </w:r>
    </w:p>
    <w:p w14:paraId="0C3518A9" w14:textId="3AD81327" w:rsidR="00425830" w:rsidRDefault="00425830" w:rsidP="00EB11BC">
      <w:r w:rsidRPr="00425830">
        <w:t>2. Để giảm hơn nữa nguy cơ lây truyền từ mẹ sang con ở phụ nữ mang thai có tải lượng vi rút rất cao</w:t>
      </w:r>
      <w:r w:rsidR="00BB6D61">
        <w:t>.</w:t>
      </w:r>
    </w:p>
    <w:p w14:paraId="64216896" w14:textId="77777777" w:rsidR="00EB11BC" w:rsidRDefault="00EB11BC" w:rsidP="00EB11BC"/>
    <w:p w14:paraId="6A6BE341" w14:textId="7C92220D" w:rsidR="00EB11BC" w:rsidRDefault="00EB11BC" w:rsidP="00EB11BC">
      <w:pPr>
        <w:rPr>
          <w:b/>
          <w:bCs/>
        </w:rPr>
      </w:pPr>
      <w:r w:rsidRPr="00351D88">
        <w:t xml:space="preserve">• </w:t>
      </w:r>
      <w:r w:rsidRPr="007F0803">
        <w:rPr>
          <w:b/>
          <w:bCs/>
        </w:rPr>
        <w:t xml:space="preserve">Avoid drinking alcohol and moldy food. </w:t>
      </w:r>
      <w:r w:rsidRPr="00EB11BC">
        <w:rPr>
          <w:b/>
          <w:bCs/>
          <w:color w:val="FF0000"/>
        </w:rPr>
        <w:t xml:space="preserve">Advise the patient to receive the hepatitis A vaccine if unprotected and the patient’s family and partner to get tested </w:t>
      </w:r>
      <w:r w:rsidRPr="007F0803">
        <w:rPr>
          <w:b/>
          <w:bCs/>
        </w:rPr>
        <w:t>for hepatitis B and get vaccinated if they are not protected.</w:t>
      </w:r>
    </w:p>
    <w:p w14:paraId="0D314789" w14:textId="13160E48" w:rsidR="00425830" w:rsidRPr="00EF0C56" w:rsidRDefault="00425830" w:rsidP="00EB11BC">
      <w:pPr>
        <w:rPr>
          <w:b/>
          <w:bCs/>
        </w:rPr>
      </w:pPr>
      <w:r w:rsidRPr="00425830">
        <w:rPr>
          <w:b/>
          <w:bCs/>
        </w:rPr>
        <w:lastRenderedPageBreak/>
        <w:t xml:space="preserve">• Tránh uống rượu và các thực phẩm có nấm mốc. </w:t>
      </w:r>
      <w:r w:rsidR="00245163" w:rsidRPr="00245163">
        <w:rPr>
          <w:b/>
          <w:bCs/>
          <w:color w:val="ED7D31" w:themeColor="accent2"/>
        </w:rPr>
        <w:t>Tư vấn cho bện</w:t>
      </w:r>
      <w:r w:rsidR="00524433">
        <w:rPr>
          <w:b/>
          <w:bCs/>
          <w:color w:val="ED7D31" w:themeColor="accent2"/>
        </w:rPr>
        <w:t>h</w:t>
      </w:r>
      <w:r w:rsidR="00245163" w:rsidRPr="00245163">
        <w:rPr>
          <w:b/>
          <w:bCs/>
          <w:color w:val="ED7D31" w:themeColor="accent2"/>
        </w:rPr>
        <w:t xml:space="preserve"> nhân đi tiêm vắc xin phòng viêm gan A nếu chưa được bảo vệ</w:t>
      </w:r>
      <w:r w:rsidR="00524433">
        <w:rPr>
          <w:b/>
          <w:bCs/>
          <w:color w:val="ED7D31" w:themeColor="accent2"/>
        </w:rPr>
        <w:t xml:space="preserve">, </w:t>
      </w:r>
      <w:r w:rsidR="00245163" w:rsidRPr="00245163">
        <w:rPr>
          <w:b/>
          <w:bCs/>
          <w:color w:val="ED7D31" w:themeColor="accent2"/>
        </w:rPr>
        <w:t xml:space="preserve">và tư vấn cho vợ/chồng và các thành viên khác trong gia đình </w:t>
      </w:r>
      <w:r w:rsidR="00245163" w:rsidRPr="007F3068">
        <w:rPr>
          <w:b/>
          <w:bCs/>
          <w:color w:val="000000" w:themeColor="text1"/>
        </w:rPr>
        <w:t>đi xét nghiệm viêm gan B và tiêm vắc xin phòng viêm gan B nếu chưa được bảo vệ.</w:t>
      </w:r>
    </w:p>
    <w:p w14:paraId="0548E682" w14:textId="22D0FC45" w:rsidR="00EB11BC" w:rsidRDefault="00EB11BC" w:rsidP="00CE2DFC">
      <w:pPr>
        <w:rPr>
          <w:b/>
          <w:bCs/>
        </w:rPr>
      </w:pPr>
    </w:p>
    <w:p w14:paraId="466AA4EE" w14:textId="04460B57" w:rsidR="00EB11BC" w:rsidRDefault="00EB11BC" w:rsidP="00CE2DFC">
      <w:pPr>
        <w:rPr>
          <w:b/>
          <w:bCs/>
        </w:rPr>
      </w:pPr>
    </w:p>
    <w:p w14:paraId="0E2DCA05" w14:textId="0DABEB40" w:rsidR="00EB11BC" w:rsidRDefault="00EB11BC" w:rsidP="00CE2DFC">
      <w:pPr>
        <w:rPr>
          <w:b/>
          <w:bCs/>
        </w:rPr>
      </w:pPr>
    </w:p>
    <w:p w14:paraId="176CAA07" w14:textId="3EC395BA" w:rsidR="00EB11BC" w:rsidRDefault="00EB11BC" w:rsidP="00CE2DFC">
      <w:pPr>
        <w:rPr>
          <w:b/>
          <w:bCs/>
        </w:rPr>
      </w:pPr>
    </w:p>
    <w:p w14:paraId="7053C979" w14:textId="59651D0B" w:rsidR="00EB11BC" w:rsidRDefault="00EB11BC" w:rsidP="00CE2DFC">
      <w:pPr>
        <w:rPr>
          <w:b/>
          <w:bCs/>
        </w:rPr>
      </w:pPr>
    </w:p>
    <w:p w14:paraId="17181307" w14:textId="119EB9D4" w:rsidR="00EB11BC" w:rsidRDefault="00EB11BC" w:rsidP="00CE2DFC">
      <w:pPr>
        <w:rPr>
          <w:b/>
          <w:bCs/>
        </w:rPr>
      </w:pPr>
    </w:p>
    <w:p w14:paraId="114BBC08" w14:textId="2179335C" w:rsidR="00EB11BC" w:rsidRDefault="00EB11BC" w:rsidP="00CE2DFC">
      <w:pPr>
        <w:rPr>
          <w:b/>
          <w:bCs/>
        </w:rPr>
      </w:pPr>
    </w:p>
    <w:p w14:paraId="44C9FD78" w14:textId="37711561" w:rsidR="00EB11BC" w:rsidRDefault="00EB11BC" w:rsidP="00EB11BC">
      <w:r w:rsidRPr="00EB11BC">
        <w:rPr>
          <w:b/>
          <w:bCs/>
        </w:rPr>
        <w:t xml:space="preserve">APRI </w:t>
      </w:r>
      <w:r w:rsidRPr="00EB11BC">
        <w:t>(aspartate aminotransferase [AST]-to-platelet ratio index) is recommended as the preferred non-invasive test (NIT) to assess for the presence of cirrhosis (APRI score &gt;2 in adults) in resource-limited settings. Transient elastography (e.g. FibroScan) or FibroTest may be the preferred NITs in settings where they are available and cost is not a major constraint.</w:t>
      </w:r>
    </w:p>
    <w:p w14:paraId="7E40B102" w14:textId="77777777" w:rsidR="008A00EA" w:rsidRPr="008A00EA" w:rsidRDefault="008A00EA" w:rsidP="008A00EA">
      <w:pPr>
        <w:shd w:val="clear" w:color="auto" w:fill="1E1E1E"/>
        <w:spacing w:after="0" w:line="270" w:lineRule="atLeast"/>
        <w:rPr>
          <w:rFonts w:ascii="Menlo" w:eastAsia="Times New Roman" w:hAnsi="Menlo" w:cs="Menlo"/>
          <w:color w:val="D4D4D4"/>
          <w:sz w:val="18"/>
          <w:szCs w:val="18"/>
          <w:lang w:eastAsia="zh-CN"/>
        </w:rPr>
      </w:pPr>
      <w:r w:rsidRPr="008A00EA">
        <w:rPr>
          <w:rFonts w:ascii="Menlo" w:eastAsia="Times New Roman" w:hAnsi="Menlo" w:cs="Menlo"/>
          <w:color w:val="CE9178"/>
          <w:sz w:val="18"/>
          <w:szCs w:val="18"/>
          <w:lang w:eastAsia="zh-CN"/>
        </w:rPr>
        <w:t>APRI (Ch</w:t>
      </w:r>
      <w:r w:rsidRPr="008A00EA">
        <w:rPr>
          <w:rFonts w:ascii="Calibri" w:eastAsia="Times New Roman" w:hAnsi="Calibri" w:cs="Calibri"/>
          <w:color w:val="CE9178"/>
          <w:sz w:val="18"/>
          <w:szCs w:val="18"/>
          <w:lang w:eastAsia="zh-CN"/>
        </w:rPr>
        <w:t>ỉ</w:t>
      </w:r>
      <w:r w:rsidRPr="008A00EA">
        <w:rPr>
          <w:rFonts w:ascii="Menlo" w:eastAsia="Times New Roman" w:hAnsi="Menlo" w:cs="Menlo"/>
          <w:color w:val="CE9178"/>
          <w:sz w:val="18"/>
          <w:szCs w:val="18"/>
          <w:lang w:eastAsia="zh-CN"/>
        </w:rPr>
        <w:t xml:space="preserve"> s</w:t>
      </w:r>
      <w:r w:rsidRPr="008A00EA">
        <w:rPr>
          <w:rFonts w:ascii="Calibri" w:eastAsia="Times New Roman" w:hAnsi="Calibri" w:cs="Calibri"/>
          <w:color w:val="CE9178"/>
          <w:sz w:val="18"/>
          <w:szCs w:val="18"/>
          <w:lang w:eastAsia="zh-CN"/>
        </w:rPr>
        <w:t>ố</w:t>
      </w:r>
      <w:r w:rsidRPr="008A00EA">
        <w:rPr>
          <w:rFonts w:ascii="Menlo" w:eastAsia="Times New Roman" w:hAnsi="Menlo" w:cs="Menlo"/>
          <w:color w:val="CE9178"/>
          <w:sz w:val="18"/>
          <w:szCs w:val="18"/>
          <w:lang w:eastAsia="zh-CN"/>
        </w:rPr>
        <w:t xml:space="preserve"> AST ti</w:t>
      </w:r>
      <w:r w:rsidRPr="008A00EA">
        <w:rPr>
          <w:rFonts w:ascii="Calibri" w:eastAsia="Times New Roman" w:hAnsi="Calibri" w:cs="Calibri"/>
          <w:color w:val="CE9178"/>
          <w:sz w:val="18"/>
          <w:szCs w:val="18"/>
          <w:lang w:eastAsia="zh-CN"/>
        </w:rPr>
        <w:t>ể</w:t>
      </w:r>
      <w:r w:rsidRPr="008A00EA">
        <w:rPr>
          <w:rFonts w:ascii="Menlo" w:eastAsia="Times New Roman" w:hAnsi="Menlo" w:cs="Menlo"/>
          <w:color w:val="CE9178"/>
          <w:sz w:val="18"/>
          <w:szCs w:val="18"/>
          <w:lang w:eastAsia="zh-CN"/>
        </w:rPr>
        <w:t>u c</w:t>
      </w:r>
      <w:r w:rsidRPr="008A00EA">
        <w:rPr>
          <w:rFonts w:ascii="Calibri" w:eastAsia="Times New Roman" w:hAnsi="Calibri" w:cs="Calibri"/>
          <w:color w:val="CE9178"/>
          <w:sz w:val="18"/>
          <w:szCs w:val="18"/>
          <w:lang w:eastAsia="zh-CN"/>
        </w:rPr>
        <w:t>ầ</w:t>
      </w:r>
      <w:r w:rsidRPr="008A00EA">
        <w:rPr>
          <w:rFonts w:ascii="Menlo" w:eastAsia="Times New Roman" w:hAnsi="Menlo" w:cs="Menlo"/>
          <w:color w:val="CE9178"/>
          <w:sz w:val="18"/>
          <w:szCs w:val="18"/>
          <w:lang w:eastAsia="zh-CN"/>
        </w:rPr>
        <w:t>u) được khuy</w:t>
      </w:r>
      <w:r w:rsidRPr="008A00EA">
        <w:rPr>
          <w:rFonts w:ascii="Calibri" w:eastAsia="Times New Roman" w:hAnsi="Calibri" w:cs="Calibri"/>
          <w:color w:val="CE9178"/>
          <w:sz w:val="18"/>
          <w:szCs w:val="18"/>
          <w:lang w:eastAsia="zh-CN"/>
        </w:rPr>
        <w:t>ế</w:t>
      </w:r>
      <w:r w:rsidRPr="008A00EA">
        <w:rPr>
          <w:rFonts w:ascii="Menlo" w:eastAsia="Times New Roman" w:hAnsi="Menlo" w:cs="Menlo"/>
          <w:color w:val="CE9178"/>
          <w:sz w:val="18"/>
          <w:szCs w:val="18"/>
          <w:lang w:eastAsia="zh-CN"/>
        </w:rPr>
        <w:t>n nghị s</w:t>
      </w:r>
      <w:r w:rsidRPr="008A00EA">
        <w:rPr>
          <w:rFonts w:ascii="Calibri" w:eastAsia="Times New Roman" w:hAnsi="Calibri" w:cs="Calibri"/>
          <w:color w:val="CE9178"/>
          <w:sz w:val="18"/>
          <w:szCs w:val="18"/>
          <w:lang w:eastAsia="zh-CN"/>
        </w:rPr>
        <w:t>ử</w:t>
      </w:r>
      <w:r w:rsidRPr="008A00EA">
        <w:rPr>
          <w:rFonts w:ascii="Menlo" w:eastAsia="Times New Roman" w:hAnsi="Menlo" w:cs="Menlo"/>
          <w:color w:val="CE9178"/>
          <w:sz w:val="18"/>
          <w:szCs w:val="18"/>
          <w:lang w:eastAsia="zh-CN"/>
        </w:rPr>
        <w:t xml:space="preserve"> dụng là xét nghiệm không xâm nhập ưu tiên đ</w:t>
      </w:r>
      <w:r w:rsidRPr="008A00EA">
        <w:rPr>
          <w:rFonts w:ascii="Calibri" w:eastAsia="Times New Roman" w:hAnsi="Calibri" w:cs="Calibri"/>
          <w:color w:val="CE9178"/>
          <w:sz w:val="18"/>
          <w:szCs w:val="18"/>
          <w:lang w:eastAsia="zh-CN"/>
        </w:rPr>
        <w:t>ể</w:t>
      </w:r>
      <w:r w:rsidRPr="008A00EA">
        <w:rPr>
          <w:rFonts w:ascii="Menlo" w:eastAsia="Times New Roman" w:hAnsi="Menlo" w:cs="Menlo"/>
          <w:color w:val="CE9178"/>
          <w:sz w:val="18"/>
          <w:szCs w:val="18"/>
          <w:lang w:eastAsia="zh-CN"/>
        </w:rPr>
        <w:t xml:space="preserve"> đánh giá sự có mặt c</w:t>
      </w:r>
      <w:r w:rsidRPr="008A00EA">
        <w:rPr>
          <w:rFonts w:ascii="Calibri" w:eastAsia="Times New Roman" w:hAnsi="Calibri" w:cs="Calibri"/>
          <w:color w:val="CE9178"/>
          <w:sz w:val="18"/>
          <w:szCs w:val="18"/>
          <w:lang w:eastAsia="zh-CN"/>
        </w:rPr>
        <w:t>ủ</w:t>
      </w:r>
      <w:r w:rsidRPr="008A00EA">
        <w:rPr>
          <w:rFonts w:ascii="Menlo" w:eastAsia="Times New Roman" w:hAnsi="Menlo" w:cs="Menlo"/>
          <w:color w:val="CE9178"/>
          <w:sz w:val="18"/>
          <w:szCs w:val="18"/>
          <w:lang w:eastAsia="zh-CN"/>
        </w:rPr>
        <w:t>a xơ gan (Đi</w:t>
      </w:r>
      <w:r w:rsidRPr="008A00EA">
        <w:rPr>
          <w:rFonts w:ascii="Calibri" w:eastAsia="Times New Roman" w:hAnsi="Calibri" w:cs="Calibri"/>
          <w:color w:val="CE9178"/>
          <w:sz w:val="18"/>
          <w:szCs w:val="18"/>
          <w:lang w:eastAsia="zh-CN"/>
        </w:rPr>
        <w:t>ể</w:t>
      </w:r>
      <w:r w:rsidRPr="008A00EA">
        <w:rPr>
          <w:rFonts w:ascii="Menlo" w:eastAsia="Times New Roman" w:hAnsi="Menlo" w:cs="Menlo"/>
          <w:color w:val="CE9178"/>
          <w:sz w:val="18"/>
          <w:szCs w:val="18"/>
          <w:lang w:eastAsia="zh-CN"/>
        </w:rPr>
        <w:t xml:space="preserve">m APRI &gt;2 </w:t>
      </w:r>
      <w:r w:rsidRPr="008A00EA">
        <w:rPr>
          <w:rFonts w:ascii="Calibri" w:eastAsia="Times New Roman" w:hAnsi="Calibri" w:cs="Calibri"/>
          <w:color w:val="CE9178"/>
          <w:sz w:val="18"/>
          <w:szCs w:val="18"/>
          <w:lang w:eastAsia="zh-CN"/>
        </w:rPr>
        <w:t>ở</w:t>
      </w:r>
      <w:r w:rsidRPr="008A00EA">
        <w:rPr>
          <w:rFonts w:ascii="Menlo" w:eastAsia="Times New Roman" w:hAnsi="Menlo" w:cs="Menlo"/>
          <w:color w:val="CE9178"/>
          <w:sz w:val="18"/>
          <w:szCs w:val="18"/>
          <w:lang w:eastAsia="zh-CN"/>
        </w:rPr>
        <w:t xml:space="preserve"> người lớn) tại những nơi không có ngu</w:t>
      </w:r>
      <w:r w:rsidRPr="008A00EA">
        <w:rPr>
          <w:rFonts w:ascii="Calibri" w:eastAsia="Times New Roman" w:hAnsi="Calibri" w:cs="Calibri"/>
          <w:color w:val="CE9178"/>
          <w:sz w:val="18"/>
          <w:szCs w:val="18"/>
          <w:lang w:eastAsia="zh-CN"/>
        </w:rPr>
        <w:t>ồ</w:t>
      </w:r>
      <w:r w:rsidRPr="008A00EA">
        <w:rPr>
          <w:rFonts w:ascii="Menlo" w:eastAsia="Times New Roman" w:hAnsi="Menlo" w:cs="Menlo"/>
          <w:color w:val="CE9178"/>
          <w:sz w:val="18"/>
          <w:szCs w:val="18"/>
          <w:lang w:eastAsia="zh-CN"/>
        </w:rPr>
        <w:t>n lực. Ưu tiên s</w:t>
      </w:r>
      <w:r w:rsidRPr="008A00EA">
        <w:rPr>
          <w:rFonts w:ascii="Calibri" w:eastAsia="Times New Roman" w:hAnsi="Calibri" w:cs="Calibri"/>
          <w:color w:val="CE9178"/>
          <w:sz w:val="18"/>
          <w:szCs w:val="18"/>
          <w:lang w:eastAsia="zh-CN"/>
        </w:rPr>
        <w:t>ử</w:t>
      </w:r>
      <w:r w:rsidRPr="008A00EA">
        <w:rPr>
          <w:rFonts w:ascii="Menlo" w:eastAsia="Times New Roman" w:hAnsi="Menlo" w:cs="Menlo"/>
          <w:color w:val="CE9178"/>
          <w:sz w:val="18"/>
          <w:szCs w:val="18"/>
          <w:lang w:eastAsia="zh-CN"/>
        </w:rPr>
        <w:t xml:space="preserve"> dụng kỹ thuật đo độ đàn h</w:t>
      </w:r>
      <w:r w:rsidRPr="008A00EA">
        <w:rPr>
          <w:rFonts w:ascii="Calibri" w:eastAsia="Times New Roman" w:hAnsi="Calibri" w:cs="Calibri"/>
          <w:color w:val="CE9178"/>
          <w:sz w:val="18"/>
          <w:szCs w:val="18"/>
          <w:lang w:eastAsia="zh-CN"/>
        </w:rPr>
        <w:t>ồ</w:t>
      </w:r>
      <w:r w:rsidRPr="008A00EA">
        <w:rPr>
          <w:rFonts w:ascii="Menlo" w:eastAsia="Times New Roman" w:hAnsi="Menlo" w:cs="Menlo"/>
          <w:color w:val="CE9178"/>
          <w:sz w:val="18"/>
          <w:szCs w:val="18"/>
          <w:lang w:eastAsia="zh-CN"/>
        </w:rPr>
        <w:t xml:space="preserve">i gan (FibroScan) hoặc FibroTest tại những nơi có các xét nghiệm này </w:t>
      </w:r>
      <w:r w:rsidRPr="008A00EA">
        <w:rPr>
          <w:rFonts w:ascii="Calibri" w:eastAsia="Times New Roman" w:hAnsi="Calibri" w:cs="Calibri"/>
          <w:color w:val="CE9178"/>
          <w:sz w:val="18"/>
          <w:szCs w:val="18"/>
          <w:lang w:eastAsia="zh-CN"/>
        </w:rPr>
        <w:t>ở</w:t>
      </w:r>
      <w:r w:rsidRPr="008A00EA">
        <w:rPr>
          <w:rFonts w:ascii="Menlo" w:eastAsia="Times New Roman" w:hAnsi="Menlo" w:cs="Menlo"/>
          <w:color w:val="CE9178"/>
          <w:sz w:val="18"/>
          <w:szCs w:val="18"/>
          <w:lang w:eastAsia="zh-CN"/>
        </w:rPr>
        <w:t xml:space="preserve"> mức chi phí phù hợp.</w:t>
      </w:r>
    </w:p>
    <w:p w14:paraId="084DEB22" w14:textId="77777777" w:rsidR="008A00EA" w:rsidRPr="00EB11BC" w:rsidRDefault="008A00EA" w:rsidP="00EB11BC"/>
    <w:p w14:paraId="745865A2" w14:textId="2FA0F6ED" w:rsidR="00FF6A26" w:rsidRDefault="00EB11BC" w:rsidP="00EB11BC">
      <w:r w:rsidRPr="00FF6A26">
        <w:t xml:space="preserve">AST level </w:t>
      </w:r>
      <w:r w:rsidR="00FF6A26">
        <w:t xml:space="preserve">                U/L</w:t>
      </w:r>
    </w:p>
    <w:p w14:paraId="5153D5CE" w14:textId="3F7BB4E9" w:rsidR="00FF6A26" w:rsidRDefault="00FF6A26" w:rsidP="00EB11BC">
      <w:r>
        <w:t>AST ULN (Lab Upper Limit of Normal)         U/L</w:t>
      </w:r>
    </w:p>
    <w:p w14:paraId="589682E2" w14:textId="77777777" w:rsidR="00377503" w:rsidRPr="00377503" w:rsidRDefault="00377503" w:rsidP="00377503">
      <w:pPr>
        <w:shd w:val="clear" w:color="auto" w:fill="1E1E1E"/>
        <w:spacing w:after="0" w:line="270" w:lineRule="atLeast"/>
        <w:rPr>
          <w:rFonts w:ascii="Menlo" w:eastAsia="Times New Roman" w:hAnsi="Menlo" w:cs="Menlo"/>
          <w:color w:val="D4D4D4"/>
          <w:sz w:val="18"/>
          <w:szCs w:val="18"/>
          <w:lang w:eastAsia="zh-CN"/>
        </w:rPr>
      </w:pPr>
      <w:r w:rsidRPr="00377503">
        <w:rPr>
          <w:rFonts w:ascii="Menlo" w:eastAsia="Times New Roman" w:hAnsi="Menlo" w:cs="Menlo"/>
          <w:color w:val="CE9178"/>
          <w:sz w:val="18"/>
          <w:szCs w:val="18"/>
          <w:lang w:eastAsia="zh-CN"/>
        </w:rPr>
        <w:t>(trên giới hạn bình thường)</w:t>
      </w:r>
    </w:p>
    <w:p w14:paraId="07D81382" w14:textId="77777777" w:rsidR="00377503" w:rsidRDefault="00377503" w:rsidP="00EB11BC"/>
    <w:p w14:paraId="693FA74B" w14:textId="2FD88D2F" w:rsidR="00FF6A26" w:rsidRDefault="00FF6A26" w:rsidP="00EB11BC">
      <w:r>
        <w:t>Platelet count        10</w:t>
      </w:r>
      <w:r w:rsidRPr="00FF6A26">
        <w:rPr>
          <w:vertAlign w:val="superscript"/>
        </w:rPr>
        <w:t>9</w:t>
      </w:r>
      <w:r>
        <w:t>/L</w:t>
      </w:r>
    </w:p>
    <w:p w14:paraId="66222097" w14:textId="0E68F2FA" w:rsidR="00FF6A26" w:rsidRDefault="00FF6A26" w:rsidP="00EB11BC">
      <w:pPr>
        <w:rPr>
          <w:b/>
          <w:bCs/>
        </w:rPr>
      </w:pPr>
      <w:r w:rsidRPr="00FF6A26">
        <w:rPr>
          <w:b/>
          <w:bCs/>
        </w:rPr>
        <w:t>Your APRI Score</w:t>
      </w:r>
    </w:p>
    <w:p w14:paraId="6B3E247A" w14:textId="7E7B9DAA" w:rsidR="00FF6A26" w:rsidRPr="00C70798" w:rsidRDefault="00FF6A26" w:rsidP="00EB11BC">
      <w:r w:rsidRPr="00C70798">
        <w:t xml:space="preserve">APRI score = </w:t>
      </w:r>
      <w:r w:rsidRPr="00C70798">
        <w:rPr>
          <w:color w:val="FF0000"/>
        </w:rPr>
        <w:t>(AST/</w:t>
      </w:r>
      <w:r w:rsidR="00C70798" w:rsidRPr="00C70798">
        <w:rPr>
          <w:color w:val="FF0000"/>
        </w:rPr>
        <w:t xml:space="preserve">AST </w:t>
      </w:r>
      <w:r w:rsidRPr="00C70798">
        <w:rPr>
          <w:color w:val="FF0000"/>
        </w:rPr>
        <w:t>ULN</w:t>
      </w:r>
      <w:r w:rsidR="00C70798" w:rsidRPr="00C70798">
        <w:rPr>
          <w:color w:val="FF0000"/>
        </w:rPr>
        <w:t xml:space="preserve">) </w:t>
      </w:r>
      <w:r w:rsidR="00C70798" w:rsidRPr="00C70798">
        <w:t>x100 / platelet count</w:t>
      </w:r>
    </w:p>
    <w:p w14:paraId="511927A8" w14:textId="77777777" w:rsidR="00EB11BC" w:rsidRDefault="00EB11BC" w:rsidP="00EB11BC">
      <w:pPr>
        <w:rPr>
          <w:b/>
          <w:bCs/>
        </w:rPr>
      </w:pPr>
    </w:p>
    <w:p w14:paraId="3AF6CE81" w14:textId="2C55DC80" w:rsidR="00EB11BC" w:rsidRPr="00EB11BC" w:rsidRDefault="00C70798" w:rsidP="00EB11BC">
      <w:pPr>
        <w:rPr>
          <w:b/>
          <w:bCs/>
        </w:rPr>
      </w:pPr>
      <w:r>
        <w:rPr>
          <w:b/>
          <w:bCs/>
        </w:rPr>
        <w:t>I</w:t>
      </w:r>
      <w:r w:rsidR="00EB11BC" w:rsidRPr="00EB11BC">
        <w:rPr>
          <w:b/>
          <w:bCs/>
        </w:rPr>
        <w:t>nterpretation</w:t>
      </w:r>
    </w:p>
    <w:p w14:paraId="6E9055D2" w14:textId="2127F098" w:rsidR="00EB11BC" w:rsidRDefault="00EB11BC" w:rsidP="00EB11BC">
      <w:r w:rsidRPr="00EB11BC">
        <w:t>APRI score &gt; 2 is 89% specific in detecting cirrhosis (F4). With a sensitivity of 35%, an APRI value &gt; 2 can miss two thirds with cirrhosis.  APRI score &gt; 1 is more sensitive (65%) but is less specific (75%) in detecting cirrhosis. APRI score &gt; 1.5 is 92% specific but can miss almost two thirds with significant hepatic fibrosis (F2-F4).</w:t>
      </w:r>
    </w:p>
    <w:p w14:paraId="04018E0D" w14:textId="77777777" w:rsidR="00377503" w:rsidRPr="00377503" w:rsidRDefault="00377503" w:rsidP="00377503">
      <w:pPr>
        <w:shd w:val="clear" w:color="auto" w:fill="1E1E1E"/>
        <w:spacing w:after="0" w:line="270" w:lineRule="atLeast"/>
        <w:rPr>
          <w:rFonts w:ascii="Menlo" w:eastAsia="Times New Roman" w:hAnsi="Menlo" w:cs="Menlo"/>
          <w:color w:val="D4D4D4"/>
          <w:sz w:val="18"/>
          <w:szCs w:val="18"/>
          <w:lang w:eastAsia="zh-CN"/>
        </w:rPr>
      </w:pPr>
      <w:r w:rsidRPr="00377503">
        <w:rPr>
          <w:rFonts w:ascii="Menlo" w:eastAsia="Times New Roman" w:hAnsi="Menlo" w:cs="Menlo"/>
          <w:color w:val="CE9178"/>
          <w:sz w:val="18"/>
          <w:szCs w:val="18"/>
          <w:lang w:eastAsia="zh-CN"/>
        </w:rPr>
        <w:t>Giá trị APRI &gt; 2 có độ đặc hiệu 89% trong ch</w:t>
      </w:r>
      <w:r w:rsidRPr="00377503">
        <w:rPr>
          <w:rFonts w:ascii="Calibri" w:eastAsia="Times New Roman" w:hAnsi="Calibri" w:cs="Calibri"/>
          <w:color w:val="CE9178"/>
          <w:sz w:val="18"/>
          <w:szCs w:val="18"/>
          <w:lang w:eastAsia="zh-CN"/>
        </w:rPr>
        <w:t>ẩ</w:t>
      </w:r>
      <w:r w:rsidRPr="00377503">
        <w:rPr>
          <w:rFonts w:ascii="Menlo" w:eastAsia="Times New Roman" w:hAnsi="Menlo" w:cs="Menlo"/>
          <w:color w:val="CE9178"/>
          <w:sz w:val="18"/>
          <w:szCs w:val="18"/>
          <w:lang w:eastAsia="zh-CN"/>
        </w:rPr>
        <w:t>n đoán xơ gan (F4). Với độ nhạy 35%, giá trị APRI  &gt; 2 có th</w:t>
      </w:r>
      <w:r w:rsidRPr="00377503">
        <w:rPr>
          <w:rFonts w:ascii="Calibri" w:eastAsia="Times New Roman" w:hAnsi="Calibri" w:cs="Calibri"/>
          <w:color w:val="CE9178"/>
          <w:sz w:val="18"/>
          <w:szCs w:val="18"/>
          <w:lang w:eastAsia="zh-CN"/>
        </w:rPr>
        <w:t>ể</w:t>
      </w:r>
      <w:r w:rsidRPr="00377503">
        <w:rPr>
          <w:rFonts w:ascii="Menlo" w:eastAsia="Times New Roman" w:hAnsi="Menlo" w:cs="Menlo"/>
          <w:color w:val="CE9178"/>
          <w:sz w:val="18"/>
          <w:szCs w:val="18"/>
          <w:lang w:eastAsia="zh-CN"/>
        </w:rPr>
        <w:t xml:space="preserve"> b</w:t>
      </w:r>
      <w:r w:rsidRPr="00377503">
        <w:rPr>
          <w:rFonts w:ascii="Calibri" w:eastAsia="Times New Roman" w:hAnsi="Calibri" w:cs="Calibri"/>
          <w:color w:val="CE9178"/>
          <w:sz w:val="18"/>
          <w:szCs w:val="18"/>
          <w:lang w:eastAsia="zh-CN"/>
        </w:rPr>
        <w:t>ỏ</w:t>
      </w:r>
      <w:r w:rsidRPr="00377503">
        <w:rPr>
          <w:rFonts w:ascii="Menlo" w:eastAsia="Times New Roman" w:hAnsi="Menlo" w:cs="Menlo"/>
          <w:color w:val="CE9178"/>
          <w:sz w:val="18"/>
          <w:szCs w:val="18"/>
          <w:lang w:eastAsia="zh-CN"/>
        </w:rPr>
        <w:t xml:space="preserve"> sót 2/3 s</w:t>
      </w:r>
      <w:r w:rsidRPr="00377503">
        <w:rPr>
          <w:rFonts w:ascii="Calibri" w:eastAsia="Times New Roman" w:hAnsi="Calibri" w:cs="Calibri"/>
          <w:color w:val="CE9178"/>
          <w:sz w:val="18"/>
          <w:szCs w:val="18"/>
          <w:lang w:eastAsia="zh-CN"/>
        </w:rPr>
        <w:t>ố</w:t>
      </w:r>
      <w:r w:rsidRPr="00377503">
        <w:rPr>
          <w:rFonts w:ascii="Menlo" w:eastAsia="Times New Roman" w:hAnsi="Menlo" w:cs="Menlo"/>
          <w:color w:val="CE9178"/>
          <w:sz w:val="18"/>
          <w:szCs w:val="18"/>
          <w:lang w:eastAsia="zh-CN"/>
        </w:rPr>
        <w:t xml:space="preserve"> ca m</w:t>
      </w:r>
      <w:r w:rsidRPr="00377503">
        <w:rPr>
          <w:rFonts w:ascii="Calibri" w:eastAsia="Times New Roman" w:hAnsi="Calibri" w:cs="Calibri"/>
          <w:color w:val="CE9178"/>
          <w:sz w:val="18"/>
          <w:szCs w:val="18"/>
          <w:lang w:eastAsia="zh-CN"/>
        </w:rPr>
        <w:t>ắ</w:t>
      </w:r>
      <w:r w:rsidRPr="00377503">
        <w:rPr>
          <w:rFonts w:ascii="Menlo" w:eastAsia="Times New Roman" w:hAnsi="Menlo" w:cs="Menlo"/>
          <w:color w:val="CE9178"/>
          <w:sz w:val="18"/>
          <w:szCs w:val="18"/>
          <w:lang w:eastAsia="zh-CN"/>
        </w:rPr>
        <w:t xml:space="preserve">c xơ gan.  Giá trị APRI &gt; 1 có độ nhạy lớn hơn </w:t>
      </w:r>
      <w:r w:rsidRPr="00377503">
        <w:rPr>
          <w:rFonts w:ascii="Menlo" w:eastAsia="Times New Roman" w:hAnsi="Menlo" w:cs="Menlo"/>
          <w:color w:val="CE9178"/>
          <w:sz w:val="18"/>
          <w:szCs w:val="18"/>
          <w:lang w:eastAsia="zh-CN"/>
        </w:rPr>
        <w:lastRenderedPageBreak/>
        <w:t>(65%) nhưng độ đặc hiệu nh</w:t>
      </w:r>
      <w:r w:rsidRPr="00377503">
        <w:rPr>
          <w:rFonts w:ascii="Calibri" w:eastAsia="Times New Roman" w:hAnsi="Calibri" w:cs="Calibri"/>
          <w:color w:val="CE9178"/>
          <w:sz w:val="18"/>
          <w:szCs w:val="18"/>
          <w:lang w:eastAsia="zh-CN"/>
        </w:rPr>
        <w:t>ỏ</w:t>
      </w:r>
      <w:r w:rsidRPr="00377503">
        <w:rPr>
          <w:rFonts w:ascii="Menlo" w:eastAsia="Times New Roman" w:hAnsi="Menlo" w:cs="Menlo"/>
          <w:color w:val="CE9178"/>
          <w:sz w:val="18"/>
          <w:szCs w:val="18"/>
          <w:lang w:eastAsia="zh-CN"/>
        </w:rPr>
        <w:t xml:space="preserve"> hơn (75%) trong ch</w:t>
      </w:r>
      <w:r w:rsidRPr="00377503">
        <w:rPr>
          <w:rFonts w:ascii="Calibri" w:eastAsia="Times New Roman" w:hAnsi="Calibri" w:cs="Calibri"/>
          <w:color w:val="CE9178"/>
          <w:sz w:val="18"/>
          <w:szCs w:val="18"/>
          <w:lang w:eastAsia="zh-CN"/>
        </w:rPr>
        <w:t>ẩ</w:t>
      </w:r>
      <w:r w:rsidRPr="00377503">
        <w:rPr>
          <w:rFonts w:ascii="Menlo" w:eastAsia="Times New Roman" w:hAnsi="Menlo" w:cs="Menlo"/>
          <w:color w:val="CE9178"/>
          <w:sz w:val="18"/>
          <w:szCs w:val="18"/>
          <w:lang w:eastAsia="zh-CN"/>
        </w:rPr>
        <w:t>n đoán xơ gan. Giá trị APRI &gt; 1.5 có độ đặc hiệu 92%  nhưng có th</w:t>
      </w:r>
      <w:r w:rsidRPr="00377503">
        <w:rPr>
          <w:rFonts w:ascii="Calibri" w:eastAsia="Times New Roman" w:hAnsi="Calibri" w:cs="Calibri"/>
          <w:color w:val="CE9178"/>
          <w:sz w:val="18"/>
          <w:szCs w:val="18"/>
          <w:lang w:eastAsia="zh-CN"/>
        </w:rPr>
        <w:t>ể</w:t>
      </w:r>
      <w:r w:rsidRPr="00377503">
        <w:rPr>
          <w:rFonts w:ascii="Menlo" w:eastAsia="Times New Roman" w:hAnsi="Menlo" w:cs="Menlo"/>
          <w:color w:val="CE9178"/>
          <w:sz w:val="18"/>
          <w:szCs w:val="18"/>
          <w:lang w:eastAsia="zh-CN"/>
        </w:rPr>
        <w:t xml:space="preserve"> b</w:t>
      </w:r>
      <w:r w:rsidRPr="00377503">
        <w:rPr>
          <w:rFonts w:ascii="Calibri" w:eastAsia="Times New Roman" w:hAnsi="Calibri" w:cs="Calibri"/>
          <w:color w:val="CE9178"/>
          <w:sz w:val="18"/>
          <w:szCs w:val="18"/>
          <w:lang w:eastAsia="zh-CN"/>
        </w:rPr>
        <w:t>ỏ</w:t>
      </w:r>
      <w:r w:rsidRPr="00377503">
        <w:rPr>
          <w:rFonts w:ascii="Menlo" w:eastAsia="Times New Roman" w:hAnsi="Menlo" w:cs="Menlo"/>
          <w:color w:val="CE9178"/>
          <w:sz w:val="18"/>
          <w:szCs w:val="18"/>
          <w:lang w:eastAsia="zh-CN"/>
        </w:rPr>
        <w:t xml:space="preserve"> sót g</w:t>
      </w:r>
      <w:r w:rsidRPr="00377503">
        <w:rPr>
          <w:rFonts w:ascii="Calibri" w:eastAsia="Times New Roman" w:hAnsi="Calibri" w:cs="Calibri"/>
          <w:color w:val="CE9178"/>
          <w:sz w:val="18"/>
          <w:szCs w:val="18"/>
          <w:lang w:eastAsia="zh-CN"/>
        </w:rPr>
        <w:t>ầ</w:t>
      </w:r>
      <w:r w:rsidRPr="00377503">
        <w:rPr>
          <w:rFonts w:ascii="Menlo" w:eastAsia="Times New Roman" w:hAnsi="Menlo" w:cs="Menlo"/>
          <w:color w:val="CE9178"/>
          <w:sz w:val="18"/>
          <w:szCs w:val="18"/>
          <w:lang w:eastAsia="zh-CN"/>
        </w:rPr>
        <w:t>n 2/3 s</w:t>
      </w:r>
      <w:r w:rsidRPr="00377503">
        <w:rPr>
          <w:rFonts w:ascii="Calibri" w:eastAsia="Times New Roman" w:hAnsi="Calibri" w:cs="Calibri"/>
          <w:color w:val="CE9178"/>
          <w:sz w:val="18"/>
          <w:szCs w:val="18"/>
          <w:lang w:eastAsia="zh-CN"/>
        </w:rPr>
        <w:t>ố</w:t>
      </w:r>
      <w:r w:rsidRPr="00377503">
        <w:rPr>
          <w:rFonts w:ascii="Menlo" w:eastAsia="Times New Roman" w:hAnsi="Menlo" w:cs="Menlo"/>
          <w:color w:val="CE9178"/>
          <w:sz w:val="18"/>
          <w:szCs w:val="18"/>
          <w:lang w:eastAsia="zh-CN"/>
        </w:rPr>
        <w:t xml:space="preserve"> ca xơ gan trung bình và nặng (F2-F4). (Hướng d</w:t>
      </w:r>
      <w:r w:rsidRPr="00377503">
        <w:rPr>
          <w:rFonts w:ascii="Calibri" w:eastAsia="Times New Roman" w:hAnsi="Calibri" w:cs="Calibri"/>
          <w:color w:val="CE9178"/>
          <w:sz w:val="18"/>
          <w:szCs w:val="18"/>
          <w:lang w:eastAsia="zh-CN"/>
        </w:rPr>
        <w:t>ẫ</w:t>
      </w:r>
      <w:r w:rsidRPr="00377503">
        <w:rPr>
          <w:rFonts w:ascii="Menlo" w:eastAsia="Times New Roman" w:hAnsi="Menlo" w:cs="Menlo"/>
          <w:color w:val="CE9178"/>
          <w:sz w:val="18"/>
          <w:szCs w:val="18"/>
          <w:lang w:eastAsia="zh-CN"/>
        </w:rPr>
        <w:t>n dự phòng, chăm sóc và đi</w:t>
      </w:r>
      <w:r w:rsidRPr="00377503">
        <w:rPr>
          <w:rFonts w:ascii="Calibri" w:eastAsia="Times New Roman" w:hAnsi="Calibri" w:cs="Calibri"/>
          <w:color w:val="CE9178"/>
          <w:sz w:val="18"/>
          <w:szCs w:val="18"/>
          <w:lang w:eastAsia="zh-CN"/>
        </w:rPr>
        <w:t>ề</w:t>
      </w:r>
      <w:r w:rsidRPr="00377503">
        <w:rPr>
          <w:rFonts w:ascii="Menlo" w:eastAsia="Times New Roman" w:hAnsi="Menlo" w:cs="Menlo"/>
          <w:color w:val="CE9178"/>
          <w:sz w:val="18"/>
          <w:szCs w:val="18"/>
          <w:lang w:eastAsia="zh-CN"/>
        </w:rPr>
        <w:t>u trị bệnh nhân m</w:t>
      </w:r>
      <w:r w:rsidRPr="00377503">
        <w:rPr>
          <w:rFonts w:ascii="Calibri" w:eastAsia="Times New Roman" w:hAnsi="Calibri" w:cs="Calibri"/>
          <w:color w:val="CE9178"/>
          <w:sz w:val="18"/>
          <w:szCs w:val="18"/>
          <w:lang w:eastAsia="zh-CN"/>
        </w:rPr>
        <w:t>ắ</w:t>
      </w:r>
      <w:r w:rsidRPr="00377503">
        <w:rPr>
          <w:rFonts w:ascii="Menlo" w:eastAsia="Times New Roman" w:hAnsi="Menlo" w:cs="Menlo"/>
          <w:color w:val="CE9178"/>
          <w:sz w:val="18"/>
          <w:szCs w:val="18"/>
          <w:lang w:eastAsia="zh-CN"/>
        </w:rPr>
        <w:t>c viêm gan B mạn, 2015, T</w:t>
      </w:r>
      <w:r w:rsidRPr="00377503">
        <w:rPr>
          <w:rFonts w:ascii="Calibri" w:eastAsia="Times New Roman" w:hAnsi="Calibri" w:cs="Calibri"/>
          <w:color w:val="CE9178"/>
          <w:sz w:val="18"/>
          <w:szCs w:val="18"/>
          <w:lang w:eastAsia="zh-CN"/>
        </w:rPr>
        <w:t>ổ</w:t>
      </w:r>
      <w:r w:rsidRPr="00377503">
        <w:rPr>
          <w:rFonts w:ascii="Menlo" w:eastAsia="Times New Roman" w:hAnsi="Menlo" w:cs="Menlo"/>
          <w:color w:val="CE9178"/>
          <w:sz w:val="18"/>
          <w:szCs w:val="18"/>
          <w:lang w:eastAsia="zh-CN"/>
        </w:rPr>
        <w:t xml:space="preserve"> chức y t</w:t>
      </w:r>
      <w:r w:rsidRPr="00377503">
        <w:rPr>
          <w:rFonts w:ascii="Calibri" w:eastAsia="Times New Roman" w:hAnsi="Calibri" w:cs="Calibri"/>
          <w:color w:val="CE9178"/>
          <w:sz w:val="18"/>
          <w:szCs w:val="18"/>
          <w:lang w:eastAsia="zh-CN"/>
        </w:rPr>
        <w:t>ế</w:t>
      </w:r>
      <w:r w:rsidRPr="00377503">
        <w:rPr>
          <w:rFonts w:ascii="Menlo" w:eastAsia="Times New Roman" w:hAnsi="Menlo" w:cs="Menlo"/>
          <w:color w:val="CE9178"/>
          <w:sz w:val="18"/>
          <w:szCs w:val="18"/>
          <w:lang w:eastAsia="zh-CN"/>
        </w:rPr>
        <w:t xml:space="preserve"> th</w:t>
      </w:r>
      <w:r w:rsidRPr="00377503">
        <w:rPr>
          <w:rFonts w:ascii="Calibri" w:eastAsia="Times New Roman" w:hAnsi="Calibri" w:cs="Calibri"/>
          <w:color w:val="CE9178"/>
          <w:sz w:val="18"/>
          <w:szCs w:val="18"/>
          <w:lang w:eastAsia="zh-CN"/>
        </w:rPr>
        <w:t>ế</w:t>
      </w:r>
      <w:r w:rsidRPr="00377503">
        <w:rPr>
          <w:rFonts w:ascii="Menlo" w:eastAsia="Times New Roman" w:hAnsi="Menlo" w:cs="Menlo"/>
          <w:color w:val="CE9178"/>
          <w:sz w:val="18"/>
          <w:szCs w:val="18"/>
          <w:lang w:eastAsia="zh-CN"/>
        </w:rPr>
        <w:t xml:space="preserve"> giới)</w:t>
      </w:r>
    </w:p>
    <w:p w14:paraId="1445BE8E" w14:textId="77777777" w:rsidR="00377503" w:rsidRPr="00EB11BC" w:rsidRDefault="00377503" w:rsidP="00EB11BC"/>
    <w:p w14:paraId="768DDA26" w14:textId="3C966F2A" w:rsidR="00EB11BC" w:rsidRDefault="00EB11BC" w:rsidP="00EB11BC">
      <w:r w:rsidRPr="00EB11BC">
        <w:t>(Guidelines for the prevention, care and treatment of persons with chronic hepatitis B infection. 2015, WHO)</w:t>
      </w:r>
    </w:p>
    <w:p w14:paraId="72337C84" w14:textId="3C3CC120" w:rsidR="00EB11BC" w:rsidRDefault="00EB11BC" w:rsidP="00EB11BC"/>
    <w:p w14:paraId="01C9B522" w14:textId="653DF07C" w:rsidR="00EB11BC" w:rsidRDefault="00EB11BC" w:rsidP="00EB11BC"/>
    <w:p w14:paraId="77518725" w14:textId="77777777" w:rsidR="009C6BC5" w:rsidRDefault="009C6BC5" w:rsidP="009C6BC5">
      <w:pPr>
        <w:rPr>
          <w:b/>
          <w:bCs/>
        </w:rPr>
      </w:pPr>
      <w:r w:rsidRPr="009C6BC5">
        <w:rPr>
          <w:b/>
          <w:bCs/>
        </w:rPr>
        <w:t>Ý nghĩa.</w:t>
      </w:r>
    </w:p>
    <w:p w14:paraId="719EE203" w14:textId="0DBA929A" w:rsidR="009C6BC5" w:rsidRPr="009C6BC5" w:rsidRDefault="009C6BC5" w:rsidP="009C6BC5">
      <w:r w:rsidRPr="009C6BC5">
        <w:t xml:space="preserve"> Giá trị APRI &gt; 2 có độ đặc hiệu 89% trong chẩn đoán xơ gan (F4). Với độ nhạy 35%, giá trị APRI  &gt; 2 có thể bỏ sót 2/3 số ca mắc xơ gan.  Giá trị APRI &gt; 1 có độ nhạy lớn hơn (65%) nhưng độ đặc hiệu nhỏ hơn (75%) trong chẩn đoán xơ gan. Giá trị APRI &gt; 1.5 có độ đặc hiệu 92%  nhưng có thể bỏ sót gần 2/3 số ca xơ gan trung bình và nặng (F2-F4).</w:t>
      </w:r>
    </w:p>
    <w:p w14:paraId="143FBEE2" w14:textId="4996D0AC" w:rsidR="00C70798" w:rsidRDefault="009C6BC5" w:rsidP="00EB11BC">
      <w:r>
        <w:t>(Hướng dẫn dự phòng, chăm sóc và điều trị viêm gan vi rút B mạn tính, Tổ chức y tế thế giới, 2015)</w:t>
      </w:r>
    </w:p>
    <w:p w14:paraId="1DE5836B" w14:textId="08EF749E" w:rsidR="00C70798" w:rsidRDefault="00C70798" w:rsidP="00EB11BC"/>
    <w:p w14:paraId="65599595" w14:textId="38CC5A35" w:rsidR="00C70798" w:rsidRDefault="00C70798" w:rsidP="00EB11BC"/>
    <w:p w14:paraId="12AD7E5F" w14:textId="24D5B132" w:rsidR="00C70798" w:rsidRDefault="00C70798" w:rsidP="00EB11BC"/>
    <w:p w14:paraId="34FB84DC" w14:textId="3024C084" w:rsidR="00C70798" w:rsidRDefault="00C70798" w:rsidP="00EB11BC"/>
    <w:p w14:paraId="0CFA6491" w14:textId="7CF0D5A1" w:rsidR="00C70798" w:rsidRDefault="00C70798" w:rsidP="00EB11BC"/>
    <w:p w14:paraId="3E408237" w14:textId="4BD05438" w:rsidR="00C70798" w:rsidRDefault="00C70798" w:rsidP="00EB11BC"/>
    <w:p w14:paraId="123BB2D3" w14:textId="17481143" w:rsidR="00C70798" w:rsidRDefault="00C70798" w:rsidP="00EB11BC"/>
    <w:p w14:paraId="42CAEB31" w14:textId="7DAD84F3" w:rsidR="00C70798" w:rsidRDefault="00C70798" w:rsidP="00EB11BC"/>
    <w:p w14:paraId="04D2496E" w14:textId="1257AAD9" w:rsidR="00C70798" w:rsidRDefault="00C70798" w:rsidP="00EB11BC"/>
    <w:p w14:paraId="48420EEA" w14:textId="2942F6CF" w:rsidR="00C70798" w:rsidRDefault="00C70798" w:rsidP="00EB11BC"/>
    <w:p w14:paraId="090327D6" w14:textId="77777777" w:rsidR="00C70798" w:rsidRDefault="00C70798" w:rsidP="00EB11BC"/>
    <w:p w14:paraId="220ECCAB" w14:textId="43697B15" w:rsidR="00C70798" w:rsidRDefault="00C70798" w:rsidP="00EB11BC">
      <w:r w:rsidRPr="00C70798">
        <w:rPr>
          <w:b/>
          <w:bCs/>
        </w:rPr>
        <w:t xml:space="preserve">FIB-4 </w:t>
      </w:r>
      <w:r w:rsidRPr="00C70798">
        <w:t>(fibrosis-4 score) is a simple index for estimating hepatic fibrosis based on a calculation derived from AST, ALT and platelet concentrations, and age. Transient elastography (e.g. FibroScan) or FibroTest may be the preferred NITs in settings where they are available and cost is not a major constraint.</w:t>
      </w:r>
    </w:p>
    <w:p w14:paraId="572850DE" w14:textId="77777777" w:rsidR="00245629" w:rsidRPr="00245629" w:rsidRDefault="00245629" w:rsidP="00245629">
      <w:pPr>
        <w:shd w:val="clear" w:color="auto" w:fill="1E1E1E"/>
        <w:spacing w:after="0" w:line="270" w:lineRule="atLeast"/>
        <w:rPr>
          <w:rFonts w:ascii="Menlo" w:eastAsia="Times New Roman" w:hAnsi="Menlo" w:cs="Menlo"/>
          <w:color w:val="D4D4D4"/>
          <w:sz w:val="18"/>
          <w:szCs w:val="18"/>
          <w:lang w:eastAsia="zh-CN"/>
        </w:rPr>
      </w:pPr>
      <w:r w:rsidRPr="00245629">
        <w:rPr>
          <w:rFonts w:ascii="Menlo" w:eastAsia="Times New Roman" w:hAnsi="Menlo" w:cs="Menlo"/>
          <w:color w:val="CE9178"/>
          <w:sz w:val="18"/>
          <w:szCs w:val="18"/>
          <w:lang w:eastAsia="zh-CN"/>
        </w:rPr>
        <w:t>FIB-4 (Ch</w:t>
      </w:r>
      <w:r w:rsidRPr="00245629">
        <w:rPr>
          <w:rFonts w:ascii="Calibri" w:eastAsia="Times New Roman" w:hAnsi="Calibri" w:cs="Calibri"/>
          <w:color w:val="CE9178"/>
          <w:sz w:val="18"/>
          <w:szCs w:val="18"/>
          <w:lang w:eastAsia="zh-CN"/>
        </w:rPr>
        <w:t>ỉ</w:t>
      </w:r>
      <w:r w:rsidRPr="00245629">
        <w:rPr>
          <w:rFonts w:ascii="Menlo" w:eastAsia="Times New Roman" w:hAnsi="Menlo" w:cs="Menlo"/>
          <w:color w:val="CE9178"/>
          <w:sz w:val="18"/>
          <w:szCs w:val="18"/>
          <w:lang w:eastAsia="zh-CN"/>
        </w:rPr>
        <w:t xml:space="preserve"> s</w:t>
      </w:r>
      <w:r w:rsidRPr="00245629">
        <w:rPr>
          <w:rFonts w:ascii="Calibri" w:eastAsia="Times New Roman" w:hAnsi="Calibri" w:cs="Calibri"/>
          <w:color w:val="CE9178"/>
          <w:sz w:val="18"/>
          <w:szCs w:val="18"/>
          <w:lang w:eastAsia="zh-CN"/>
        </w:rPr>
        <w:t>ố</w:t>
      </w:r>
      <w:r w:rsidRPr="00245629">
        <w:rPr>
          <w:rFonts w:ascii="Menlo" w:eastAsia="Times New Roman" w:hAnsi="Menlo" w:cs="Menlo"/>
          <w:color w:val="CE9178"/>
          <w:sz w:val="18"/>
          <w:szCs w:val="18"/>
          <w:lang w:eastAsia="zh-CN"/>
        </w:rPr>
        <w:t xml:space="preserve"> fibrosis-4) là d</w:t>
      </w:r>
      <w:r w:rsidRPr="00245629">
        <w:rPr>
          <w:rFonts w:ascii="Calibri" w:eastAsia="Times New Roman" w:hAnsi="Calibri" w:cs="Calibri"/>
          <w:color w:val="CE9178"/>
          <w:sz w:val="18"/>
          <w:szCs w:val="18"/>
          <w:lang w:eastAsia="zh-CN"/>
        </w:rPr>
        <w:t>ấ</w:t>
      </w:r>
      <w:r w:rsidRPr="00245629">
        <w:rPr>
          <w:rFonts w:ascii="Menlo" w:eastAsia="Times New Roman" w:hAnsi="Menlo" w:cs="Menlo"/>
          <w:color w:val="CE9178"/>
          <w:sz w:val="18"/>
          <w:szCs w:val="18"/>
          <w:lang w:eastAsia="zh-CN"/>
        </w:rPr>
        <w:t xml:space="preserve">u </w:t>
      </w:r>
      <w:r w:rsidRPr="00245629">
        <w:rPr>
          <w:rFonts w:ascii="Calibri" w:eastAsia="Times New Roman" w:hAnsi="Calibri" w:cs="Calibri"/>
          <w:color w:val="CE9178"/>
          <w:sz w:val="18"/>
          <w:szCs w:val="18"/>
          <w:lang w:eastAsia="zh-CN"/>
        </w:rPr>
        <w:t>ấ</w:t>
      </w:r>
      <w:r w:rsidRPr="00245629">
        <w:rPr>
          <w:rFonts w:ascii="Menlo" w:eastAsia="Times New Roman" w:hAnsi="Menlo" w:cs="Menlo"/>
          <w:color w:val="CE9178"/>
          <w:sz w:val="18"/>
          <w:szCs w:val="18"/>
          <w:lang w:eastAsia="zh-CN"/>
        </w:rPr>
        <w:t>n đơn gi</w:t>
      </w:r>
      <w:r w:rsidRPr="00245629">
        <w:rPr>
          <w:rFonts w:ascii="Calibri" w:eastAsia="Times New Roman" w:hAnsi="Calibri" w:cs="Calibri"/>
          <w:color w:val="CE9178"/>
          <w:sz w:val="18"/>
          <w:szCs w:val="18"/>
          <w:lang w:eastAsia="zh-CN"/>
        </w:rPr>
        <w:t>ả</w:t>
      </w:r>
      <w:r w:rsidRPr="00245629">
        <w:rPr>
          <w:rFonts w:ascii="Menlo" w:eastAsia="Times New Roman" w:hAnsi="Menlo" w:cs="Menlo"/>
          <w:color w:val="CE9178"/>
          <w:sz w:val="18"/>
          <w:szCs w:val="18"/>
          <w:lang w:eastAsia="zh-CN"/>
        </w:rPr>
        <w:t>n đ</w:t>
      </w:r>
      <w:r w:rsidRPr="00245629">
        <w:rPr>
          <w:rFonts w:ascii="Calibri" w:eastAsia="Times New Roman" w:hAnsi="Calibri" w:cs="Calibri"/>
          <w:color w:val="CE9178"/>
          <w:sz w:val="18"/>
          <w:szCs w:val="18"/>
          <w:lang w:eastAsia="zh-CN"/>
        </w:rPr>
        <w:t>ể</w:t>
      </w:r>
      <w:r w:rsidRPr="00245629">
        <w:rPr>
          <w:rFonts w:ascii="Menlo" w:eastAsia="Times New Roman" w:hAnsi="Menlo" w:cs="Menlo"/>
          <w:color w:val="CE9178"/>
          <w:sz w:val="18"/>
          <w:szCs w:val="18"/>
          <w:lang w:eastAsia="zh-CN"/>
        </w:rPr>
        <w:t xml:space="preserve"> đánh giá mức độ xơ gan dựa trên mức AST, ALT, s</w:t>
      </w:r>
      <w:r w:rsidRPr="00245629">
        <w:rPr>
          <w:rFonts w:ascii="Calibri" w:eastAsia="Times New Roman" w:hAnsi="Calibri" w:cs="Calibri"/>
          <w:color w:val="CE9178"/>
          <w:sz w:val="18"/>
          <w:szCs w:val="18"/>
          <w:lang w:eastAsia="zh-CN"/>
        </w:rPr>
        <w:t>ố</w:t>
      </w:r>
      <w:r w:rsidRPr="00245629">
        <w:rPr>
          <w:rFonts w:ascii="Menlo" w:eastAsia="Times New Roman" w:hAnsi="Menlo" w:cs="Menlo"/>
          <w:color w:val="CE9178"/>
          <w:sz w:val="18"/>
          <w:szCs w:val="18"/>
          <w:lang w:eastAsia="zh-CN"/>
        </w:rPr>
        <w:t xml:space="preserve"> lượng ti</w:t>
      </w:r>
      <w:r w:rsidRPr="00245629">
        <w:rPr>
          <w:rFonts w:ascii="Calibri" w:eastAsia="Times New Roman" w:hAnsi="Calibri" w:cs="Calibri"/>
          <w:color w:val="CE9178"/>
          <w:sz w:val="18"/>
          <w:szCs w:val="18"/>
          <w:lang w:eastAsia="zh-CN"/>
        </w:rPr>
        <w:t>ể</w:t>
      </w:r>
      <w:r w:rsidRPr="00245629">
        <w:rPr>
          <w:rFonts w:ascii="Menlo" w:eastAsia="Times New Roman" w:hAnsi="Menlo" w:cs="Menlo"/>
          <w:color w:val="CE9178"/>
          <w:sz w:val="18"/>
          <w:szCs w:val="18"/>
          <w:lang w:eastAsia="zh-CN"/>
        </w:rPr>
        <w:t>u c</w:t>
      </w:r>
      <w:r w:rsidRPr="00245629">
        <w:rPr>
          <w:rFonts w:ascii="Calibri" w:eastAsia="Times New Roman" w:hAnsi="Calibri" w:cs="Calibri"/>
          <w:color w:val="CE9178"/>
          <w:sz w:val="18"/>
          <w:szCs w:val="18"/>
          <w:lang w:eastAsia="zh-CN"/>
        </w:rPr>
        <w:t>ầ</w:t>
      </w:r>
      <w:r w:rsidRPr="00245629">
        <w:rPr>
          <w:rFonts w:ascii="Menlo" w:eastAsia="Times New Roman" w:hAnsi="Menlo" w:cs="Menlo"/>
          <w:color w:val="CE9178"/>
          <w:sz w:val="18"/>
          <w:szCs w:val="18"/>
          <w:lang w:eastAsia="zh-CN"/>
        </w:rPr>
        <w:t>u và tu</w:t>
      </w:r>
      <w:r w:rsidRPr="00245629">
        <w:rPr>
          <w:rFonts w:ascii="Calibri" w:eastAsia="Times New Roman" w:hAnsi="Calibri" w:cs="Calibri"/>
          <w:color w:val="CE9178"/>
          <w:sz w:val="18"/>
          <w:szCs w:val="18"/>
          <w:lang w:eastAsia="zh-CN"/>
        </w:rPr>
        <w:t>ổ</w:t>
      </w:r>
      <w:r w:rsidRPr="00245629">
        <w:rPr>
          <w:rFonts w:ascii="Menlo" w:eastAsia="Times New Roman" w:hAnsi="Menlo" w:cs="Menlo"/>
          <w:color w:val="CE9178"/>
          <w:sz w:val="18"/>
          <w:szCs w:val="18"/>
          <w:lang w:eastAsia="zh-CN"/>
        </w:rPr>
        <w:t>i bệnh nhân. Ưu tiên s</w:t>
      </w:r>
      <w:r w:rsidRPr="00245629">
        <w:rPr>
          <w:rFonts w:ascii="Calibri" w:eastAsia="Times New Roman" w:hAnsi="Calibri" w:cs="Calibri"/>
          <w:color w:val="CE9178"/>
          <w:sz w:val="18"/>
          <w:szCs w:val="18"/>
          <w:lang w:eastAsia="zh-CN"/>
        </w:rPr>
        <w:t>ử</w:t>
      </w:r>
      <w:r w:rsidRPr="00245629">
        <w:rPr>
          <w:rFonts w:ascii="Menlo" w:eastAsia="Times New Roman" w:hAnsi="Menlo" w:cs="Menlo"/>
          <w:color w:val="CE9178"/>
          <w:sz w:val="18"/>
          <w:szCs w:val="18"/>
          <w:lang w:eastAsia="zh-CN"/>
        </w:rPr>
        <w:t xml:space="preserve"> dụng kỹ thuật đo độ đàn h</w:t>
      </w:r>
      <w:r w:rsidRPr="00245629">
        <w:rPr>
          <w:rFonts w:ascii="Calibri" w:eastAsia="Times New Roman" w:hAnsi="Calibri" w:cs="Calibri"/>
          <w:color w:val="CE9178"/>
          <w:sz w:val="18"/>
          <w:szCs w:val="18"/>
          <w:lang w:eastAsia="zh-CN"/>
        </w:rPr>
        <w:t>ồ</w:t>
      </w:r>
      <w:r w:rsidRPr="00245629">
        <w:rPr>
          <w:rFonts w:ascii="Menlo" w:eastAsia="Times New Roman" w:hAnsi="Menlo" w:cs="Menlo"/>
          <w:color w:val="CE9178"/>
          <w:sz w:val="18"/>
          <w:szCs w:val="18"/>
          <w:lang w:eastAsia="zh-CN"/>
        </w:rPr>
        <w:t xml:space="preserve">i gan (FibroScan) hoặc FibroTest tại những nơi có các xét nghiệm này </w:t>
      </w:r>
      <w:r w:rsidRPr="00245629">
        <w:rPr>
          <w:rFonts w:ascii="Calibri" w:eastAsia="Times New Roman" w:hAnsi="Calibri" w:cs="Calibri"/>
          <w:color w:val="CE9178"/>
          <w:sz w:val="18"/>
          <w:szCs w:val="18"/>
          <w:lang w:eastAsia="zh-CN"/>
        </w:rPr>
        <w:t>ở</w:t>
      </w:r>
      <w:r w:rsidRPr="00245629">
        <w:rPr>
          <w:rFonts w:ascii="Menlo" w:eastAsia="Times New Roman" w:hAnsi="Menlo" w:cs="Menlo"/>
          <w:color w:val="CE9178"/>
          <w:sz w:val="18"/>
          <w:szCs w:val="18"/>
          <w:lang w:eastAsia="zh-CN"/>
        </w:rPr>
        <w:t xml:space="preserve"> mức chi phí phù hợp.</w:t>
      </w:r>
    </w:p>
    <w:p w14:paraId="34D3D313" w14:textId="77777777" w:rsidR="00245629" w:rsidRDefault="00245629" w:rsidP="00EB11BC"/>
    <w:p w14:paraId="40A3BDC1" w14:textId="20DF6289" w:rsidR="00C70798" w:rsidRDefault="00C70798" w:rsidP="00EB11BC">
      <w:r>
        <w:lastRenderedPageBreak/>
        <w:t>Age (years)</w:t>
      </w:r>
    </w:p>
    <w:p w14:paraId="7F7A8D9B" w14:textId="20CDE9B9" w:rsidR="00C70798" w:rsidRDefault="00C70798" w:rsidP="00EB11BC">
      <w:r>
        <w:t>AST Level (U/L)</w:t>
      </w:r>
    </w:p>
    <w:p w14:paraId="3AF016CF" w14:textId="4F861CDF" w:rsidR="00C70798" w:rsidRDefault="00C70798" w:rsidP="00EB11BC">
      <w:r>
        <w:t>Platelet count (10</w:t>
      </w:r>
      <w:r w:rsidRPr="00C70798">
        <w:rPr>
          <w:vertAlign w:val="superscript"/>
        </w:rPr>
        <w:t>9</w:t>
      </w:r>
      <w:r>
        <w:t>/L)</w:t>
      </w:r>
    </w:p>
    <w:p w14:paraId="670E6695" w14:textId="668A1A06" w:rsidR="00C70798" w:rsidRDefault="00C70798" w:rsidP="00EB11BC">
      <w:r>
        <w:t>ALT Level (U/L)</w:t>
      </w:r>
    </w:p>
    <w:p w14:paraId="5B154DE4" w14:textId="3F6C1865" w:rsidR="00C70798" w:rsidRDefault="00C70798" w:rsidP="00EB11BC">
      <w:r>
        <w:t>Your FIB-4 Score</w:t>
      </w:r>
    </w:p>
    <w:p w14:paraId="30F0BA60" w14:textId="0F008A26" w:rsidR="00C70798" w:rsidRPr="00C70798" w:rsidRDefault="00C70798" w:rsidP="00EB11BC">
      <w:r>
        <w:t xml:space="preserve">FIB-4 Score = (Age x AST) / </w:t>
      </w:r>
      <w:r w:rsidR="008524C0">
        <w:t>(</w:t>
      </w:r>
      <w:r>
        <w:t xml:space="preserve">Platelet Count </w:t>
      </w:r>
      <w:r w:rsidR="008524C0">
        <w:t xml:space="preserve">x </w:t>
      </w:r>
      <m:oMath>
        <m:r>
          <w:rPr>
            <w:rFonts w:ascii="Cambria Math" w:hAnsi="Cambria Math"/>
          </w:rPr>
          <m:t>√</m:t>
        </m:r>
      </m:oMath>
      <w:r w:rsidR="008524C0">
        <w:t>ALT)</w:t>
      </w:r>
    </w:p>
    <w:p w14:paraId="423681CA" w14:textId="77777777" w:rsidR="009C6BC5" w:rsidRDefault="009C6BC5" w:rsidP="009C6BC5">
      <w:r>
        <w:t>FIB-4</w:t>
      </w:r>
    </w:p>
    <w:p w14:paraId="0BFA1471" w14:textId="77777777" w:rsidR="00C70798" w:rsidRDefault="00C70798" w:rsidP="00EB11BC">
      <w:pPr>
        <w:rPr>
          <w:b/>
          <w:bCs/>
        </w:rPr>
      </w:pPr>
    </w:p>
    <w:p w14:paraId="21FE9B2D" w14:textId="1346AEAF" w:rsidR="00EB11BC" w:rsidRPr="00EB11BC" w:rsidRDefault="008524C0" w:rsidP="00EB11BC">
      <w:pPr>
        <w:rPr>
          <w:b/>
          <w:bCs/>
        </w:rPr>
      </w:pPr>
      <w:r>
        <w:rPr>
          <w:b/>
          <w:bCs/>
        </w:rPr>
        <w:t>I</w:t>
      </w:r>
      <w:r w:rsidR="00EB11BC">
        <w:rPr>
          <w:b/>
          <w:bCs/>
        </w:rPr>
        <w:t>nterpretation</w:t>
      </w:r>
    </w:p>
    <w:p w14:paraId="3F93CA0A" w14:textId="77777777" w:rsidR="00EB11BC" w:rsidRDefault="00EB11BC" w:rsidP="00EB11BC">
      <w:r>
        <w:t xml:space="preserve">Interpretation: FIB-4 score </w:t>
      </w:r>
      <w:r w:rsidRPr="003E605A">
        <w:rPr>
          <w:u w:val="words"/>
        </w:rPr>
        <w:t>&gt;</w:t>
      </w:r>
      <w:r w:rsidRPr="003E605A">
        <w:t xml:space="preserve"> </w:t>
      </w:r>
      <w:r>
        <w:t xml:space="preserve">3.6 has a 90.8% positive predictive value with 98% specificity and 30% sensitivity in detecting cirrhosis, </w:t>
      </w:r>
      <w:r w:rsidRPr="003E605A">
        <w:t xml:space="preserve">whereas FIB-4 score </w:t>
      </w:r>
      <w:r w:rsidRPr="003E605A">
        <w:rPr>
          <w:u w:val="words"/>
        </w:rPr>
        <w:t>&lt;</w:t>
      </w:r>
      <w:r w:rsidRPr="003E605A">
        <w:t> 1.6 has a negative predictive value of 93% in detecting cirrhosis.</w:t>
      </w:r>
      <w:r>
        <w:t xml:space="preserve"> FIB 4 </w:t>
      </w:r>
      <w:r w:rsidRPr="00520AA8">
        <w:rPr>
          <w:u w:val="single"/>
        </w:rPr>
        <w:t>&gt;</w:t>
      </w:r>
      <w:r>
        <w:t xml:space="preserve"> </w:t>
      </w:r>
      <w:r w:rsidRPr="00520AA8">
        <w:t>2.6 h</w:t>
      </w:r>
      <w:r>
        <w:t>as a 94.6% positive predictive value and 97.8% specificity in detecting severe liver fibrosis (</w:t>
      </w:r>
      <w:r w:rsidRPr="00520AA8">
        <w:rPr>
          <w:u w:val="single"/>
        </w:rPr>
        <w:t>&gt;</w:t>
      </w:r>
      <w:r>
        <w:t xml:space="preserve"> F3).</w:t>
      </w:r>
    </w:p>
    <w:p w14:paraId="23BAC06B" w14:textId="77777777" w:rsidR="00EB11BC" w:rsidRDefault="00EB11BC" w:rsidP="00EB11BC">
      <w:r>
        <w:t>(Kim BK et al. Liver International 2009)</w:t>
      </w:r>
    </w:p>
    <w:p w14:paraId="6EA376C5" w14:textId="19A81C02" w:rsidR="00EB11BC" w:rsidRDefault="00EB11BC" w:rsidP="00EB11BC"/>
    <w:p w14:paraId="28B420FA" w14:textId="77777777" w:rsidR="009C6BC5" w:rsidRDefault="009C6BC5" w:rsidP="009C6BC5">
      <w:pPr>
        <w:rPr>
          <w:b/>
        </w:rPr>
      </w:pPr>
      <w:r w:rsidRPr="009C6BC5">
        <w:rPr>
          <w:b/>
        </w:rPr>
        <w:t>Ý nghĩa</w:t>
      </w:r>
    </w:p>
    <w:p w14:paraId="09C7D200" w14:textId="2161D2B1" w:rsidR="009C6BC5" w:rsidRDefault="009C6BC5" w:rsidP="009C6BC5">
      <w:r>
        <w:t xml:space="preserve">Chỉ số FIB-4 </w:t>
      </w:r>
      <w:r w:rsidRPr="003E605A">
        <w:rPr>
          <w:u w:val="words"/>
        </w:rPr>
        <w:t>&gt;</w:t>
      </w:r>
      <w:r w:rsidRPr="003E605A">
        <w:t xml:space="preserve"> </w:t>
      </w:r>
      <w:r>
        <w:t xml:space="preserve">3.6 có giá trị dự đoán dương tính 90.8%, độ đặc hiệu 98% and độ nhạy 30% trong chẩn đoán xơ gan, trong khi chỉ số </w:t>
      </w:r>
      <w:r w:rsidRPr="003E605A">
        <w:t xml:space="preserve">FIB-4  </w:t>
      </w:r>
      <w:r w:rsidRPr="003E605A">
        <w:rPr>
          <w:u w:val="words"/>
        </w:rPr>
        <w:t>&lt;</w:t>
      </w:r>
      <w:r w:rsidRPr="003E605A">
        <w:t> 1.6</w:t>
      </w:r>
      <w:r>
        <w:t xml:space="preserve"> có giá trị dự đoán âm tính </w:t>
      </w:r>
      <w:r w:rsidRPr="003E605A">
        <w:t>93%</w:t>
      </w:r>
      <w:r>
        <w:t xml:space="preserve"> trong chẩn đoán xơ gan</w:t>
      </w:r>
      <w:r w:rsidRPr="003E605A">
        <w:t>.</w:t>
      </w:r>
      <w:r>
        <w:t xml:space="preserve"> Chỉ số FIB 4 </w:t>
      </w:r>
      <w:r w:rsidRPr="00520AA8">
        <w:rPr>
          <w:u w:val="single"/>
        </w:rPr>
        <w:t>&gt;</w:t>
      </w:r>
      <w:r>
        <w:t xml:space="preserve"> </w:t>
      </w:r>
      <w:r w:rsidRPr="00520AA8">
        <w:t xml:space="preserve">2.6 </w:t>
      </w:r>
      <w:r>
        <w:t>có giá trị dự đoán dương tính 94.6%,</w:t>
      </w:r>
      <w:r w:rsidRPr="000575D3">
        <w:t xml:space="preserve"> </w:t>
      </w:r>
      <w:r>
        <w:t>độ đặc hiệu 97.8% trong chẩn đoán xơ gan nặng  (</w:t>
      </w:r>
      <w:r w:rsidRPr="00520AA8">
        <w:rPr>
          <w:u w:val="single"/>
        </w:rPr>
        <w:t>&gt;</w:t>
      </w:r>
      <w:r>
        <w:t xml:space="preserve"> F3).</w:t>
      </w:r>
    </w:p>
    <w:p w14:paraId="51CFF263" w14:textId="77777777" w:rsidR="009C6BC5" w:rsidRDefault="009C6BC5" w:rsidP="009C6BC5">
      <w:r>
        <w:t>(Kim BK và cộng sự, Gan mật quốc tế 2009)</w:t>
      </w:r>
    </w:p>
    <w:p w14:paraId="6147478D" w14:textId="0690C95D" w:rsidR="008524C0" w:rsidRDefault="008524C0" w:rsidP="00EB11BC"/>
    <w:p w14:paraId="7B899FCA" w14:textId="69C412A0" w:rsidR="008524C0" w:rsidRDefault="008524C0" w:rsidP="00EB11BC"/>
    <w:p w14:paraId="220B62E9" w14:textId="29DE55DE" w:rsidR="008524C0" w:rsidRDefault="008524C0" w:rsidP="00EB11BC"/>
    <w:p w14:paraId="5190FB97" w14:textId="4210B6CF" w:rsidR="008524C0" w:rsidRDefault="008524C0" w:rsidP="00EB11BC"/>
    <w:p w14:paraId="1641ECB5" w14:textId="7A22967F" w:rsidR="008524C0" w:rsidRDefault="008524C0" w:rsidP="00EB11BC"/>
    <w:p w14:paraId="1BF46F90" w14:textId="0B68B0AC" w:rsidR="008524C0" w:rsidRDefault="008524C0" w:rsidP="00EB11BC"/>
    <w:p w14:paraId="4A4E634B" w14:textId="3C43FF8D" w:rsidR="008524C0" w:rsidRDefault="008524C0" w:rsidP="00EB11BC"/>
    <w:p w14:paraId="17AF8CC2" w14:textId="44B79B5C" w:rsidR="008524C0" w:rsidRDefault="008524C0" w:rsidP="00EB11BC"/>
    <w:p w14:paraId="52CFEAB1" w14:textId="0D6B7314" w:rsidR="008524C0" w:rsidRDefault="008524C0" w:rsidP="00EB11BC"/>
    <w:p w14:paraId="6E2A7385" w14:textId="6D9EAA6D" w:rsidR="008524C0" w:rsidRDefault="008524C0" w:rsidP="00EB11BC"/>
    <w:p w14:paraId="7AFD1433" w14:textId="59FCEB6D" w:rsidR="008524C0" w:rsidRDefault="008524C0" w:rsidP="00EB11BC"/>
    <w:p w14:paraId="56E09B06" w14:textId="01A81AA3" w:rsidR="008524C0" w:rsidRDefault="008524C0" w:rsidP="00EB11BC"/>
    <w:p w14:paraId="29129072" w14:textId="674AFEA6" w:rsidR="008524C0" w:rsidRDefault="008524C0" w:rsidP="00EB11BC"/>
    <w:p w14:paraId="27B9618F" w14:textId="3B942098" w:rsidR="008524C0" w:rsidRDefault="008524C0" w:rsidP="008524C0">
      <w:pPr>
        <w:rPr>
          <w:b/>
          <w:bCs/>
        </w:rPr>
      </w:pPr>
      <w:r>
        <w:rPr>
          <w:b/>
          <w:bCs/>
        </w:rPr>
        <w:t>Home</w:t>
      </w:r>
    </w:p>
    <w:p w14:paraId="654D9AF7" w14:textId="6D3EE106" w:rsidR="009C6BC5" w:rsidRDefault="009C6BC5" w:rsidP="008524C0">
      <w:pPr>
        <w:rPr>
          <w:b/>
          <w:bCs/>
        </w:rPr>
      </w:pPr>
      <w:r>
        <w:rPr>
          <w:b/>
          <w:bCs/>
        </w:rPr>
        <w:t>Trang chủ</w:t>
      </w:r>
    </w:p>
    <w:p w14:paraId="3CB3325F" w14:textId="41A04778" w:rsidR="008524C0" w:rsidRDefault="008524C0" w:rsidP="008524C0">
      <w:pPr>
        <w:rPr>
          <w:b/>
          <w:bCs/>
        </w:rPr>
      </w:pPr>
    </w:p>
    <w:p w14:paraId="3CE2A215" w14:textId="1964948C" w:rsidR="008524C0" w:rsidRDefault="008524C0" w:rsidP="008524C0">
      <w:pPr>
        <w:rPr>
          <w:b/>
          <w:bCs/>
          <w:color w:val="FF0000"/>
        </w:rPr>
      </w:pPr>
      <w:r w:rsidRPr="008524C0">
        <w:rPr>
          <w:b/>
          <w:bCs/>
          <w:color w:val="FF0000"/>
        </w:rPr>
        <w:t>APRI/FIB-4 Calculator</w:t>
      </w:r>
    </w:p>
    <w:p w14:paraId="40DC88CC" w14:textId="6778D24C" w:rsidR="009C6BC5" w:rsidRPr="008524C0" w:rsidRDefault="009C6BC5" w:rsidP="008524C0">
      <w:pPr>
        <w:rPr>
          <w:b/>
          <w:bCs/>
          <w:color w:val="FF0000"/>
        </w:rPr>
      </w:pPr>
      <w:r>
        <w:rPr>
          <w:b/>
          <w:bCs/>
          <w:color w:val="FF0000"/>
        </w:rPr>
        <w:t>Bảng tính APRI/FIB-4</w:t>
      </w:r>
    </w:p>
    <w:p w14:paraId="42A37CAD" w14:textId="14F2CD12" w:rsidR="008524C0" w:rsidRPr="008524C0" w:rsidRDefault="008524C0" w:rsidP="008524C0">
      <w:pPr>
        <w:rPr>
          <w:b/>
          <w:bCs/>
        </w:rPr>
      </w:pPr>
    </w:p>
    <w:p w14:paraId="41B1E54F" w14:textId="5052198F" w:rsidR="008524C0" w:rsidRDefault="008524C0" w:rsidP="008524C0">
      <w:pPr>
        <w:rPr>
          <w:b/>
          <w:bCs/>
        </w:rPr>
      </w:pPr>
      <w:r w:rsidRPr="008524C0">
        <w:rPr>
          <w:b/>
          <w:bCs/>
        </w:rPr>
        <w:t>Introduction Video</w:t>
      </w:r>
    </w:p>
    <w:p w14:paraId="2128A5CC" w14:textId="0DD952E4" w:rsidR="009C6BC5" w:rsidRPr="008524C0" w:rsidRDefault="009C6BC5" w:rsidP="008524C0">
      <w:pPr>
        <w:rPr>
          <w:b/>
          <w:bCs/>
        </w:rPr>
      </w:pPr>
      <w:r>
        <w:rPr>
          <w:b/>
          <w:bCs/>
        </w:rPr>
        <w:t>Video giới thiệu</w:t>
      </w:r>
    </w:p>
    <w:p w14:paraId="0FC98391" w14:textId="77777777" w:rsidR="008524C0" w:rsidRDefault="008524C0" w:rsidP="008524C0">
      <w:pPr>
        <w:rPr>
          <w:b/>
          <w:bCs/>
        </w:rPr>
      </w:pPr>
    </w:p>
    <w:p w14:paraId="4D519092" w14:textId="4318217D" w:rsidR="008524C0" w:rsidRPr="005177DF" w:rsidRDefault="008524C0" w:rsidP="008524C0">
      <w:pPr>
        <w:rPr>
          <w:b/>
          <w:bCs/>
        </w:rPr>
      </w:pPr>
      <w:r w:rsidRPr="005177DF">
        <w:rPr>
          <w:b/>
          <w:bCs/>
        </w:rPr>
        <w:t>About</w:t>
      </w:r>
    </w:p>
    <w:p w14:paraId="4D241FA2" w14:textId="77777777" w:rsidR="008524C0" w:rsidRDefault="008524C0" w:rsidP="008524C0">
      <w:r>
        <w:t xml:space="preserve">The chronic hepatitis B Treatment Decision Tool for Adults is developed by the Asian Liver Center at Stanford University. The app is an educational tool intended for primary healthcare professionals particularly in resource-limited countries as a general guide in the monitoring of HBsAg positive adults, and when antiviral treatment would be recommended based on the guidelines adapted from the World Health Organization or from the American Association for the Study of Liver Diseases.  </w:t>
      </w:r>
    </w:p>
    <w:p w14:paraId="19D38DE6" w14:textId="77777777" w:rsidR="009C6BC5" w:rsidRDefault="009C6BC5" w:rsidP="008524C0"/>
    <w:p w14:paraId="2512F517" w14:textId="77777777" w:rsidR="009C6BC5" w:rsidRPr="005177DF" w:rsidRDefault="009C6BC5" w:rsidP="009C6BC5">
      <w:pPr>
        <w:rPr>
          <w:b/>
          <w:bCs/>
        </w:rPr>
      </w:pPr>
      <w:r>
        <w:rPr>
          <w:b/>
          <w:bCs/>
        </w:rPr>
        <w:t>Giới thiệu</w:t>
      </w:r>
    </w:p>
    <w:p w14:paraId="63512A33" w14:textId="77777777" w:rsidR="009C6BC5" w:rsidRDefault="009C6BC5" w:rsidP="009C6BC5">
      <w:r>
        <w:t xml:space="preserve">Công cụ quyết định điều trị viêm gan B mạn ở người lớn do Trung tâm gan Châu Á đại học Stanford xây dựng. Ứng dụng này là một công cụ đào tạo dành cho nhân viên y tế, đặc biệt tại nơi có nguồn lực hạn chế, sử dụng dưới dạng công cụ hướng dẫn thực hành quản lý bệnh nhân HBsAg dương tính và khuyến nghị chỉ định điều trị kháng vi rút dựa trên hướng dẫn của Tổ chức y tế thế giới và Hiệp hội nghiên cứu bệnh gan mật Hoa Kỳ.  </w:t>
      </w:r>
    </w:p>
    <w:p w14:paraId="3BCCE53B" w14:textId="77777777" w:rsidR="009C6BC5" w:rsidRDefault="009C6BC5" w:rsidP="009C6BC5"/>
    <w:p w14:paraId="63F7660D" w14:textId="77777777" w:rsidR="009C6BC5" w:rsidRDefault="009C6BC5" w:rsidP="008524C0"/>
    <w:p w14:paraId="7DDE6795" w14:textId="77777777" w:rsidR="008524C0" w:rsidRPr="005177DF" w:rsidRDefault="008524C0" w:rsidP="008524C0">
      <w:pPr>
        <w:rPr>
          <w:b/>
          <w:bCs/>
        </w:rPr>
      </w:pPr>
      <w:r w:rsidRPr="005177DF">
        <w:rPr>
          <w:b/>
          <w:bCs/>
        </w:rPr>
        <w:t>Disclaimer</w:t>
      </w:r>
    </w:p>
    <w:p w14:paraId="5838C83F" w14:textId="77777777" w:rsidR="008524C0" w:rsidRDefault="008524C0" w:rsidP="008524C0">
      <w:r>
        <w:t>This app provides general guidance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w:t>
      </w:r>
    </w:p>
    <w:p w14:paraId="05A2F240" w14:textId="77777777" w:rsidR="009C6BC5" w:rsidRPr="005177DF" w:rsidRDefault="009C6BC5" w:rsidP="009C6BC5">
      <w:pPr>
        <w:rPr>
          <w:b/>
          <w:bCs/>
        </w:rPr>
      </w:pPr>
      <w:r>
        <w:rPr>
          <w:b/>
          <w:bCs/>
        </w:rPr>
        <w:lastRenderedPageBreak/>
        <w:t>Miễn trừ</w:t>
      </w:r>
    </w:p>
    <w:p w14:paraId="57343B3E" w14:textId="77777777" w:rsidR="009C6BC5" w:rsidRDefault="009C6BC5" w:rsidP="009C6BC5">
      <w:r>
        <w:t xml:space="preserve">Công cụ này cung cấp các hướng dẫn chung và không thay thế cho chỉ định của bác sĩ chuyên khoa trong việc quản lý và điều trị bệnh gan và viêm gan vi rút. Không áp dụng các khuyến cáo và hướng dẫn trong công cụ này mà không đánh giá tình trạng bệnh nhận và các chống chỉnh định khác; và chỉ ứng dụng sau khi bệnh nhân đã được cung cấp thông tin về viêm gan B, lợi ích và nguy cơ của việc điều trị kháng vi rút. </w:t>
      </w:r>
    </w:p>
    <w:p w14:paraId="09D1A9FF" w14:textId="77777777" w:rsidR="009C6BC5" w:rsidRDefault="009C6BC5" w:rsidP="009C6BC5"/>
    <w:p w14:paraId="2E675110" w14:textId="77777777" w:rsidR="009C6BC5" w:rsidRDefault="009C6BC5" w:rsidP="009C6BC5"/>
    <w:p w14:paraId="15670250" w14:textId="77777777" w:rsidR="008524C0" w:rsidRPr="005177DF" w:rsidRDefault="008524C0" w:rsidP="008524C0">
      <w:pPr>
        <w:rPr>
          <w:b/>
          <w:bCs/>
        </w:rPr>
      </w:pPr>
      <w:r w:rsidRPr="005177DF">
        <w:rPr>
          <w:b/>
          <w:bCs/>
        </w:rPr>
        <w:t>Privacy</w:t>
      </w:r>
    </w:p>
    <w:p w14:paraId="2BD08058" w14:textId="77777777" w:rsidR="008524C0" w:rsidRDefault="008524C0" w:rsidP="008524C0">
      <w:r>
        <w:t>This app does not collect or retain any personal identifiable information including your device internet protocol (IP) address.</w:t>
      </w:r>
    </w:p>
    <w:p w14:paraId="62DB77E2" w14:textId="77777777" w:rsidR="009C6BC5" w:rsidRPr="005177DF" w:rsidRDefault="009C6BC5" w:rsidP="009C6BC5">
      <w:pPr>
        <w:rPr>
          <w:b/>
          <w:bCs/>
        </w:rPr>
      </w:pPr>
      <w:r>
        <w:rPr>
          <w:b/>
          <w:bCs/>
        </w:rPr>
        <w:t>Quyền riêng tư</w:t>
      </w:r>
    </w:p>
    <w:p w14:paraId="1893096C" w14:textId="77777777" w:rsidR="009C6BC5" w:rsidRDefault="009C6BC5" w:rsidP="009C6BC5">
      <w:r>
        <w:t xml:space="preserve">Công cụ này không thu thập hoặc lưu trữ các thông tin cá nhân của người sử dụng, bao gồm cả thông tin về địa chỉ IP. </w:t>
      </w:r>
    </w:p>
    <w:p w14:paraId="78D87C2B" w14:textId="77777777" w:rsidR="008524C0" w:rsidRDefault="008524C0" w:rsidP="008524C0"/>
    <w:p w14:paraId="24207369" w14:textId="77777777" w:rsidR="008524C0" w:rsidRPr="005177DF" w:rsidRDefault="008524C0" w:rsidP="008524C0">
      <w:pPr>
        <w:rPr>
          <w:b/>
          <w:bCs/>
        </w:rPr>
      </w:pPr>
      <w:r w:rsidRPr="005177DF">
        <w:rPr>
          <w:b/>
          <w:bCs/>
        </w:rPr>
        <w:t>Asian Liver Center at Stanford University</w:t>
      </w:r>
    </w:p>
    <w:p w14:paraId="0BF84B4E" w14:textId="77777777" w:rsidR="008524C0" w:rsidRDefault="008524C0" w:rsidP="008524C0">
      <w:r>
        <w:t>Founded: in 1996 to address the gaps in hepatitis B and liver cancer awareness, education and training, research and national policies.</w:t>
      </w:r>
    </w:p>
    <w:p w14:paraId="4F6D9FBD" w14:textId="77777777" w:rsidR="008524C0" w:rsidRDefault="008524C0" w:rsidP="008524C0">
      <w:r>
        <w:t xml:space="preserve">Goal: to eliminate worldwide hepatitis B transmission, deaths and stigma, and reduce the burden of liver cancer </w:t>
      </w:r>
    </w:p>
    <w:p w14:paraId="3B95FC8A" w14:textId="7B2A7BB4" w:rsidR="008524C0" w:rsidRDefault="008524C0" w:rsidP="008524C0">
      <w:r>
        <w:t>Jade Ribbon and Join Jade (green color): global call to action to eliminate hepatitis B and liver cancer.</w:t>
      </w:r>
    </w:p>
    <w:p w14:paraId="469298AB" w14:textId="77777777" w:rsidR="009C6BC5" w:rsidRPr="005177DF" w:rsidRDefault="009C6BC5" w:rsidP="009C6BC5">
      <w:pPr>
        <w:rPr>
          <w:b/>
          <w:bCs/>
        </w:rPr>
      </w:pPr>
      <w:r>
        <w:rPr>
          <w:b/>
          <w:bCs/>
        </w:rPr>
        <w:t>Trung tâm gan châu Á Đại học Stanford</w:t>
      </w:r>
    </w:p>
    <w:p w14:paraId="00F7A4DA" w14:textId="77777777" w:rsidR="009C6BC5" w:rsidRDefault="009C6BC5" w:rsidP="009C6BC5">
      <w:r>
        <w:t>Sáng lập: Trung tâm được sáng lập vào năm 1996 với sứ mệnh tăng cường các hoạt động giáo dục, đào tạo, nghiên cứu và chính sách về viêm gan B và ung thư gan.</w:t>
      </w:r>
    </w:p>
    <w:p w14:paraId="377C010F" w14:textId="77777777" w:rsidR="009C6BC5" w:rsidRDefault="009C6BC5" w:rsidP="009C6BC5">
      <w:r>
        <w:t>Mục đích: loại trừ sự lây lan, kỳ thị và tử vong do viêm gan B trên toàn cầu và giảm gánh nặng về ung thư gan</w:t>
      </w:r>
    </w:p>
    <w:p w14:paraId="2B416954" w14:textId="77777777" w:rsidR="009C6BC5" w:rsidRDefault="009C6BC5" w:rsidP="009C6BC5">
      <w:r>
        <w:t>Chương trình xanh ngọc bích (màu cẩm thạch): là lời kêu gọi toàn cầu để loại trừ viêm gan B và ung thư gan.</w:t>
      </w:r>
    </w:p>
    <w:p w14:paraId="27D89AA8" w14:textId="3BB1F905" w:rsidR="008524C0" w:rsidRDefault="008524C0" w:rsidP="008524C0"/>
    <w:p w14:paraId="35AB146D" w14:textId="23A7A004" w:rsidR="008524C0" w:rsidRDefault="008524C0" w:rsidP="008524C0">
      <w:pPr>
        <w:rPr>
          <w:b/>
          <w:bCs/>
        </w:rPr>
      </w:pPr>
      <w:r w:rsidRPr="008524C0">
        <w:rPr>
          <w:b/>
          <w:bCs/>
        </w:rPr>
        <w:t>Languages</w:t>
      </w:r>
    </w:p>
    <w:p w14:paraId="07728865" w14:textId="4FE74C1A" w:rsidR="009C6BC5" w:rsidRPr="008524C0" w:rsidRDefault="009C6BC5" w:rsidP="008524C0">
      <w:pPr>
        <w:rPr>
          <w:b/>
          <w:bCs/>
        </w:rPr>
      </w:pPr>
      <w:r>
        <w:rPr>
          <w:b/>
          <w:bCs/>
        </w:rPr>
        <w:t>Ngôn ngữ</w:t>
      </w:r>
    </w:p>
    <w:p w14:paraId="0405FCAC" w14:textId="77777777" w:rsidR="008524C0" w:rsidRDefault="008524C0" w:rsidP="008524C0"/>
    <w:p w14:paraId="2ABC5A26" w14:textId="16DB2991" w:rsidR="008524C0" w:rsidRDefault="008524C0" w:rsidP="00EB11BC">
      <w:pPr>
        <w:rPr>
          <w:b/>
          <w:bCs/>
        </w:rPr>
      </w:pPr>
    </w:p>
    <w:p w14:paraId="0000132F" w14:textId="77777777" w:rsidR="00191D06" w:rsidRPr="00191D06" w:rsidRDefault="00191D06" w:rsidP="00191D06">
      <w:pPr>
        <w:spacing w:after="0" w:line="240" w:lineRule="auto"/>
        <w:rPr>
          <w:rFonts w:ascii="Times New Roman" w:eastAsia="Times New Roman" w:hAnsi="Times New Roman" w:cs="Times New Roman"/>
          <w:sz w:val="24"/>
          <w:szCs w:val="24"/>
          <w:lang w:eastAsia="zh-CN"/>
        </w:rPr>
      </w:pPr>
      <w:r w:rsidRPr="00191D06">
        <w:rPr>
          <w:rFonts w:ascii="Arial" w:eastAsia="Times New Roman" w:hAnsi="Arial" w:cs="Arial"/>
          <w:b/>
          <w:bCs/>
          <w:color w:val="222222"/>
          <w:sz w:val="24"/>
          <w:szCs w:val="24"/>
          <w:shd w:val="clear" w:color="auto" w:fill="FFFFFF"/>
          <w:lang w:eastAsia="zh-CN"/>
        </w:rPr>
        <w:lastRenderedPageBreak/>
        <w:t>In Vietnamese:</w:t>
      </w:r>
    </w:p>
    <w:p w14:paraId="1DECAE3E" w14:textId="77777777" w:rsidR="00191D06" w:rsidRPr="00191D06" w:rsidRDefault="00191D06" w:rsidP="00191D06">
      <w:pPr>
        <w:shd w:val="clear" w:color="auto" w:fill="FFFFFF"/>
        <w:spacing w:after="0" w:line="240" w:lineRule="auto"/>
        <w:rPr>
          <w:rFonts w:ascii="Arial" w:eastAsia="Times New Roman" w:hAnsi="Arial" w:cs="Arial"/>
          <w:color w:val="222222"/>
          <w:sz w:val="24"/>
          <w:szCs w:val="24"/>
          <w:lang w:eastAsia="zh-CN"/>
        </w:rPr>
      </w:pPr>
      <w:r w:rsidRPr="00191D06">
        <w:rPr>
          <w:rFonts w:ascii="Arial" w:eastAsia="Times New Roman" w:hAnsi="Arial" w:cs="Arial"/>
          <w:color w:val="222222"/>
          <w:sz w:val="24"/>
          <w:szCs w:val="24"/>
          <w:lang w:eastAsia="zh-CN"/>
        </w:rPr>
        <w:t>Resources: Tài liệu tham khảo</w:t>
      </w:r>
      <w:r w:rsidRPr="00191D06">
        <w:rPr>
          <w:rFonts w:ascii="Arial" w:eastAsia="Times New Roman" w:hAnsi="Arial" w:cs="Arial"/>
          <w:color w:val="222222"/>
          <w:sz w:val="24"/>
          <w:szCs w:val="24"/>
          <w:lang w:eastAsia="zh-CN"/>
        </w:rPr>
        <w:br/>
      </w:r>
      <w:r w:rsidRPr="00191D06">
        <w:rPr>
          <w:rFonts w:ascii="Arial" w:eastAsia="Times New Roman" w:hAnsi="Arial" w:cs="Arial"/>
          <w:color w:val="222222"/>
          <w:sz w:val="24"/>
          <w:szCs w:val="24"/>
          <w:lang w:eastAsia="zh-CN"/>
        </w:rPr>
        <w:br/>
        <w:t>Guidelines: Hướng dẫn</w:t>
      </w:r>
      <w:r w:rsidRPr="00191D06">
        <w:rPr>
          <w:rFonts w:ascii="Arial" w:eastAsia="Times New Roman" w:hAnsi="Arial" w:cs="Arial"/>
          <w:color w:val="222222"/>
          <w:sz w:val="24"/>
          <w:szCs w:val="24"/>
          <w:lang w:eastAsia="zh-CN"/>
        </w:rPr>
        <w:br/>
      </w:r>
      <w:r w:rsidRPr="00191D06">
        <w:rPr>
          <w:rFonts w:ascii="Arial" w:eastAsia="Times New Roman" w:hAnsi="Arial" w:cs="Arial"/>
          <w:color w:val="222222"/>
          <w:sz w:val="24"/>
          <w:szCs w:val="24"/>
          <w:lang w:eastAsia="zh-CN"/>
        </w:rPr>
        <w:br/>
        <w:t>Training: Đào tạo</w:t>
      </w:r>
      <w:r w:rsidRPr="00191D06">
        <w:rPr>
          <w:rFonts w:ascii="Arial" w:eastAsia="Times New Roman" w:hAnsi="Arial" w:cs="Arial"/>
          <w:color w:val="222222"/>
          <w:sz w:val="24"/>
          <w:szCs w:val="24"/>
          <w:lang w:eastAsia="zh-CN"/>
        </w:rPr>
        <w:br/>
      </w:r>
      <w:r w:rsidRPr="00191D06">
        <w:rPr>
          <w:rFonts w:ascii="Arial" w:eastAsia="Times New Roman" w:hAnsi="Arial" w:cs="Arial"/>
          <w:color w:val="222222"/>
          <w:sz w:val="24"/>
          <w:szCs w:val="24"/>
          <w:lang w:eastAsia="zh-CN"/>
        </w:rPr>
        <w:br/>
        <w:t>2015 guidelines for the prevention, care and treatment of persons with chronic hepatitis B infection: Hướng dẫn dự phòng, chăm sóc và điều trị bệnh viêm gan B mạn, 2015</w:t>
      </w:r>
      <w:r w:rsidRPr="00191D06">
        <w:rPr>
          <w:rFonts w:ascii="Arial" w:eastAsia="Times New Roman" w:hAnsi="Arial" w:cs="Arial"/>
          <w:color w:val="222222"/>
          <w:sz w:val="24"/>
          <w:szCs w:val="24"/>
          <w:lang w:eastAsia="zh-CN"/>
        </w:rPr>
        <w:br/>
      </w:r>
      <w:r w:rsidRPr="00191D06">
        <w:rPr>
          <w:rFonts w:ascii="Arial" w:eastAsia="Times New Roman" w:hAnsi="Arial" w:cs="Arial"/>
          <w:color w:val="222222"/>
          <w:sz w:val="24"/>
          <w:szCs w:val="24"/>
          <w:lang w:eastAsia="zh-CN"/>
        </w:rPr>
        <w:br/>
        <w:t>2020 Prevention of mother-to-child transmission of hepatitis b virus: guidelines on antiviral prophylaxis in pregnancy: Dự phòng lây truyền viêm gan B từ mẹ sang con, 2020: hướng dẫn điều trị dự phòng khi mang thai</w:t>
      </w:r>
      <w:r w:rsidRPr="00191D06">
        <w:rPr>
          <w:rFonts w:ascii="Arial" w:eastAsia="Times New Roman" w:hAnsi="Arial" w:cs="Arial"/>
          <w:color w:val="222222"/>
          <w:sz w:val="24"/>
          <w:szCs w:val="24"/>
          <w:lang w:eastAsia="zh-CN"/>
        </w:rPr>
        <w:br/>
      </w:r>
      <w:r w:rsidRPr="00191D06">
        <w:rPr>
          <w:rFonts w:ascii="Arial" w:eastAsia="Times New Roman" w:hAnsi="Arial" w:cs="Arial"/>
          <w:color w:val="222222"/>
          <w:sz w:val="24"/>
          <w:szCs w:val="24"/>
          <w:lang w:eastAsia="zh-CN"/>
        </w:rPr>
        <w:br/>
        <w:t>Update on Prevention, Diagnosis, and Treatment of Chronic Hepatitis B: AASLD (American Association of the Study of Liver Diseases) 2018 Hepatitis B Guidance: Cập nhật về Dự phòng, Chẩn đoán và Điều trị Viêm gan B mạn: Hướng dẫn viêm gan B của AASLD (Hiệp hội gan mật Hoa Kỳ), 2018. </w:t>
      </w:r>
    </w:p>
    <w:p w14:paraId="70D65745" w14:textId="77777777" w:rsidR="008524C0" w:rsidRDefault="008524C0" w:rsidP="00EB11BC">
      <w:pPr>
        <w:rPr>
          <w:b/>
          <w:bCs/>
        </w:rPr>
      </w:pPr>
    </w:p>
    <w:p w14:paraId="2E1A984D" w14:textId="77777777" w:rsidR="008524C0" w:rsidRPr="008524C0" w:rsidRDefault="008524C0" w:rsidP="00EB11BC">
      <w:pPr>
        <w:rPr>
          <w:b/>
          <w:bCs/>
        </w:rPr>
      </w:pPr>
    </w:p>
    <w:sectPr w:rsidR="008524C0" w:rsidRPr="0085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10915"/>
    <w:multiLevelType w:val="hybridMultilevel"/>
    <w:tmpl w:val="1B304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F51B7D"/>
    <w:multiLevelType w:val="hybridMultilevel"/>
    <w:tmpl w:val="7FE4F26E"/>
    <w:lvl w:ilvl="0" w:tplc="97201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B032E"/>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3303E"/>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30212"/>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202A2"/>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DFC"/>
    <w:rsid w:val="00015299"/>
    <w:rsid w:val="00191D06"/>
    <w:rsid w:val="001D7864"/>
    <w:rsid w:val="002150C4"/>
    <w:rsid w:val="00245163"/>
    <w:rsid w:val="00245629"/>
    <w:rsid w:val="0026272D"/>
    <w:rsid w:val="00345C74"/>
    <w:rsid w:val="00350264"/>
    <w:rsid w:val="00377503"/>
    <w:rsid w:val="00415808"/>
    <w:rsid w:val="00425830"/>
    <w:rsid w:val="00436FBD"/>
    <w:rsid w:val="00493DE3"/>
    <w:rsid w:val="004B1E72"/>
    <w:rsid w:val="004F213C"/>
    <w:rsid w:val="00524433"/>
    <w:rsid w:val="005E7809"/>
    <w:rsid w:val="00637010"/>
    <w:rsid w:val="0065439D"/>
    <w:rsid w:val="00654AD8"/>
    <w:rsid w:val="00722B3F"/>
    <w:rsid w:val="007F3068"/>
    <w:rsid w:val="00825253"/>
    <w:rsid w:val="008524C0"/>
    <w:rsid w:val="008A00EA"/>
    <w:rsid w:val="009A2B7F"/>
    <w:rsid w:val="009C6BC5"/>
    <w:rsid w:val="009D7318"/>
    <w:rsid w:val="00B07A7E"/>
    <w:rsid w:val="00B966C0"/>
    <w:rsid w:val="00BA10AC"/>
    <w:rsid w:val="00BB6D61"/>
    <w:rsid w:val="00C70798"/>
    <w:rsid w:val="00C74A01"/>
    <w:rsid w:val="00CE2DFC"/>
    <w:rsid w:val="00D027D9"/>
    <w:rsid w:val="00D26D15"/>
    <w:rsid w:val="00DF7CF2"/>
    <w:rsid w:val="00EB11BC"/>
    <w:rsid w:val="00EF63DC"/>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B3"/>
  <w15:chartTrackingRefBased/>
  <w15:docId w15:val="{E6CD509C-8030-4214-9271-A10AF6C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C"/>
    <w:pPr>
      <w:ind w:left="720"/>
      <w:contextualSpacing/>
    </w:pPr>
  </w:style>
  <w:style w:type="character" w:styleId="PlaceholderText">
    <w:name w:val="Placeholder Text"/>
    <w:basedOn w:val="DefaultParagraphFont"/>
    <w:uiPriority w:val="99"/>
    <w:semiHidden/>
    <w:rsid w:val="00852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397">
      <w:bodyDiv w:val="1"/>
      <w:marLeft w:val="0"/>
      <w:marRight w:val="0"/>
      <w:marTop w:val="0"/>
      <w:marBottom w:val="0"/>
      <w:divBdr>
        <w:top w:val="none" w:sz="0" w:space="0" w:color="auto"/>
        <w:left w:val="none" w:sz="0" w:space="0" w:color="auto"/>
        <w:bottom w:val="none" w:sz="0" w:space="0" w:color="auto"/>
        <w:right w:val="none" w:sz="0" w:space="0" w:color="auto"/>
      </w:divBdr>
      <w:divsChild>
        <w:div w:id="2006080238">
          <w:marLeft w:val="0"/>
          <w:marRight w:val="0"/>
          <w:marTop w:val="0"/>
          <w:marBottom w:val="0"/>
          <w:divBdr>
            <w:top w:val="none" w:sz="0" w:space="0" w:color="auto"/>
            <w:left w:val="none" w:sz="0" w:space="0" w:color="auto"/>
            <w:bottom w:val="none" w:sz="0" w:space="0" w:color="auto"/>
            <w:right w:val="none" w:sz="0" w:space="0" w:color="auto"/>
          </w:divBdr>
          <w:divsChild>
            <w:div w:id="285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6605">
      <w:bodyDiv w:val="1"/>
      <w:marLeft w:val="0"/>
      <w:marRight w:val="0"/>
      <w:marTop w:val="0"/>
      <w:marBottom w:val="0"/>
      <w:divBdr>
        <w:top w:val="none" w:sz="0" w:space="0" w:color="auto"/>
        <w:left w:val="none" w:sz="0" w:space="0" w:color="auto"/>
        <w:bottom w:val="none" w:sz="0" w:space="0" w:color="auto"/>
        <w:right w:val="none" w:sz="0" w:space="0" w:color="auto"/>
      </w:divBdr>
      <w:divsChild>
        <w:div w:id="1194921238">
          <w:marLeft w:val="0"/>
          <w:marRight w:val="0"/>
          <w:marTop w:val="0"/>
          <w:marBottom w:val="0"/>
          <w:divBdr>
            <w:top w:val="none" w:sz="0" w:space="0" w:color="auto"/>
            <w:left w:val="none" w:sz="0" w:space="0" w:color="auto"/>
            <w:bottom w:val="none" w:sz="0" w:space="0" w:color="auto"/>
            <w:right w:val="none" w:sz="0" w:space="0" w:color="auto"/>
          </w:divBdr>
          <w:divsChild>
            <w:div w:id="2089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9613">
      <w:bodyDiv w:val="1"/>
      <w:marLeft w:val="0"/>
      <w:marRight w:val="0"/>
      <w:marTop w:val="0"/>
      <w:marBottom w:val="0"/>
      <w:divBdr>
        <w:top w:val="none" w:sz="0" w:space="0" w:color="auto"/>
        <w:left w:val="none" w:sz="0" w:space="0" w:color="auto"/>
        <w:bottom w:val="none" w:sz="0" w:space="0" w:color="auto"/>
        <w:right w:val="none" w:sz="0" w:space="0" w:color="auto"/>
      </w:divBdr>
      <w:divsChild>
        <w:div w:id="1059864193">
          <w:marLeft w:val="0"/>
          <w:marRight w:val="0"/>
          <w:marTop w:val="0"/>
          <w:marBottom w:val="0"/>
          <w:divBdr>
            <w:top w:val="none" w:sz="0" w:space="0" w:color="auto"/>
            <w:left w:val="none" w:sz="0" w:space="0" w:color="auto"/>
            <w:bottom w:val="none" w:sz="0" w:space="0" w:color="auto"/>
            <w:right w:val="none" w:sz="0" w:space="0" w:color="auto"/>
          </w:divBdr>
          <w:divsChild>
            <w:div w:id="4233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0423">
      <w:bodyDiv w:val="1"/>
      <w:marLeft w:val="0"/>
      <w:marRight w:val="0"/>
      <w:marTop w:val="0"/>
      <w:marBottom w:val="0"/>
      <w:divBdr>
        <w:top w:val="none" w:sz="0" w:space="0" w:color="auto"/>
        <w:left w:val="none" w:sz="0" w:space="0" w:color="auto"/>
        <w:bottom w:val="none" w:sz="0" w:space="0" w:color="auto"/>
        <w:right w:val="none" w:sz="0" w:space="0" w:color="auto"/>
      </w:divBdr>
      <w:divsChild>
        <w:div w:id="1946955846">
          <w:marLeft w:val="0"/>
          <w:marRight w:val="0"/>
          <w:marTop w:val="0"/>
          <w:marBottom w:val="0"/>
          <w:divBdr>
            <w:top w:val="none" w:sz="0" w:space="0" w:color="auto"/>
            <w:left w:val="none" w:sz="0" w:space="0" w:color="auto"/>
            <w:bottom w:val="none" w:sz="0" w:space="0" w:color="auto"/>
            <w:right w:val="none" w:sz="0" w:space="0" w:color="auto"/>
          </w:divBdr>
          <w:divsChild>
            <w:div w:id="4630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2402">
      <w:bodyDiv w:val="1"/>
      <w:marLeft w:val="0"/>
      <w:marRight w:val="0"/>
      <w:marTop w:val="0"/>
      <w:marBottom w:val="0"/>
      <w:divBdr>
        <w:top w:val="none" w:sz="0" w:space="0" w:color="auto"/>
        <w:left w:val="none" w:sz="0" w:space="0" w:color="auto"/>
        <w:bottom w:val="none" w:sz="0" w:space="0" w:color="auto"/>
        <w:right w:val="none" w:sz="0" w:space="0" w:color="auto"/>
      </w:divBdr>
      <w:divsChild>
        <w:div w:id="2004703182">
          <w:marLeft w:val="0"/>
          <w:marRight w:val="0"/>
          <w:marTop w:val="0"/>
          <w:marBottom w:val="0"/>
          <w:divBdr>
            <w:top w:val="none" w:sz="0" w:space="0" w:color="auto"/>
            <w:left w:val="none" w:sz="0" w:space="0" w:color="auto"/>
            <w:bottom w:val="none" w:sz="0" w:space="0" w:color="auto"/>
            <w:right w:val="none" w:sz="0" w:space="0" w:color="auto"/>
          </w:divBdr>
          <w:divsChild>
            <w:div w:id="20708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357">
      <w:bodyDiv w:val="1"/>
      <w:marLeft w:val="0"/>
      <w:marRight w:val="0"/>
      <w:marTop w:val="0"/>
      <w:marBottom w:val="0"/>
      <w:divBdr>
        <w:top w:val="none" w:sz="0" w:space="0" w:color="auto"/>
        <w:left w:val="none" w:sz="0" w:space="0" w:color="auto"/>
        <w:bottom w:val="none" w:sz="0" w:space="0" w:color="auto"/>
        <w:right w:val="none" w:sz="0" w:space="0" w:color="auto"/>
      </w:divBdr>
      <w:divsChild>
        <w:div w:id="2092576922">
          <w:marLeft w:val="0"/>
          <w:marRight w:val="0"/>
          <w:marTop w:val="0"/>
          <w:marBottom w:val="0"/>
          <w:divBdr>
            <w:top w:val="none" w:sz="0" w:space="0" w:color="auto"/>
            <w:left w:val="none" w:sz="0" w:space="0" w:color="auto"/>
            <w:bottom w:val="none" w:sz="0" w:space="0" w:color="auto"/>
            <w:right w:val="none" w:sz="0" w:space="0" w:color="auto"/>
          </w:divBdr>
          <w:divsChild>
            <w:div w:id="9783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0681">
      <w:bodyDiv w:val="1"/>
      <w:marLeft w:val="0"/>
      <w:marRight w:val="0"/>
      <w:marTop w:val="0"/>
      <w:marBottom w:val="0"/>
      <w:divBdr>
        <w:top w:val="none" w:sz="0" w:space="0" w:color="auto"/>
        <w:left w:val="none" w:sz="0" w:space="0" w:color="auto"/>
        <w:bottom w:val="none" w:sz="0" w:space="0" w:color="auto"/>
        <w:right w:val="none" w:sz="0" w:space="0" w:color="auto"/>
      </w:divBdr>
      <w:divsChild>
        <w:div w:id="933904769">
          <w:marLeft w:val="0"/>
          <w:marRight w:val="0"/>
          <w:marTop w:val="0"/>
          <w:marBottom w:val="0"/>
          <w:divBdr>
            <w:top w:val="none" w:sz="0" w:space="0" w:color="auto"/>
            <w:left w:val="none" w:sz="0" w:space="0" w:color="auto"/>
            <w:bottom w:val="none" w:sz="0" w:space="0" w:color="auto"/>
            <w:right w:val="none" w:sz="0" w:space="0" w:color="auto"/>
          </w:divBdr>
          <w:divsChild>
            <w:div w:id="782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1793">
      <w:bodyDiv w:val="1"/>
      <w:marLeft w:val="0"/>
      <w:marRight w:val="0"/>
      <w:marTop w:val="0"/>
      <w:marBottom w:val="0"/>
      <w:divBdr>
        <w:top w:val="none" w:sz="0" w:space="0" w:color="auto"/>
        <w:left w:val="none" w:sz="0" w:space="0" w:color="auto"/>
        <w:bottom w:val="none" w:sz="0" w:space="0" w:color="auto"/>
        <w:right w:val="none" w:sz="0" w:space="0" w:color="auto"/>
      </w:divBdr>
      <w:divsChild>
        <w:div w:id="807666005">
          <w:marLeft w:val="0"/>
          <w:marRight w:val="0"/>
          <w:marTop w:val="0"/>
          <w:marBottom w:val="0"/>
          <w:divBdr>
            <w:top w:val="none" w:sz="0" w:space="0" w:color="auto"/>
            <w:left w:val="none" w:sz="0" w:space="0" w:color="auto"/>
            <w:bottom w:val="none" w:sz="0" w:space="0" w:color="auto"/>
            <w:right w:val="none" w:sz="0" w:space="0" w:color="auto"/>
          </w:divBdr>
          <w:divsChild>
            <w:div w:id="492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195">
      <w:bodyDiv w:val="1"/>
      <w:marLeft w:val="0"/>
      <w:marRight w:val="0"/>
      <w:marTop w:val="0"/>
      <w:marBottom w:val="0"/>
      <w:divBdr>
        <w:top w:val="none" w:sz="0" w:space="0" w:color="auto"/>
        <w:left w:val="none" w:sz="0" w:space="0" w:color="auto"/>
        <w:bottom w:val="none" w:sz="0" w:space="0" w:color="auto"/>
        <w:right w:val="none" w:sz="0" w:space="0" w:color="auto"/>
      </w:divBdr>
      <w:divsChild>
        <w:div w:id="2082100094">
          <w:marLeft w:val="0"/>
          <w:marRight w:val="0"/>
          <w:marTop w:val="0"/>
          <w:marBottom w:val="0"/>
          <w:divBdr>
            <w:top w:val="none" w:sz="0" w:space="0" w:color="auto"/>
            <w:left w:val="none" w:sz="0" w:space="0" w:color="auto"/>
            <w:bottom w:val="none" w:sz="0" w:space="0" w:color="auto"/>
            <w:right w:val="none" w:sz="0" w:space="0" w:color="auto"/>
          </w:divBdr>
          <w:divsChild>
            <w:div w:id="11299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8306">
      <w:bodyDiv w:val="1"/>
      <w:marLeft w:val="0"/>
      <w:marRight w:val="0"/>
      <w:marTop w:val="0"/>
      <w:marBottom w:val="0"/>
      <w:divBdr>
        <w:top w:val="none" w:sz="0" w:space="0" w:color="auto"/>
        <w:left w:val="none" w:sz="0" w:space="0" w:color="auto"/>
        <w:bottom w:val="none" w:sz="0" w:space="0" w:color="auto"/>
        <w:right w:val="none" w:sz="0" w:space="0" w:color="auto"/>
      </w:divBdr>
      <w:divsChild>
        <w:div w:id="782387856">
          <w:marLeft w:val="0"/>
          <w:marRight w:val="0"/>
          <w:marTop w:val="0"/>
          <w:marBottom w:val="0"/>
          <w:divBdr>
            <w:top w:val="none" w:sz="0" w:space="0" w:color="auto"/>
            <w:left w:val="none" w:sz="0" w:space="0" w:color="auto"/>
            <w:bottom w:val="none" w:sz="0" w:space="0" w:color="auto"/>
            <w:right w:val="none" w:sz="0" w:space="0" w:color="auto"/>
          </w:divBdr>
          <w:divsChild>
            <w:div w:id="18749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996">
      <w:bodyDiv w:val="1"/>
      <w:marLeft w:val="0"/>
      <w:marRight w:val="0"/>
      <w:marTop w:val="0"/>
      <w:marBottom w:val="0"/>
      <w:divBdr>
        <w:top w:val="none" w:sz="0" w:space="0" w:color="auto"/>
        <w:left w:val="none" w:sz="0" w:space="0" w:color="auto"/>
        <w:bottom w:val="none" w:sz="0" w:space="0" w:color="auto"/>
        <w:right w:val="none" w:sz="0" w:space="0" w:color="auto"/>
      </w:divBdr>
      <w:divsChild>
        <w:div w:id="1976329854">
          <w:marLeft w:val="0"/>
          <w:marRight w:val="0"/>
          <w:marTop w:val="0"/>
          <w:marBottom w:val="0"/>
          <w:divBdr>
            <w:top w:val="none" w:sz="0" w:space="0" w:color="auto"/>
            <w:left w:val="none" w:sz="0" w:space="0" w:color="auto"/>
            <w:bottom w:val="none" w:sz="0" w:space="0" w:color="auto"/>
            <w:right w:val="none" w:sz="0" w:space="0" w:color="auto"/>
          </w:divBdr>
          <w:divsChild>
            <w:div w:id="5022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2277">
      <w:bodyDiv w:val="1"/>
      <w:marLeft w:val="0"/>
      <w:marRight w:val="0"/>
      <w:marTop w:val="0"/>
      <w:marBottom w:val="0"/>
      <w:divBdr>
        <w:top w:val="none" w:sz="0" w:space="0" w:color="auto"/>
        <w:left w:val="none" w:sz="0" w:space="0" w:color="auto"/>
        <w:bottom w:val="none" w:sz="0" w:space="0" w:color="auto"/>
        <w:right w:val="none" w:sz="0" w:space="0" w:color="auto"/>
      </w:divBdr>
      <w:divsChild>
        <w:div w:id="460727443">
          <w:marLeft w:val="0"/>
          <w:marRight w:val="0"/>
          <w:marTop w:val="0"/>
          <w:marBottom w:val="0"/>
          <w:divBdr>
            <w:top w:val="none" w:sz="0" w:space="0" w:color="auto"/>
            <w:left w:val="none" w:sz="0" w:space="0" w:color="auto"/>
            <w:bottom w:val="none" w:sz="0" w:space="0" w:color="auto"/>
            <w:right w:val="none" w:sz="0" w:space="0" w:color="auto"/>
          </w:divBdr>
          <w:divsChild>
            <w:div w:id="20565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5301">
      <w:bodyDiv w:val="1"/>
      <w:marLeft w:val="0"/>
      <w:marRight w:val="0"/>
      <w:marTop w:val="0"/>
      <w:marBottom w:val="0"/>
      <w:divBdr>
        <w:top w:val="none" w:sz="0" w:space="0" w:color="auto"/>
        <w:left w:val="none" w:sz="0" w:space="0" w:color="auto"/>
        <w:bottom w:val="none" w:sz="0" w:space="0" w:color="auto"/>
        <w:right w:val="none" w:sz="0" w:space="0" w:color="auto"/>
      </w:divBdr>
      <w:divsChild>
        <w:div w:id="808471665">
          <w:marLeft w:val="0"/>
          <w:marRight w:val="0"/>
          <w:marTop w:val="0"/>
          <w:marBottom w:val="0"/>
          <w:divBdr>
            <w:top w:val="none" w:sz="0" w:space="0" w:color="auto"/>
            <w:left w:val="none" w:sz="0" w:space="0" w:color="auto"/>
            <w:bottom w:val="none" w:sz="0" w:space="0" w:color="auto"/>
            <w:right w:val="none" w:sz="0" w:space="0" w:color="auto"/>
          </w:divBdr>
          <w:divsChild>
            <w:div w:id="2382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852">
      <w:bodyDiv w:val="1"/>
      <w:marLeft w:val="0"/>
      <w:marRight w:val="0"/>
      <w:marTop w:val="0"/>
      <w:marBottom w:val="0"/>
      <w:divBdr>
        <w:top w:val="none" w:sz="0" w:space="0" w:color="auto"/>
        <w:left w:val="none" w:sz="0" w:space="0" w:color="auto"/>
        <w:bottom w:val="none" w:sz="0" w:space="0" w:color="auto"/>
        <w:right w:val="none" w:sz="0" w:space="0" w:color="auto"/>
      </w:divBdr>
      <w:divsChild>
        <w:div w:id="1198590417">
          <w:marLeft w:val="0"/>
          <w:marRight w:val="0"/>
          <w:marTop w:val="0"/>
          <w:marBottom w:val="0"/>
          <w:divBdr>
            <w:top w:val="none" w:sz="0" w:space="0" w:color="auto"/>
            <w:left w:val="none" w:sz="0" w:space="0" w:color="auto"/>
            <w:bottom w:val="none" w:sz="0" w:space="0" w:color="auto"/>
            <w:right w:val="none" w:sz="0" w:space="0" w:color="auto"/>
          </w:divBdr>
          <w:divsChild>
            <w:div w:id="8433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643">
      <w:bodyDiv w:val="1"/>
      <w:marLeft w:val="0"/>
      <w:marRight w:val="0"/>
      <w:marTop w:val="0"/>
      <w:marBottom w:val="0"/>
      <w:divBdr>
        <w:top w:val="none" w:sz="0" w:space="0" w:color="auto"/>
        <w:left w:val="none" w:sz="0" w:space="0" w:color="auto"/>
        <w:bottom w:val="none" w:sz="0" w:space="0" w:color="auto"/>
        <w:right w:val="none" w:sz="0" w:space="0" w:color="auto"/>
      </w:divBdr>
      <w:divsChild>
        <w:div w:id="724259994">
          <w:marLeft w:val="0"/>
          <w:marRight w:val="0"/>
          <w:marTop w:val="0"/>
          <w:marBottom w:val="0"/>
          <w:divBdr>
            <w:top w:val="none" w:sz="0" w:space="0" w:color="auto"/>
            <w:left w:val="none" w:sz="0" w:space="0" w:color="auto"/>
            <w:bottom w:val="none" w:sz="0" w:space="0" w:color="auto"/>
            <w:right w:val="none" w:sz="0" w:space="0" w:color="auto"/>
          </w:divBdr>
          <w:divsChild>
            <w:div w:id="7158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989">
      <w:bodyDiv w:val="1"/>
      <w:marLeft w:val="0"/>
      <w:marRight w:val="0"/>
      <w:marTop w:val="0"/>
      <w:marBottom w:val="0"/>
      <w:divBdr>
        <w:top w:val="none" w:sz="0" w:space="0" w:color="auto"/>
        <w:left w:val="none" w:sz="0" w:space="0" w:color="auto"/>
        <w:bottom w:val="none" w:sz="0" w:space="0" w:color="auto"/>
        <w:right w:val="none" w:sz="0" w:space="0" w:color="auto"/>
      </w:divBdr>
      <w:divsChild>
        <w:div w:id="662466830">
          <w:marLeft w:val="0"/>
          <w:marRight w:val="0"/>
          <w:marTop w:val="0"/>
          <w:marBottom w:val="0"/>
          <w:divBdr>
            <w:top w:val="none" w:sz="0" w:space="0" w:color="auto"/>
            <w:left w:val="none" w:sz="0" w:space="0" w:color="auto"/>
            <w:bottom w:val="none" w:sz="0" w:space="0" w:color="auto"/>
            <w:right w:val="none" w:sz="0" w:space="0" w:color="auto"/>
          </w:divBdr>
          <w:divsChild>
            <w:div w:id="8394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2651">
      <w:bodyDiv w:val="1"/>
      <w:marLeft w:val="0"/>
      <w:marRight w:val="0"/>
      <w:marTop w:val="0"/>
      <w:marBottom w:val="0"/>
      <w:divBdr>
        <w:top w:val="none" w:sz="0" w:space="0" w:color="auto"/>
        <w:left w:val="none" w:sz="0" w:space="0" w:color="auto"/>
        <w:bottom w:val="none" w:sz="0" w:space="0" w:color="auto"/>
        <w:right w:val="none" w:sz="0" w:space="0" w:color="auto"/>
      </w:divBdr>
      <w:divsChild>
        <w:div w:id="914821583">
          <w:marLeft w:val="0"/>
          <w:marRight w:val="0"/>
          <w:marTop w:val="0"/>
          <w:marBottom w:val="0"/>
          <w:divBdr>
            <w:top w:val="none" w:sz="0" w:space="0" w:color="auto"/>
            <w:left w:val="none" w:sz="0" w:space="0" w:color="auto"/>
            <w:bottom w:val="none" w:sz="0" w:space="0" w:color="auto"/>
            <w:right w:val="none" w:sz="0" w:space="0" w:color="auto"/>
          </w:divBdr>
          <w:divsChild>
            <w:div w:id="12567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528">
      <w:bodyDiv w:val="1"/>
      <w:marLeft w:val="0"/>
      <w:marRight w:val="0"/>
      <w:marTop w:val="0"/>
      <w:marBottom w:val="0"/>
      <w:divBdr>
        <w:top w:val="none" w:sz="0" w:space="0" w:color="auto"/>
        <w:left w:val="none" w:sz="0" w:space="0" w:color="auto"/>
        <w:bottom w:val="none" w:sz="0" w:space="0" w:color="auto"/>
        <w:right w:val="none" w:sz="0" w:space="0" w:color="auto"/>
      </w:divBdr>
      <w:divsChild>
        <w:div w:id="307133991">
          <w:marLeft w:val="0"/>
          <w:marRight w:val="0"/>
          <w:marTop w:val="0"/>
          <w:marBottom w:val="0"/>
          <w:divBdr>
            <w:top w:val="none" w:sz="0" w:space="0" w:color="auto"/>
            <w:left w:val="none" w:sz="0" w:space="0" w:color="auto"/>
            <w:bottom w:val="none" w:sz="0" w:space="0" w:color="auto"/>
            <w:right w:val="none" w:sz="0" w:space="0" w:color="auto"/>
          </w:divBdr>
          <w:divsChild>
            <w:div w:id="8756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7994">
      <w:bodyDiv w:val="1"/>
      <w:marLeft w:val="0"/>
      <w:marRight w:val="0"/>
      <w:marTop w:val="0"/>
      <w:marBottom w:val="0"/>
      <w:divBdr>
        <w:top w:val="none" w:sz="0" w:space="0" w:color="auto"/>
        <w:left w:val="none" w:sz="0" w:space="0" w:color="auto"/>
        <w:bottom w:val="none" w:sz="0" w:space="0" w:color="auto"/>
        <w:right w:val="none" w:sz="0" w:space="0" w:color="auto"/>
      </w:divBdr>
      <w:divsChild>
        <w:div w:id="2068256838">
          <w:marLeft w:val="0"/>
          <w:marRight w:val="0"/>
          <w:marTop w:val="0"/>
          <w:marBottom w:val="0"/>
          <w:divBdr>
            <w:top w:val="none" w:sz="0" w:space="0" w:color="auto"/>
            <w:left w:val="none" w:sz="0" w:space="0" w:color="auto"/>
            <w:bottom w:val="none" w:sz="0" w:space="0" w:color="auto"/>
            <w:right w:val="none" w:sz="0" w:space="0" w:color="auto"/>
          </w:divBdr>
          <w:divsChild>
            <w:div w:id="15633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849">
      <w:bodyDiv w:val="1"/>
      <w:marLeft w:val="0"/>
      <w:marRight w:val="0"/>
      <w:marTop w:val="0"/>
      <w:marBottom w:val="0"/>
      <w:divBdr>
        <w:top w:val="none" w:sz="0" w:space="0" w:color="auto"/>
        <w:left w:val="none" w:sz="0" w:space="0" w:color="auto"/>
        <w:bottom w:val="none" w:sz="0" w:space="0" w:color="auto"/>
        <w:right w:val="none" w:sz="0" w:space="0" w:color="auto"/>
      </w:divBdr>
      <w:divsChild>
        <w:div w:id="819154812">
          <w:marLeft w:val="0"/>
          <w:marRight w:val="0"/>
          <w:marTop w:val="0"/>
          <w:marBottom w:val="0"/>
          <w:divBdr>
            <w:top w:val="none" w:sz="0" w:space="0" w:color="auto"/>
            <w:left w:val="none" w:sz="0" w:space="0" w:color="auto"/>
            <w:bottom w:val="none" w:sz="0" w:space="0" w:color="auto"/>
            <w:right w:val="none" w:sz="0" w:space="0" w:color="auto"/>
          </w:divBdr>
          <w:divsChild>
            <w:div w:id="911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4461">
      <w:bodyDiv w:val="1"/>
      <w:marLeft w:val="0"/>
      <w:marRight w:val="0"/>
      <w:marTop w:val="0"/>
      <w:marBottom w:val="0"/>
      <w:divBdr>
        <w:top w:val="none" w:sz="0" w:space="0" w:color="auto"/>
        <w:left w:val="none" w:sz="0" w:space="0" w:color="auto"/>
        <w:bottom w:val="none" w:sz="0" w:space="0" w:color="auto"/>
        <w:right w:val="none" w:sz="0" w:space="0" w:color="auto"/>
      </w:divBdr>
      <w:divsChild>
        <w:div w:id="1171214934">
          <w:marLeft w:val="0"/>
          <w:marRight w:val="0"/>
          <w:marTop w:val="0"/>
          <w:marBottom w:val="0"/>
          <w:divBdr>
            <w:top w:val="none" w:sz="0" w:space="0" w:color="auto"/>
            <w:left w:val="none" w:sz="0" w:space="0" w:color="auto"/>
            <w:bottom w:val="none" w:sz="0" w:space="0" w:color="auto"/>
            <w:right w:val="none" w:sz="0" w:space="0" w:color="auto"/>
          </w:divBdr>
          <w:divsChild>
            <w:div w:id="21209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950">
      <w:bodyDiv w:val="1"/>
      <w:marLeft w:val="0"/>
      <w:marRight w:val="0"/>
      <w:marTop w:val="0"/>
      <w:marBottom w:val="0"/>
      <w:divBdr>
        <w:top w:val="none" w:sz="0" w:space="0" w:color="auto"/>
        <w:left w:val="none" w:sz="0" w:space="0" w:color="auto"/>
        <w:bottom w:val="none" w:sz="0" w:space="0" w:color="auto"/>
        <w:right w:val="none" w:sz="0" w:space="0" w:color="auto"/>
      </w:divBdr>
      <w:divsChild>
        <w:div w:id="1343782493">
          <w:marLeft w:val="0"/>
          <w:marRight w:val="0"/>
          <w:marTop w:val="0"/>
          <w:marBottom w:val="0"/>
          <w:divBdr>
            <w:top w:val="none" w:sz="0" w:space="0" w:color="auto"/>
            <w:left w:val="none" w:sz="0" w:space="0" w:color="auto"/>
            <w:bottom w:val="none" w:sz="0" w:space="0" w:color="auto"/>
            <w:right w:val="none" w:sz="0" w:space="0" w:color="auto"/>
          </w:divBdr>
          <w:divsChild>
            <w:div w:id="2911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4160">
      <w:bodyDiv w:val="1"/>
      <w:marLeft w:val="0"/>
      <w:marRight w:val="0"/>
      <w:marTop w:val="0"/>
      <w:marBottom w:val="0"/>
      <w:divBdr>
        <w:top w:val="none" w:sz="0" w:space="0" w:color="auto"/>
        <w:left w:val="none" w:sz="0" w:space="0" w:color="auto"/>
        <w:bottom w:val="none" w:sz="0" w:space="0" w:color="auto"/>
        <w:right w:val="none" w:sz="0" w:space="0" w:color="auto"/>
      </w:divBdr>
      <w:divsChild>
        <w:div w:id="493843553">
          <w:marLeft w:val="0"/>
          <w:marRight w:val="0"/>
          <w:marTop w:val="0"/>
          <w:marBottom w:val="0"/>
          <w:divBdr>
            <w:top w:val="none" w:sz="0" w:space="0" w:color="auto"/>
            <w:left w:val="none" w:sz="0" w:space="0" w:color="auto"/>
            <w:bottom w:val="none" w:sz="0" w:space="0" w:color="auto"/>
            <w:right w:val="none" w:sz="0" w:space="0" w:color="auto"/>
          </w:divBdr>
          <w:divsChild>
            <w:div w:id="16021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000">
      <w:bodyDiv w:val="1"/>
      <w:marLeft w:val="0"/>
      <w:marRight w:val="0"/>
      <w:marTop w:val="0"/>
      <w:marBottom w:val="0"/>
      <w:divBdr>
        <w:top w:val="none" w:sz="0" w:space="0" w:color="auto"/>
        <w:left w:val="none" w:sz="0" w:space="0" w:color="auto"/>
        <w:bottom w:val="none" w:sz="0" w:space="0" w:color="auto"/>
        <w:right w:val="none" w:sz="0" w:space="0" w:color="auto"/>
      </w:divBdr>
      <w:divsChild>
        <w:div w:id="1595092504">
          <w:marLeft w:val="0"/>
          <w:marRight w:val="0"/>
          <w:marTop w:val="0"/>
          <w:marBottom w:val="0"/>
          <w:divBdr>
            <w:top w:val="none" w:sz="0" w:space="0" w:color="auto"/>
            <w:left w:val="none" w:sz="0" w:space="0" w:color="auto"/>
            <w:bottom w:val="none" w:sz="0" w:space="0" w:color="auto"/>
            <w:right w:val="none" w:sz="0" w:space="0" w:color="auto"/>
          </w:divBdr>
          <w:divsChild>
            <w:div w:id="6309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9745">
      <w:bodyDiv w:val="1"/>
      <w:marLeft w:val="0"/>
      <w:marRight w:val="0"/>
      <w:marTop w:val="0"/>
      <w:marBottom w:val="0"/>
      <w:divBdr>
        <w:top w:val="none" w:sz="0" w:space="0" w:color="auto"/>
        <w:left w:val="none" w:sz="0" w:space="0" w:color="auto"/>
        <w:bottom w:val="none" w:sz="0" w:space="0" w:color="auto"/>
        <w:right w:val="none" w:sz="0" w:space="0" w:color="auto"/>
      </w:divBdr>
      <w:divsChild>
        <w:div w:id="2139913317">
          <w:marLeft w:val="0"/>
          <w:marRight w:val="0"/>
          <w:marTop w:val="0"/>
          <w:marBottom w:val="0"/>
          <w:divBdr>
            <w:top w:val="none" w:sz="0" w:space="0" w:color="auto"/>
            <w:left w:val="none" w:sz="0" w:space="0" w:color="auto"/>
            <w:bottom w:val="none" w:sz="0" w:space="0" w:color="auto"/>
            <w:right w:val="none" w:sz="0" w:space="0" w:color="auto"/>
          </w:divBdr>
          <w:divsChild>
            <w:div w:id="20515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820">
      <w:bodyDiv w:val="1"/>
      <w:marLeft w:val="0"/>
      <w:marRight w:val="0"/>
      <w:marTop w:val="0"/>
      <w:marBottom w:val="0"/>
      <w:divBdr>
        <w:top w:val="none" w:sz="0" w:space="0" w:color="auto"/>
        <w:left w:val="none" w:sz="0" w:space="0" w:color="auto"/>
        <w:bottom w:val="none" w:sz="0" w:space="0" w:color="auto"/>
        <w:right w:val="none" w:sz="0" w:space="0" w:color="auto"/>
      </w:divBdr>
      <w:divsChild>
        <w:div w:id="887297699">
          <w:marLeft w:val="0"/>
          <w:marRight w:val="0"/>
          <w:marTop w:val="0"/>
          <w:marBottom w:val="0"/>
          <w:divBdr>
            <w:top w:val="none" w:sz="0" w:space="0" w:color="auto"/>
            <w:left w:val="none" w:sz="0" w:space="0" w:color="auto"/>
            <w:bottom w:val="none" w:sz="0" w:space="0" w:color="auto"/>
            <w:right w:val="none" w:sz="0" w:space="0" w:color="auto"/>
          </w:divBdr>
          <w:divsChild>
            <w:div w:id="4719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9238">
      <w:bodyDiv w:val="1"/>
      <w:marLeft w:val="0"/>
      <w:marRight w:val="0"/>
      <w:marTop w:val="0"/>
      <w:marBottom w:val="0"/>
      <w:divBdr>
        <w:top w:val="none" w:sz="0" w:space="0" w:color="auto"/>
        <w:left w:val="none" w:sz="0" w:space="0" w:color="auto"/>
        <w:bottom w:val="none" w:sz="0" w:space="0" w:color="auto"/>
        <w:right w:val="none" w:sz="0" w:space="0" w:color="auto"/>
      </w:divBdr>
      <w:divsChild>
        <w:div w:id="1522401523">
          <w:marLeft w:val="0"/>
          <w:marRight w:val="0"/>
          <w:marTop w:val="0"/>
          <w:marBottom w:val="0"/>
          <w:divBdr>
            <w:top w:val="none" w:sz="0" w:space="0" w:color="auto"/>
            <w:left w:val="none" w:sz="0" w:space="0" w:color="auto"/>
            <w:bottom w:val="none" w:sz="0" w:space="0" w:color="auto"/>
            <w:right w:val="none" w:sz="0" w:space="0" w:color="auto"/>
          </w:divBdr>
        </w:div>
      </w:divsChild>
    </w:div>
    <w:div w:id="1972251632">
      <w:bodyDiv w:val="1"/>
      <w:marLeft w:val="0"/>
      <w:marRight w:val="0"/>
      <w:marTop w:val="0"/>
      <w:marBottom w:val="0"/>
      <w:divBdr>
        <w:top w:val="none" w:sz="0" w:space="0" w:color="auto"/>
        <w:left w:val="none" w:sz="0" w:space="0" w:color="auto"/>
        <w:bottom w:val="none" w:sz="0" w:space="0" w:color="auto"/>
        <w:right w:val="none" w:sz="0" w:space="0" w:color="auto"/>
      </w:divBdr>
      <w:divsChild>
        <w:div w:id="181628378">
          <w:marLeft w:val="0"/>
          <w:marRight w:val="0"/>
          <w:marTop w:val="0"/>
          <w:marBottom w:val="0"/>
          <w:divBdr>
            <w:top w:val="none" w:sz="0" w:space="0" w:color="auto"/>
            <w:left w:val="none" w:sz="0" w:space="0" w:color="auto"/>
            <w:bottom w:val="none" w:sz="0" w:space="0" w:color="auto"/>
            <w:right w:val="none" w:sz="0" w:space="0" w:color="auto"/>
          </w:divBdr>
          <w:divsChild>
            <w:div w:id="718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7383">
      <w:bodyDiv w:val="1"/>
      <w:marLeft w:val="0"/>
      <w:marRight w:val="0"/>
      <w:marTop w:val="0"/>
      <w:marBottom w:val="0"/>
      <w:divBdr>
        <w:top w:val="none" w:sz="0" w:space="0" w:color="auto"/>
        <w:left w:val="none" w:sz="0" w:space="0" w:color="auto"/>
        <w:bottom w:val="none" w:sz="0" w:space="0" w:color="auto"/>
        <w:right w:val="none" w:sz="0" w:space="0" w:color="auto"/>
      </w:divBdr>
      <w:divsChild>
        <w:div w:id="2069261753">
          <w:marLeft w:val="0"/>
          <w:marRight w:val="0"/>
          <w:marTop w:val="0"/>
          <w:marBottom w:val="0"/>
          <w:divBdr>
            <w:top w:val="none" w:sz="0" w:space="0" w:color="auto"/>
            <w:left w:val="none" w:sz="0" w:space="0" w:color="auto"/>
            <w:bottom w:val="none" w:sz="0" w:space="0" w:color="auto"/>
            <w:right w:val="none" w:sz="0" w:space="0" w:color="auto"/>
          </w:divBdr>
          <w:divsChild>
            <w:div w:id="1869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3277">
      <w:bodyDiv w:val="1"/>
      <w:marLeft w:val="0"/>
      <w:marRight w:val="0"/>
      <w:marTop w:val="0"/>
      <w:marBottom w:val="0"/>
      <w:divBdr>
        <w:top w:val="none" w:sz="0" w:space="0" w:color="auto"/>
        <w:left w:val="none" w:sz="0" w:space="0" w:color="auto"/>
        <w:bottom w:val="none" w:sz="0" w:space="0" w:color="auto"/>
        <w:right w:val="none" w:sz="0" w:space="0" w:color="auto"/>
      </w:divBdr>
      <w:divsChild>
        <w:div w:id="357629998">
          <w:marLeft w:val="0"/>
          <w:marRight w:val="0"/>
          <w:marTop w:val="0"/>
          <w:marBottom w:val="0"/>
          <w:divBdr>
            <w:top w:val="none" w:sz="0" w:space="0" w:color="auto"/>
            <w:left w:val="none" w:sz="0" w:space="0" w:color="auto"/>
            <w:bottom w:val="none" w:sz="0" w:space="0" w:color="auto"/>
            <w:right w:val="none" w:sz="0" w:space="0" w:color="auto"/>
          </w:divBdr>
          <w:divsChild>
            <w:div w:id="6737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5C12-466B-491C-A237-B3F0812C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Lin Zhang</cp:lastModifiedBy>
  <cp:revision>58</cp:revision>
  <dcterms:created xsi:type="dcterms:W3CDTF">2020-07-15T19:50:00Z</dcterms:created>
  <dcterms:modified xsi:type="dcterms:W3CDTF">2020-08-03T04:26:00Z</dcterms:modified>
</cp:coreProperties>
</file>