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i w:val="0"/>
          <w:color w:val="1F4E79"/>
          <w:sz w:val="28"/>
        </w:rPr>
        <w:t>ECOLE NATIONALE DE COMMERCE ET DE GESTION</w:t>
      </w:r>
    </w:p>
    <w:p>
      <w:pPr>
        <w:spacing w:after="40"/>
        <w:jc w:val="center"/>
      </w:pPr>
      <w:r>
        <w:rPr>
          <w:rFonts w:ascii="Times New Roman" w:hAnsi="Times New Roman"/>
          <w:b/>
          <w:i w:val="0"/>
          <w:color w:val="1F4E79"/>
          <w:sz w:val="26"/>
        </w:rPr>
        <w:t>El Jadida</w:t>
      </w:r>
    </w:p>
    <w:p>
      <w:pPr>
        <w:spacing w:after="40"/>
        <w:jc w:val="center"/>
      </w:pPr>
      <w:r>
        <w:rPr>
          <w:rFonts w:ascii="Times New Roman" w:hAnsi="Times New Roman"/>
          <w:b w:val="0"/>
          <w:i/>
          <w:color w:val="595959"/>
          <w:sz w:val="22"/>
        </w:rPr>
        <w:t>Universite Chouaib Doukkali</w:t>
      </w:r>
    </w:p>
    <w:p>
      <w:pPr>
        <w:spacing w:after="400"/>
        <w:jc w:val="center"/>
      </w:pPr>
      <w:r>
        <w:rPr>
          <w:rFonts w:ascii="Times New Roman" w:hAnsi="Times New Roman"/>
          <w:b w:val="0"/>
          <w:i w:val="0"/>
          <w:color w:val="595959"/>
          <w:sz w:val="22"/>
        </w:rPr>
        <w:t>Filiere : Marketing  |  Semestre 9</w:t>
      </w:r>
    </w:p>
    <w:p>
      <w:pPr>
        <w:spacing w:before="200" w:after="520"/>
        <w:jc w:val="center"/>
        <w:pBdr>
          <w:top w:val="single" w:sz="12" w:space="8" w:color="1F4E79"/>
          <w:bottom w:val="single" w:sz="12" w:space="8" w:color="1F4E79"/>
        </w:pBdr>
      </w:pPr>
      <w:r>
        <w:rPr>
          <w:rFonts w:ascii="Times New Roman" w:hAnsi="Times New Roman"/>
          <w:b/>
          <w:i w:val="0"/>
          <w:color w:val="1F4E79"/>
          <w:sz w:val="30"/>
        </w:rPr>
        <w:t>RAPPORT DE STAGE - PROJET DE FIN D'ETUDES</w:t>
      </w:r>
    </w:p>
    <w:p>
      <w:pPr>
        <w:spacing w:after="40"/>
        <w:jc w:val="center"/>
      </w:pPr>
      <w:r>
        <w:rPr>
          <w:rFonts w:ascii="Times New Roman" w:hAnsi="Times New Roman"/>
          <w:b/>
          <w:i w:val="0"/>
          <w:color w:val="1A1A1A"/>
          <w:sz w:val="34"/>
        </w:rPr>
        <w:t>L'Impact de l'Intelligence Artificielle sur l'Efficacite</w:t>
      </w:r>
    </w:p>
    <w:p>
      <w:pPr>
        <w:spacing w:after="200"/>
        <w:jc w:val="center"/>
      </w:pPr>
      <w:r>
        <w:rPr>
          <w:rFonts w:ascii="Times New Roman" w:hAnsi="Times New Roman"/>
          <w:b/>
          <w:i w:val="0"/>
          <w:color w:val="1A1A1A"/>
          <w:sz w:val="34"/>
        </w:rPr>
        <w:t>des Strategies du Marketing Digital</w:t>
      </w:r>
    </w:p>
    <w:p>
      <w:pPr>
        <w:spacing w:after="280"/>
        <w:jc w:val="center"/>
      </w:pPr>
      <w:r>
        <w:rPr>
          <w:rFonts w:ascii="Times New Roman" w:hAnsi="Times New Roman"/>
          <w:b w:val="0"/>
          <w:i/>
          <w:color w:val="595959"/>
          <w:sz w:val="26"/>
        </w:rPr>
        <w:t>Optimisation du Ciblage et du Contenu</w:t>
      </w:r>
    </w:p>
    <w:p>
      <w:pPr>
        <w:spacing w:after="600"/>
        <w:jc w:val="center"/>
      </w:pPr>
      <w:r>
        <w:rPr>
          <w:rFonts w:ascii="Times New Roman" w:hAnsi="Times New Roman"/>
          <w:b w:val="0"/>
          <w:i/>
          <w:color w:val="2E75B6"/>
          <w:sz w:val="25"/>
        </w:rPr>
        <w:t>Cas pratique : campagne de lancement Varcadia (Soualem)</w:t>
      </w:r>
    </w:p>
    <w:tbl>
      <w:tblPr>
        <w:tblW w:type="auto" w:w="0"/>
        <w:jc w:val="center"/>
        <w:tblLook w:firstColumn="1" w:firstRow="1" w:lastColumn="0" w:lastRow="0" w:noHBand="0" w:noVBand="1" w:val="04A0"/>
      </w:tblPr>
      <w:tblGrid>
        <w:gridCol w:w="4561"/>
        <w:gridCol w:w="4561"/>
      </w:tblGrid>
      <w:tr>
        <w:tc>
          <w:tcPr>
            <w:tcW w:type="dxa" w:w="3118"/>
          </w:tcPr>
          <w:p>
            <w:r/>
            <w:r>
              <w:rPr>
                <w:rFonts w:ascii="Times New Roman" w:hAnsi="Times New Roman"/>
                <w:b/>
                <w:i w:val="0"/>
                <w:color w:val="1F4E79"/>
                <w:sz w:val="23"/>
              </w:rPr>
              <w:t>Realise par :</w:t>
            </w:r>
          </w:p>
        </w:tc>
        <w:tc>
          <w:tcPr>
            <w:tcW w:type="dxa" w:w="5669"/>
          </w:tcPr>
          <w:p>
            <w:r/>
            <w:r>
              <w:rPr>
                <w:rFonts w:ascii="Times New Roman" w:hAnsi="Times New Roman"/>
                <w:b w:val="0"/>
                <w:i w:val="0"/>
                <w:color w:val="1A1A1A"/>
                <w:sz w:val="23"/>
              </w:rPr>
              <w:t>ABDOUH Yassir</w:t>
            </w:r>
          </w:p>
        </w:tc>
      </w:tr>
      <w:tr>
        <w:tc>
          <w:tcPr>
            <w:tcW w:type="dxa" w:w="3118"/>
          </w:tcPr>
          <w:p>
            <w:r/>
            <w:r>
              <w:rPr>
                <w:rFonts w:ascii="Times New Roman" w:hAnsi="Times New Roman"/>
                <w:b/>
                <w:i w:val="0"/>
                <w:color w:val="1F4E79"/>
                <w:sz w:val="23"/>
              </w:rPr>
              <w:t>Structure d'accueil :</w:t>
            </w:r>
          </w:p>
        </w:tc>
        <w:tc>
          <w:tcPr>
            <w:tcW w:type="dxa" w:w="5669"/>
          </w:tcPr>
          <w:p>
            <w:r/>
            <w:r>
              <w:rPr>
                <w:rFonts w:ascii="Times New Roman" w:hAnsi="Times New Roman"/>
                <w:b w:val="0"/>
                <w:i w:val="0"/>
                <w:color w:val="1A1A1A"/>
                <w:sz w:val="23"/>
              </w:rPr>
              <w:t>Agence 360 Widma Digitale  (en collaboration avec Volcano Vision)</w:t>
            </w:r>
          </w:p>
        </w:tc>
      </w:tr>
      <w:tr>
        <w:tc>
          <w:tcPr>
            <w:tcW w:type="dxa" w:w="3118"/>
          </w:tcPr>
          <w:p>
            <w:r/>
            <w:r>
              <w:rPr>
                <w:rFonts w:ascii="Times New Roman" w:hAnsi="Times New Roman"/>
                <w:b/>
                <w:i w:val="0"/>
                <w:color w:val="1F4E79"/>
                <w:sz w:val="23"/>
              </w:rPr>
              <w:t>Encadrante pedagogique :</w:t>
            </w:r>
          </w:p>
        </w:tc>
        <w:tc>
          <w:tcPr>
            <w:tcW w:type="dxa" w:w="5669"/>
          </w:tcPr>
          <w:p>
            <w:r/>
            <w:r>
              <w:rPr>
                <w:rFonts w:ascii="Times New Roman" w:hAnsi="Times New Roman"/>
                <w:b w:val="0"/>
                <w:i w:val="0"/>
                <w:color w:val="1A1A1A"/>
                <w:sz w:val="23"/>
              </w:rPr>
              <w:t>Mme. Hasnaa ALAMI</w:t>
            </w:r>
          </w:p>
        </w:tc>
      </w:tr>
      <w:tr>
        <w:tc>
          <w:tcPr>
            <w:tcW w:type="dxa" w:w="3118"/>
          </w:tcPr>
          <w:p>
            <w:r/>
            <w:r>
              <w:rPr>
                <w:rFonts w:ascii="Times New Roman" w:hAnsi="Times New Roman"/>
                <w:b/>
                <w:i w:val="0"/>
                <w:color w:val="1F4E79"/>
                <w:sz w:val="23"/>
              </w:rPr>
              <w:t>Annee universitaire :</w:t>
            </w:r>
          </w:p>
        </w:tc>
        <w:tc>
          <w:tcPr>
            <w:tcW w:type="dxa" w:w="5669"/>
          </w:tcPr>
          <w:p>
            <w:r/>
            <w:r>
              <w:rPr>
                <w:rFonts w:ascii="Times New Roman" w:hAnsi="Times New Roman"/>
                <w:b w:val="0"/>
                <w:i w:val="0"/>
                <w:color w:val="1A1A1A"/>
                <w:sz w:val="23"/>
              </w:rPr>
              <w:t>2025 / 2026</w:t>
            </w:r>
          </w:p>
        </w:tc>
      </w:tr>
    </w:tbl>
    <w:p/>
    <w:p/>
    <w:p>
      <w:pPr>
        <w:spacing w:after="120"/>
        <w:jc w:val="center"/>
      </w:pPr>
      <w:r>
        <w:rPr>
          <w:rFonts w:ascii="Times New Roman" w:hAnsi="Times New Roman"/>
          <w:b w:val="0"/>
          <w:i/>
          <w:color w:val="595959"/>
          <w:sz w:val="20"/>
        </w:rPr>
        <w:t>Annee universitaire 2025 / 2026</w:t>
      </w:r>
    </w:p>
    <w:p>
      <w:r>
        <w:br w:type="page"/>
      </w:r>
    </w:p>
    <w:p>
      <w:pPr>
        <w:spacing w:before="120" w:after="280"/>
        <w:jc w:val="left"/>
        <w:pBdr>
          <w:bottom w:val="single" w:sz="6" w:space="6" w:color="1F4E79"/>
        </w:pBdr>
      </w:pPr>
      <w:r>
        <w:rPr>
          <w:rFonts w:ascii="Times New Roman" w:hAnsi="Times New Roman"/>
          <w:b/>
          <w:i w:val="0"/>
          <w:color w:val="1F4E79"/>
          <w:sz w:val="36"/>
        </w:rPr>
        <w:t>Remerciements</w:t>
      </w:r>
    </w:p>
    <w:p>
      <w:pPr>
        <w:spacing w:after="120"/>
        <w:jc w:val="both"/>
      </w:pPr>
      <w:r>
        <w:rPr>
          <w:rFonts w:ascii="Times New Roman" w:hAnsi="Times New Roman"/>
          <w:b w:val="0"/>
          <w:i w:val="0"/>
          <w:color w:val="1A1A1A"/>
          <w:sz w:val="24"/>
        </w:rPr>
        <w:t>Au terme de ce travail, je tiens a exprimer toute ma gratitude envers les personnes qui ont contribue, de pres ou de loin, a sa realisation. Ce rapport n'aurait pas vu le jour sans leur soutien, leur confiance et leur disponibilite.</w:t>
      </w:r>
    </w:p>
    <w:p>
      <w:pPr>
        <w:spacing w:after="120"/>
        <w:jc w:val="both"/>
      </w:pPr>
      <w:r>
        <w:rPr>
          <w:rFonts w:ascii="Times New Roman" w:hAnsi="Times New Roman"/>
          <w:b w:val="0"/>
          <w:i w:val="0"/>
          <w:color w:val="1A1A1A"/>
          <w:sz w:val="24"/>
        </w:rPr>
        <w:t>Je remercie en premier lieu Madame Hasnaa ALAMI, mon encadrante pedagogique a l'ENCG d'El Jadida, pour sa disponibilite, ses orientations methodologiques rigoureuses et son soutien bienveillant tout au long de ce projet. Sa capacite a guider sans imposer m'a permis de conserver une approche personnelle et authentique dans ce travail, tout en respectant les exigences academiques attendues d'un projet de fin d'etudes.</w:t>
      </w:r>
    </w:p>
    <w:p>
      <w:pPr>
        <w:spacing w:after="120"/>
        <w:jc w:val="both"/>
      </w:pPr>
      <w:r>
        <w:rPr>
          <w:rFonts w:ascii="Times New Roman" w:hAnsi="Times New Roman"/>
          <w:b w:val="0"/>
          <w:i w:val="0"/>
          <w:color w:val="1A1A1A"/>
          <w:sz w:val="24"/>
        </w:rPr>
        <w:t>Mes remerciements s'adressent egalement a l'ensemble de l'equipe de l'agence 360 Widma Digitale, qui m'a accueilli dans un cadre professionnel stimulant et m'a confie des responsabilites reelles. Cette experience a ete, a plus d'un titre, formatrice et enrichissante ; elle m'a permis de confronter les connaissances theoriques acquises a l'ecole aux realites operationnelles du metier.</w:t>
      </w:r>
    </w:p>
    <w:p>
      <w:pPr>
        <w:spacing w:after="120"/>
        <w:jc w:val="both"/>
      </w:pPr>
      <w:r>
        <w:rPr>
          <w:rFonts w:ascii="Times New Roman" w:hAnsi="Times New Roman"/>
          <w:b w:val="0"/>
          <w:i w:val="0"/>
          <w:color w:val="1A1A1A"/>
          <w:sz w:val="24"/>
        </w:rPr>
        <w:t>Je souhaite aussi exprimer ma reconnaissance envers les fondateurs de Varcadia, parc de jeux et de loisirs de Soualem, pour la confiance qu'ils ont accordee a nos deux agences pour piloter leur strategie de lancement. Leur ouverture d'esprit et leur volonte d'innover ont rendu possible l'experimentation decrite dans ce rapport.</w:t>
      </w:r>
    </w:p>
    <w:p>
      <w:pPr>
        <w:spacing w:after="120"/>
        <w:jc w:val="both"/>
      </w:pPr>
      <w:r>
        <w:rPr>
          <w:rFonts w:ascii="Times New Roman" w:hAnsi="Times New Roman"/>
          <w:b w:val="0"/>
          <w:i w:val="0"/>
          <w:color w:val="1A1A1A"/>
          <w:sz w:val="24"/>
        </w:rPr>
        <w:t>Je remercie enfin l'equipe de Volcano Vision, l'agence que j'ai fondee durant mon parcours universitaire, dont la collaboration avec Widma Digitale a ete determinante dans la reussite de ce projet. Mener une structure entrepreneuriale en parallele de mes etudes m'a appris autant sur moi-meme que sur le metier, et m'a offert un terrain d'application directement relie a la problematique de ce memoire.</w:t>
      </w:r>
    </w:p>
    <w:p>
      <w:pPr>
        <w:spacing w:after="120"/>
        <w:jc w:val="both"/>
      </w:pPr>
      <w:r>
        <w:rPr>
          <w:rFonts w:ascii="Times New Roman" w:hAnsi="Times New Roman"/>
          <w:b w:val="0"/>
          <w:i w:val="0"/>
          <w:color w:val="1A1A1A"/>
          <w:sz w:val="24"/>
        </w:rPr>
        <w:t>A ma famille, mes amis et mes proches : merci pour votre patience et vos encouragements constants tout au long de ces annees d'etudes.</w:t>
      </w:r>
    </w:p>
    <w:p>
      <w:r>
        <w:br w:type="page"/>
      </w:r>
    </w:p>
    <w:p>
      <w:pPr>
        <w:spacing w:before="120" w:after="280"/>
        <w:jc w:val="left"/>
        <w:pBdr>
          <w:bottom w:val="single" w:sz="6" w:space="6" w:color="1F4E79"/>
        </w:pBdr>
      </w:pPr>
      <w:r>
        <w:rPr>
          <w:rFonts w:ascii="Times New Roman" w:hAnsi="Times New Roman"/>
          <w:b/>
          <w:i w:val="0"/>
          <w:color w:val="1F4E79"/>
          <w:sz w:val="36"/>
        </w:rPr>
        <w:t>Resume</w:t>
      </w:r>
    </w:p>
    <w:p>
      <w:pPr>
        <w:spacing w:after="120"/>
        <w:jc w:val="both"/>
      </w:pPr>
      <w:r>
        <w:rPr>
          <w:rFonts w:ascii="Times New Roman" w:hAnsi="Times New Roman"/>
          <w:b w:val="0"/>
          <w:i w:val="0"/>
          <w:color w:val="1A1A1A"/>
          <w:sz w:val="24"/>
        </w:rPr>
        <w:t>Ce rapport de stage de Projet de Fin d'Etudes, realise dans le cadre de la cinquieme annee de la filiere Marketing a l'Ecole Nationale de Commerce et de Gestion d'El Jadida, traite de l'impact de l'intelligence artificielle sur l'efficacite des strategies de marketing digital. L'analyse se concentre sur deux dimensions fondamentales : l'optimisation du ciblage publicitaire et la generation de contenu par intelligence artificielle.</w:t>
      </w:r>
    </w:p>
    <w:p>
      <w:pPr>
        <w:spacing w:after="120"/>
        <w:jc w:val="both"/>
      </w:pPr>
      <w:r>
        <w:rPr>
          <w:rFonts w:ascii="Times New Roman" w:hAnsi="Times New Roman"/>
          <w:b w:val="0"/>
          <w:i w:val="0"/>
          <w:color w:val="1A1A1A"/>
          <w:sz w:val="24"/>
        </w:rPr>
        <w:t>Le stage a ete effectue au sein de l'agence 360 Widma Digitale, en collaboration avec Volcano Vision, agence de communication fondee par l'auteur durant son parcours universitaire. Cette double implication a permis de conduire, de bout en bout, une campagne de lancement pour Varcadia, parc de jeux nouvellement ouvert a Soualem.</w:t>
      </w:r>
    </w:p>
    <w:p>
      <w:pPr>
        <w:spacing w:after="120"/>
        <w:jc w:val="both"/>
      </w:pPr>
      <w:r>
        <w:rPr>
          <w:rFonts w:ascii="Times New Roman" w:hAnsi="Times New Roman"/>
          <w:b w:val="0"/>
          <w:i w:val="0"/>
          <w:color w:val="1A1A1A"/>
          <w:sz w:val="24"/>
        </w:rPr>
        <w:t>La campagne, pilotee par des outils d'IA generative tels que Kling AI et Nano Banana Pro, s'est appuyee sur une strategie multicanale incluant YouTube Ads, Meta Ads et l'affichage urbain. Deux videos ont structure le dispositif creatif : un teaser narratif fonde sur l'evasion d'un quotidien monotone, puis une video de devoilement mettant en scene une mascotte. En un mois de teasing, plus d'un million de vues ont ete enregistrees, et l'ouverture du parc a attire une forte affluence, confirmant la pertinence de l'approche.</w:t>
      </w:r>
    </w:p>
    <w:p>
      <w:pPr>
        <w:spacing w:after="120"/>
        <w:jc w:val="both"/>
      </w:pPr>
      <w:r>
        <w:rPr>
          <w:rFonts w:ascii="Times New Roman" w:hAnsi="Times New Roman"/>
          <w:b/>
          <w:i w:val="0"/>
          <w:color w:val="1A1A1A"/>
          <w:sz w:val="24"/>
        </w:rPr>
        <w:t>Mots-cles :</w:t>
      </w:r>
      <w:r>
        <w:rPr>
          <w:rFonts w:ascii="Times New Roman" w:hAnsi="Times New Roman"/>
          <w:b w:val="0"/>
          <w:i w:val="0"/>
          <w:color w:val="1A1A1A"/>
          <w:sz w:val="24"/>
        </w:rPr>
        <w:t xml:space="preserve"> intelligence artificielle, marketing digital, ciblage publicitaire, IA generative, Varcadia, Kling AI, Nano Banana Pro, YouTube Ads, Meta Ads, campagne de lancement, teasing, Maroc.</w:t>
      </w:r>
    </w:p>
    <w:p>
      <w:pPr>
        <w:spacing w:before="240" w:after="120"/>
      </w:pPr>
      <w:r>
        <w:rPr>
          <w:rFonts w:ascii="Times New Roman" w:hAnsi="Times New Roman"/>
          <w:b/>
          <w:i w:val="0"/>
          <w:color w:val="1F4E79"/>
          <w:sz w:val="28"/>
        </w:rPr>
        <w:t>Abstract</w:t>
      </w:r>
    </w:p>
    <w:p>
      <w:pPr>
        <w:spacing w:after="120"/>
        <w:jc w:val="both"/>
      </w:pPr>
      <w:r>
        <w:rPr>
          <w:rFonts w:ascii="Times New Roman" w:hAnsi="Times New Roman"/>
          <w:b w:val="0"/>
          <w:i/>
          <w:color w:val="1A1A1A"/>
          <w:sz w:val="24"/>
        </w:rPr>
        <w:t>This end-of-studies internship report, carried out within the fifth year of the Marketing program at the National School of Commerce and Management of El Jadida, examines the impact of artificial intelligence on the effectiveness of digital marketing strategies. The analysis focuses on two core dimensions: the optimisation of advertising targeting and AI-based content generation.</w:t>
      </w:r>
    </w:p>
    <w:p>
      <w:pPr>
        <w:spacing w:after="120"/>
        <w:jc w:val="both"/>
      </w:pPr>
      <w:r>
        <w:rPr>
          <w:rFonts w:ascii="Times New Roman" w:hAnsi="Times New Roman"/>
          <w:b w:val="0"/>
          <w:i/>
          <w:color w:val="1A1A1A"/>
          <w:sz w:val="24"/>
        </w:rPr>
        <w:t>The internship took place at the 360 agency Widma Digitale, in collaboration with Volcano Vision, a communication agency founded by the author during his university studies. This dual involvement made it possible to run, end to end, a launch campaign for Varcadia, a newly opened amusement park in Soualem, Morocco.</w:t>
      </w:r>
    </w:p>
    <w:p>
      <w:pPr>
        <w:spacing w:after="120"/>
        <w:jc w:val="both"/>
      </w:pPr>
      <w:r>
        <w:rPr>
          <w:rFonts w:ascii="Times New Roman" w:hAnsi="Times New Roman"/>
          <w:b w:val="0"/>
          <w:i/>
          <w:color w:val="1A1A1A"/>
          <w:sz w:val="24"/>
        </w:rPr>
        <w:t>Driven by generative AI tools such as Kling AI and Nano Banana Pro, the campaign relied on a multichannel strategy including YouTube Ads, Meta Ads and out-of-home advertising. Two videos structured the creative system: a narrative teaser based on escaping a dull routine, then a reveal video featuring a mascot. Within one month of teasing, more than one million views were recorded, and the park opening attracted strong attendance, confirming the relevance of the approach.</w:t>
      </w:r>
    </w:p>
    <w:p>
      <w:pPr>
        <w:spacing w:after="120"/>
        <w:jc w:val="both"/>
      </w:pPr>
      <w:r>
        <w:rPr>
          <w:rFonts w:ascii="Times New Roman" w:hAnsi="Times New Roman"/>
          <w:b/>
          <w:i/>
          <w:color w:val="1A1A1A"/>
          <w:sz w:val="24"/>
        </w:rPr>
        <w:t>Keywords:</w:t>
      </w:r>
      <w:r>
        <w:rPr>
          <w:rFonts w:ascii="Times New Roman" w:hAnsi="Times New Roman"/>
          <w:b w:val="0"/>
          <w:i/>
          <w:color w:val="1A1A1A"/>
          <w:sz w:val="24"/>
        </w:rPr>
        <w:t xml:space="preserve"> artificial intelligence, digital marketing, ad targeting, generative AI, Varcadia, Kling AI, Nano Banana Pro, YouTube Ads, Meta Ads, launch campaign, teasing, Morocco.</w:t>
      </w:r>
    </w:p>
    <w:p>
      <w:r>
        <w:br w:type="page"/>
      </w:r>
    </w:p>
    <w:p>
      <w:pPr>
        <w:spacing w:before="120" w:after="280"/>
        <w:jc w:val="left"/>
        <w:pBdr>
          <w:bottom w:val="single" w:sz="6" w:space="6" w:color="1F4E79"/>
        </w:pBdr>
      </w:pPr>
      <w:r>
        <w:rPr>
          <w:rFonts w:ascii="Times New Roman" w:hAnsi="Times New Roman"/>
          <w:b/>
          <w:i w:val="0"/>
          <w:color w:val="1F4E79"/>
          <w:sz w:val="36"/>
        </w:rPr>
        <w:t>Liste des abreviations</w:t>
      </w:r>
    </w:p>
    <w:tbl>
      <w:tblPr>
        <w:tblStyle w:val="LightGrid-Accent1"/>
        <w:tblW w:type="auto" w:w="0"/>
        <w:jc w:val="center"/>
        <w:tblLook w:firstColumn="1" w:firstRow="1" w:lastColumn="0" w:lastRow="0" w:noHBand="0" w:noVBand="1" w:val="04A0"/>
      </w:tblPr>
      <w:tblGrid>
        <w:gridCol w:w="4561"/>
        <w:gridCol w:w="4561"/>
      </w:tblGrid>
      <w:tr>
        <w:tc>
          <w:tcPr>
            <w:tcW w:type="dxa" w:w="1701"/>
            <w:shd w:val="clear" w:fill="1F4E79"/>
          </w:tcPr>
          <w:p>
            <w:pPr>
              <w:jc w:val="center"/>
            </w:pPr>
            <w:r/>
            <w:r>
              <w:rPr>
                <w:rFonts w:ascii="Times New Roman" w:hAnsi="Times New Roman"/>
                <w:b/>
                <w:i w:val="0"/>
                <w:color w:val="FFFFFF"/>
                <w:sz w:val="22"/>
              </w:rPr>
              <w:t>Sigle</w:t>
            </w:r>
          </w:p>
        </w:tc>
        <w:tc>
          <w:tcPr>
            <w:tcW w:type="dxa" w:w="7370"/>
            <w:shd w:val="clear" w:fill="1F4E79"/>
          </w:tcPr>
          <w:p>
            <w:pPr>
              <w:jc w:val="center"/>
            </w:pPr>
            <w:r/>
            <w:r>
              <w:rPr>
                <w:rFonts w:ascii="Times New Roman" w:hAnsi="Times New Roman"/>
                <w:b/>
                <w:i w:val="0"/>
                <w:color w:val="FFFFFF"/>
                <w:sz w:val="22"/>
              </w:rPr>
              <w:t>Signification</w:t>
            </w:r>
          </w:p>
        </w:tc>
      </w:tr>
      <w:tr>
        <w:tc>
          <w:tcPr>
            <w:tcW w:type="dxa" w:w="1701"/>
          </w:tcPr>
          <w:p>
            <w:pPr>
              <w:jc w:val="left"/>
            </w:pPr>
            <w:r/>
            <w:r>
              <w:rPr>
                <w:rFonts w:ascii="Times New Roman" w:hAnsi="Times New Roman"/>
                <w:b w:val="0"/>
                <w:i w:val="0"/>
                <w:color w:val="1A1A1A"/>
                <w:sz w:val="22"/>
              </w:rPr>
              <w:t>IA</w:t>
            </w:r>
          </w:p>
        </w:tc>
        <w:tc>
          <w:tcPr>
            <w:tcW w:type="dxa" w:w="7370"/>
          </w:tcPr>
          <w:p>
            <w:pPr>
              <w:jc w:val="center"/>
            </w:pPr>
            <w:r/>
            <w:r>
              <w:rPr>
                <w:rFonts w:ascii="Times New Roman" w:hAnsi="Times New Roman"/>
                <w:b w:val="0"/>
                <w:i w:val="0"/>
                <w:color w:val="1A1A1A"/>
                <w:sz w:val="22"/>
              </w:rPr>
              <w:t>Intelligence Artificielle</w:t>
            </w:r>
          </w:p>
        </w:tc>
      </w:tr>
      <w:tr>
        <w:tc>
          <w:tcPr>
            <w:tcW w:type="dxa" w:w="1701"/>
          </w:tcPr>
          <w:p>
            <w:pPr>
              <w:jc w:val="left"/>
            </w:pPr>
            <w:r/>
            <w:r>
              <w:rPr>
                <w:rFonts w:ascii="Times New Roman" w:hAnsi="Times New Roman"/>
                <w:b w:val="0"/>
                <w:i w:val="0"/>
                <w:color w:val="1A1A1A"/>
                <w:sz w:val="22"/>
              </w:rPr>
              <w:t>ML</w:t>
            </w:r>
          </w:p>
        </w:tc>
        <w:tc>
          <w:tcPr>
            <w:tcW w:type="dxa" w:w="7370"/>
          </w:tcPr>
          <w:p>
            <w:pPr>
              <w:jc w:val="center"/>
            </w:pPr>
            <w:r/>
            <w:r>
              <w:rPr>
                <w:rFonts w:ascii="Times New Roman" w:hAnsi="Times New Roman"/>
                <w:b w:val="0"/>
                <w:i w:val="0"/>
                <w:color w:val="1A1A1A"/>
                <w:sz w:val="22"/>
              </w:rPr>
              <w:t>Machine Learning (apprentissage automatique)</w:t>
            </w:r>
          </w:p>
        </w:tc>
      </w:tr>
      <w:tr>
        <w:tc>
          <w:tcPr>
            <w:tcW w:type="dxa" w:w="1701"/>
          </w:tcPr>
          <w:p>
            <w:pPr>
              <w:jc w:val="left"/>
            </w:pPr>
            <w:r/>
            <w:r>
              <w:rPr>
                <w:rFonts w:ascii="Times New Roman" w:hAnsi="Times New Roman"/>
                <w:b w:val="0"/>
                <w:i w:val="0"/>
                <w:color w:val="1A1A1A"/>
                <w:sz w:val="22"/>
              </w:rPr>
              <w:t>NLP</w:t>
            </w:r>
          </w:p>
        </w:tc>
        <w:tc>
          <w:tcPr>
            <w:tcW w:type="dxa" w:w="7370"/>
          </w:tcPr>
          <w:p>
            <w:pPr>
              <w:jc w:val="center"/>
            </w:pPr>
            <w:r/>
            <w:r>
              <w:rPr>
                <w:rFonts w:ascii="Times New Roman" w:hAnsi="Times New Roman"/>
                <w:b w:val="0"/>
                <w:i w:val="0"/>
                <w:color w:val="1A1A1A"/>
                <w:sz w:val="22"/>
              </w:rPr>
              <w:t>Natural Language Processing (traitement automatique du langage)</w:t>
            </w:r>
          </w:p>
        </w:tc>
      </w:tr>
      <w:tr>
        <w:tc>
          <w:tcPr>
            <w:tcW w:type="dxa" w:w="1701"/>
          </w:tcPr>
          <w:p>
            <w:pPr>
              <w:jc w:val="left"/>
            </w:pPr>
            <w:r/>
            <w:r>
              <w:rPr>
                <w:rFonts w:ascii="Times New Roman" w:hAnsi="Times New Roman"/>
                <w:b w:val="0"/>
                <w:i w:val="0"/>
                <w:color w:val="1A1A1A"/>
                <w:sz w:val="22"/>
              </w:rPr>
              <w:t>GenAI</w:t>
            </w:r>
          </w:p>
        </w:tc>
        <w:tc>
          <w:tcPr>
            <w:tcW w:type="dxa" w:w="7370"/>
          </w:tcPr>
          <w:p>
            <w:pPr>
              <w:jc w:val="center"/>
            </w:pPr>
            <w:r/>
            <w:r>
              <w:rPr>
                <w:rFonts w:ascii="Times New Roman" w:hAnsi="Times New Roman"/>
                <w:b w:val="0"/>
                <w:i w:val="0"/>
                <w:color w:val="1A1A1A"/>
                <w:sz w:val="22"/>
              </w:rPr>
              <w:t>Generative Artificial Intelligence (IA generative)</w:t>
            </w:r>
          </w:p>
        </w:tc>
      </w:tr>
      <w:tr>
        <w:tc>
          <w:tcPr>
            <w:tcW w:type="dxa" w:w="1701"/>
          </w:tcPr>
          <w:p>
            <w:pPr>
              <w:jc w:val="left"/>
            </w:pPr>
            <w:r/>
            <w:r>
              <w:rPr>
                <w:rFonts w:ascii="Times New Roman" w:hAnsi="Times New Roman"/>
                <w:b w:val="0"/>
                <w:i w:val="0"/>
                <w:color w:val="1A1A1A"/>
                <w:sz w:val="22"/>
              </w:rPr>
              <w:t>LLM</w:t>
            </w:r>
          </w:p>
        </w:tc>
        <w:tc>
          <w:tcPr>
            <w:tcW w:type="dxa" w:w="7370"/>
          </w:tcPr>
          <w:p>
            <w:pPr>
              <w:jc w:val="center"/>
            </w:pPr>
            <w:r/>
            <w:r>
              <w:rPr>
                <w:rFonts w:ascii="Times New Roman" w:hAnsi="Times New Roman"/>
                <w:b w:val="0"/>
                <w:i w:val="0"/>
                <w:color w:val="1A1A1A"/>
                <w:sz w:val="22"/>
              </w:rPr>
              <w:t>Large Language Model (grand modele de langage)</w:t>
            </w:r>
          </w:p>
        </w:tc>
      </w:tr>
      <w:tr>
        <w:tc>
          <w:tcPr>
            <w:tcW w:type="dxa" w:w="1701"/>
          </w:tcPr>
          <w:p>
            <w:pPr>
              <w:jc w:val="left"/>
            </w:pPr>
            <w:r/>
            <w:r>
              <w:rPr>
                <w:rFonts w:ascii="Times New Roman" w:hAnsi="Times New Roman"/>
                <w:b w:val="0"/>
                <w:i w:val="0"/>
                <w:color w:val="1A1A1A"/>
                <w:sz w:val="22"/>
              </w:rPr>
              <w:t>ROI</w:t>
            </w:r>
          </w:p>
        </w:tc>
        <w:tc>
          <w:tcPr>
            <w:tcW w:type="dxa" w:w="7370"/>
          </w:tcPr>
          <w:p>
            <w:pPr>
              <w:jc w:val="center"/>
            </w:pPr>
            <w:r/>
            <w:r>
              <w:rPr>
                <w:rFonts w:ascii="Times New Roman" w:hAnsi="Times New Roman"/>
                <w:b w:val="0"/>
                <w:i w:val="0"/>
                <w:color w:val="1A1A1A"/>
                <w:sz w:val="22"/>
              </w:rPr>
              <w:t>Return On Investment (retour sur investissement)</w:t>
            </w:r>
          </w:p>
        </w:tc>
      </w:tr>
      <w:tr>
        <w:tc>
          <w:tcPr>
            <w:tcW w:type="dxa" w:w="1701"/>
          </w:tcPr>
          <w:p>
            <w:pPr>
              <w:jc w:val="left"/>
            </w:pPr>
            <w:r/>
            <w:r>
              <w:rPr>
                <w:rFonts w:ascii="Times New Roman" w:hAnsi="Times New Roman"/>
                <w:b w:val="0"/>
                <w:i w:val="0"/>
                <w:color w:val="1A1A1A"/>
                <w:sz w:val="22"/>
              </w:rPr>
              <w:t>ROAS</w:t>
            </w:r>
          </w:p>
        </w:tc>
        <w:tc>
          <w:tcPr>
            <w:tcW w:type="dxa" w:w="7370"/>
          </w:tcPr>
          <w:p>
            <w:pPr>
              <w:jc w:val="center"/>
            </w:pPr>
            <w:r/>
            <w:r>
              <w:rPr>
                <w:rFonts w:ascii="Times New Roman" w:hAnsi="Times New Roman"/>
                <w:b w:val="0"/>
                <w:i w:val="0"/>
                <w:color w:val="1A1A1A"/>
                <w:sz w:val="22"/>
              </w:rPr>
              <w:t>Return On Ad Spend (retour sur les depenses publicitaires)</w:t>
            </w:r>
          </w:p>
        </w:tc>
      </w:tr>
      <w:tr>
        <w:tc>
          <w:tcPr>
            <w:tcW w:type="dxa" w:w="1701"/>
          </w:tcPr>
          <w:p>
            <w:pPr>
              <w:jc w:val="left"/>
            </w:pPr>
            <w:r/>
            <w:r>
              <w:rPr>
                <w:rFonts w:ascii="Times New Roman" w:hAnsi="Times New Roman"/>
                <w:b w:val="0"/>
                <w:i w:val="0"/>
                <w:color w:val="1A1A1A"/>
                <w:sz w:val="22"/>
              </w:rPr>
              <w:t>CPC</w:t>
            </w:r>
          </w:p>
        </w:tc>
        <w:tc>
          <w:tcPr>
            <w:tcW w:type="dxa" w:w="7370"/>
          </w:tcPr>
          <w:p>
            <w:pPr>
              <w:jc w:val="center"/>
            </w:pPr>
            <w:r/>
            <w:r>
              <w:rPr>
                <w:rFonts w:ascii="Times New Roman" w:hAnsi="Times New Roman"/>
                <w:b w:val="0"/>
                <w:i w:val="0"/>
                <w:color w:val="1A1A1A"/>
                <w:sz w:val="22"/>
              </w:rPr>
              <w:t>Cost Per Click (cout par clic)</w:t>
            </w:r>
          </w:p>
        </w:tc>
      </w:tr>
      <w:tr>
        <w:tc>
          <w:tcPr>
            <w:tcW w:type="dxa" w:w="1701"/>
          </w:tcPr>
          <w:p>
            <w:pPr>
              <w:jc w:val="left"/>
            </w:pPr>
            <w:r/>
            <w:r>
              <w:rPr>
                <w:rFonts w:ascii="Times New Roman" w:hAnsi="Times New Roman"/>
                <w:b w:val="0"/>
                <w:i w:val="0"/>
                <w:color w:val="1A1A1A"/>
                <w:sz w:val="22"/>
              </w:rPr>
              <w:t>CPA</w:t>
            </w:r>
          </w:p>
        </w:tc>
        <w:tc>
          <w:tcPr>
            <w:tcW w:type="dxa" w:w="7370"/>
          </w:tcPr>
          <w:p>
            <w:pPr>
              <w:jc w:val="center"/>
            </w:pPr>
            <w:r/>
            <w:r>
              <w:rPr>
                <w:rFonts w:ascii="Times New Roman" w:hAnsi="Times New Roman"/>
                <w:b w:val="0"/>
                <w:i w:val="0"/>
                <w:color w:val="1A1A1A"/>
                <w:sz w:val="22"/>
              </w:rPr>
              <w:t>Cost Per Acquisition (cout par acquisition)</w:t>
            </w:r>
          </w:p>
        </w:tc>
      </w:tr>
      <w:tr>
        <w:tc>
          <w:tcPr>
            <w:tcW w:type="dxa" w:w="1701"/>
          </w:tcPr>
          <w:p>
            <w:pPr>
              <w:jc w:val="left"/>
            </w:pPr>
            <w:r/>
            <w:r>
              <w:rPr>
                <w:rFonts w:ascii="Times New Roman" w:hAnsi="Times New Roman"/>
                <w:b w:val="0"/>
                <w:i w:val="0"/>
                <w:color w:val="1A1A1A"/>
                <w:sz w:val="22"/>
              </w:rPr>
              <w:t>CPV</w:t>
            </w:r>
          </w:p>
        </w:tc>
        <w:tc>
          <w:tcPr>
            <w:tcW w:type="dxa" w:w="7370"/>
          </w:tcPr>
          <w:p>
            <w:pPr>
              <w:jc w:val="center"/>
            </w:pPr>
            <w:r/>
            <w:r>
              <w:rPr>
                <w:rFonts w:ascii="Times New Roman" w:hAnsi="Times New Roman"/>
                <w:b w:val="0"/>
                <w:i w:val="0"/>
                <w:color w:val="1A1A1A"/>
                <w:sz w:val="22"/>
              </w:rPr>
              <w:t>Cost Per View (cout par vue)</w:t>
            </w:r>
          </w:p>
        </w:tc>
      </w:tr>
      <w:tr>
        <w:tc>
          <w:tcPr>
            <w:tcW w:type="dxa" w:w="1701"/>
          </w:tcPr>
          <w:p>
            <w:pPr>
              <w:jc w:val="left"/>
            </w:pPr>
            <w:r/>
            <w:r>
              <w:rPr>
                <w:rFonts w:ascii="Times New Roman" w:hAnsi="Times New Roman"/>
                <w:b w:val="0"/>
                <w:i w:val="0"/>
                <w:color w:val="1A1A1A"/>
                <w:sz w:val="22"/>
              </w:rPr>
              <w:t>CTR</w:t>
            </w:r>
          </w:p>
        </w:tc>
        <w:tc>
          <w:tcPr>
            <w:tcW w:type="dxa" w:w="7370"/>
          </w:tcPr>
          <w:p>
            <w:pPr>
              <w:jc w:val="center"/>
            </w:pPr>
            <w:r/>
            <w:r>
              <w:rPr>
                <w:rFonts w:ascii="Times New Roman" w:hAnsi="Times New Roman"/>
                <w:b w:val="0"/>
                <w:i w:val="0"/>
                <w:color w:val="1A1A1A"/>
                <w:sz w:val="22"/>
              </w:rPr>
              <w:t>Click-Through Rate (taux de clics)</w:t>
            </w:r>
          </w:p>
        </w:tc>
      </w:tr>
      <w:tr>
        <w:tc>
          <w:tcPr>
            <w:tcW w:type="dxa" w:w="1701"/>
          </w:tcPr>
          <w:p>
            <w:pPr>
              <w:jc w:val="left"/>
            </w:pPr>
            <w:r/>
            <w:r>
              <w:rPr>
                <w:rFonts w:ascii="Times New Roman" w:hAnsi="Times New Roman"/>
                <w:b w:val="0"/>
                <w:i w:val="0"/>
                <w:color w:val="1A1A1A"/>
                <w:sz w:val="22"/>
              </w:rPr>
              <w:t>CPM</w:t>
            </w:r>
          </w:p>
        </w:tc>
        <w:tc>
          <w:tcPr>
            <w:tcW w:type="dxa" w:w="7370"/>
          </w:tcPr>
          <w:p>
            <w:pPr>
              <w:jc w:val="center"/>
            </w:pPr>
            <w:r/>
            <w:r>
              <w:rPr>
                <w:rFonts w:ascii="Times New Roman" w:hAnsi="Times New Roman"/>
                <w:b w:val="0"/>
                <w:i w:val="0"/>
                <w:color w:val="1A1A1A"/>
                <w:sz w:val="22"/>
              </w:rPr>
              <w:t>Cost Per Mille (cout pour mille impressions)</w:t>
            </w:r>
          </w:p>
        </w:tc>
      </w:tr>
      <w:tr>
        <w:tc>
          <w:tcPr>
            <w:tcW w:type="dxa" w:w="1701"/>
          </w:tcPr>
          <w:p>
            <w:pPr>
              <w:jc w:val="left"/>
            </w:pPr>
            <w:r/>
            <w:r>
              <w:rPr>
                <w:rFonts w:ascii="Times New Roman" w:hAnsi="Times New Roman"/>
                <w:b w:val="0"/>
                <w:i w:val="0"/>
                <w:color w:val="1A1A1A"/>
                <w:sz w:val="22"/>
              </w:rPr>
              <w:t>VTR</w:t>
            </w:r>
          </w:p>
        </w:tc>
        <w:tc>
          <w:tcPr>
            <w:tcW w:type="dxa" w:w="7370"/>
          </w:tcPr>
          <w:p>
            <w:pPr>
              <w:jc w:val="center"/>
            </w:pPr>
            <w:r/>
            <w:r>
              <w:rPr>
                <w:rFonts w:ascii="Times New Roman" w:hAnsi="Times New Roman"/>
                <w:b w:val="0"/>
                <w:i w:val="0"/>
                <w:color w:val="1A1A1A"/>
                <w:sz w:val="22"/>
              </w:rPr>
              <w:t>View-Through Rate (taux de visionnage)</w:t>
            </w:r>
          </w:p>
        </w:tc>
      </w:tr>
      <w:tr>
        <w:tc>
          <w:tcPr>
            <w:tcW w:type="dxa" w:w="1701"/>
          </w:tcPr>
          <w:p>
            <w:pPr>
              <w:jc w:val="left"/>
            </w:pPr>
            <w:r/>
            <w:r>
              <w:rPr>
                <w:rFonts w:ascii="Times New Roman" w:hAnsi="Times New Roman"/>
                <w:b w:val="0"/>
                <w:i w:val="0"/>
                <w:color w:val="1A1A1A"/>
                <w:sz w:val="22"/>
              </w:rPr>
              <w:t>KPI</w:t>
            </w:r>
          </w:p>
        </w:tc>
        <w:tc>
          <w:tcPr>
            <w:tcW w:type="dxa" w:w="7370"/>
          </w:tcPr>
          <w:p>
            <w:pPr>
              <w:jc w:val="center"/>
            </w:pPr>
            <w:r/>
            <w:r>
              <w:rPr>
                <w:rFonts w:ascii="Times New Roman" w:hAnsi="Times New Roman"/>
                <w:b w:val="0"/>
                <w:i w:val="0"/>
                <w:color w:val="1A1A1A"/>
                <w:sz w:val="22"/>
              </w:rPr>
              <w:t>Key Performance Indicator (indicateur cle de performance)</w:t>
            </w:r>
          </w:p>
        </w:tc>
      </w:tr>
      <w:tr>
        <w:tc>
          <w:tcPr>
            <w:tcW w:type="dxa" w:w="1701"/>
          </w:tcPr>
          <w:p>
            <w:pPr>
              <w:jc w:val="left"/>
            </w:pPr>
            <w:r/>
            <w:r>
              <w:rPr>
                <w:rFonts w:ascii="Times New Roman" w:hAnsi="Times New Roman"/>
                <w:b w:val="0"/>
                <w:i w:val="0"/>
                <w:color w:val="1A1A1A"/>
                <w:sz w:val="22"/>
              </w:rPr>
              <w:t>SEO</w:t>
            </w:r>
          </w:p>
        </w:tc>
        <w:tc>
          <w:tcPr>
            <w:tcW w:type="dxa" w:w="7370"/>
          </w:tcPr>
          <w:p>
            <w:pPr>
              <w:jc w:val="center"/>
            </w:pPr>
            <w:r/>
            <w:r>
              <w:rPr>
                <w:rFonts w:ascii="Times New Roman" w:hAnsi="Times New Roman"/>
                <w:b w:val="0"/>
                <w:i w:val="0"/>
                <w:color w:val="1A1A1A"/>
                <w:sz w:val="22"/>
              </w:rPr>
              <w:t>Search Engine Optimization (referencement naturel)</w:t>
            </w:r>
          </w:p>
        </w:tc>
      </w:tr>
      <w:tr>
        <w:tc>
          <w:tcPr>
            <w:tcW w:type="dxa" w:w="1701"/>
          </w:tcPr>
          <w:p>
            <w:pPr>
              <w:jc w:val="left"/>
            </w:pPr>
            <w:r/>
            <w:r>
              <w:rPr>
                <w:rFonts w:ascii="Times New Roman" w:hAnsi="Times New Roman"/>
                <w:b w:val="0"/>
                <w:i w:val="0"/>
                <w:color w:val="1A1A1A"/>
                <w:sz w:val="22"/>
              </w:rPr>
              <w:t>SEM</w:t>
            </w:r>
          </w:p>
        </w:tc>
        <w:tc>
          <w:tcPr>
            <w:tcW w:type="dxa" w:w="7370"/>
          </w:tcPr>
          <w:p>
            <w:pPr>
              <w:jc w:val="center"/>
            </w:pPr>
            <w:r/>
            <w:r>
              <w:rPr>
                <w:rFonts w:ascii="Times New Roman" w:hAnsi="Times New Roman"/>
                <w:b w:val="0"/>
                <w:i w:val="0"/>
                <w:color w:val="1A1A1A"/>
                <w:sz w:val="22"/>
              </w:rPr>
              <w:t>Search Engine Marketing (referencement payant)</w:t>
            </w:r>
          </w:p>
        </w:tc>
      </w:tr>
      <w:tr>
        <w:tc>
          <w:tcPr>
            <w:tcW w:type="dxa" w:w="1701"/>
          </w:tcPr>
          <w:p>
            <w:pPr>
              <w:jc w:val="left"/>
            </w:pPr>
            <w:r/>
            <w:r>
              <w:rPr>
                <w:rFonts w:ascii="Times New Roman" w:hAnsi="Times New Roman"/>
                <w:b w:val="0"/>
                <w:i w:val="0"/>
                <w:color w:val="1A1A1A"/>
                <w:sz w:val="22"/>
              </w:rPr>
              <w:t>OOH</w:t>
            </w:r>
          </w:p>
        </w:tc>
        <w:tc>
          <w:tcPr>
            <w:tcW w:type="dxa" w:w="7370"/>
          </w:tcPr>
          <w:p>
            <w:pPr>
              <w:jc w:val="center"/>
            </w:pPr>
            <w:r/>
            <w:r>
              <w:rPr>
                <w:rFonts w:ascii="Times New Roman" w:hAnsi="Times New Roman"/>
                <w:b w:val="0"/>
                <w:i w:val="0"/>
                <w:color w:val="1A1A1A"/>
                <w:sz w:val="22"/>
              </w:rPr>
              <w:t>Out Of Home (affichage exterieur)</w:t>
            </w:r>
          </w:p>
        </w:tc>
      </w:tr>
      <w:tr>
        <w:tc>
          <w:tcPr>
            <w:tcW w:type="dxa" w:w="1701"/>
          </w:tcPr>
          <w:p>
            <w:pPr>
              <w:jc w:val="left"/>
            </w:pPr>
            <w:r/>
            <w:r>
              <w:rPr>
                <w:rFonts w:ascii="Times New Roman" w:hAnsi="Times New Roman"/>
                <w:b w:val="0"/>
                <w:i w:val="0"/>
                <w:color w:val="1A1A1A"/>
                <w:sz w:val="22"/>
              </w:rPr>
              <w:t>B2C</w:t>
            </w:r>
          </w:p>
        </w:tc>
        <w:tc>
          <w:tcPr>
            <w:tcW w:type="dxa" w:w="7370"/>
          </w:tcPr>
          <w:p>
            <w:pPr>
              <w:jc w:val="center"/>
            </w:pPr>
            <w:r/>
            <w:r>
              <w:rPr>
                <w:rFonts w:ascii="Times New Roman" w:hAnsi="Times New Roman"/>
                <w:b w:val="0"/>
                <w:i w:val="0"/>
                <w:color w:val="1A1A1A"/>
                <w:sz w:val="22"/>
              </w:rPr>
              <w:t>Business to Consumer</w:t>
            </w:r>
          </w:p>
        </w:tc>
      </w:tr>
      <w:tr>
        <w:tc>
          <w:tcPr>
            <w:tcW w:type="dxa" w:w="1701"/>
          </w:tcPr>
          <w:p>
            <w:pPr>
              <w:jc w:val="left"/>
            </w:pPr>
            <w:r/>
            <w:r>
              <w:rPr>
                <w:rFonts w:ascii="Times New Roman" w:hAnsi="Times New Roman"/>
                <w:b w:val="0"/>
                <w:i w:val="0"/>
                <w:color w:val="1A1A1A"/>
                <w:sz w:val="22"/>
              </w:rPr>
              <w:t>UGC</w:t>
            </w:r>
          </w:p>
        </w:tc>
        <w:tc>
          <w:tcPr>
            <w:tcW w:type="dxa" w:w="7370"/>
          </w:tcPr>
          <w:p>
            <w:pPr>
              <w:jc w:val="center"/>
            </w:pPr>
            <w:r/>
            <w:r>
              <w:rPr>
                <w:rFonts w:ascii="Times New Roman" w:hAnsi="Times New Roman"/>
                <w:b w:val="0"/>
                <w:i w:val="0"/>
                <w:color w:val="1A1A1A"/>
                <w:sz w:val="22"/>
              </w:rPr>
              <w:t>User Generated Content (contenu genere par les utilisateurs)</w:t>
            </w:r>
          </w:p>
        </w:tc>
      </w:tr>
      <w:tr>
        <w:tc>
          <w:tcPr>
            <w:tcW w:type="dxa" w:w="1701"/>
          </w:tcPr>
          <w:p>
            <w:pPr>
              <w:jc w:val="left"/>
            </w:pPr>
            <w:r/>
            <w:r>
              <w:rPr>
                <w:rFonts w:ascii="Times New Roman" w:hAnsi="Times New Roman"/>
                <w:b w:val="0"/>
                <w:i w:val="0"/>
                <w:color w:val="1A1A1A"/>
                <w:sz w:val="22"/>
              </w:rPr>
              <w:t>ENCG</w:t>
            </w:r>
          </w:p>
        </w:tc>
        <w:tc>
          <w:tcPr>
            <w:tcW w:type="dxa" w:w="7370"/>
          </w:tcPr>
          <w:p>
            <w:pPr>
              <w:jc w:val="center"/>
            </w:pPr>
            <w:r/>
            <w:r>
              <w:rPr>
                <w:rFonts w:ascii="Times New Roman" w:hAnsi="Times New Roman"/>
                <w:b w:val="0"/>
                <w:i w:val="0"/>
                <w:color w:val="1A1A1A"/>
                <w:sz w:val="22"/>
              </w:rPr>
              <w:t>Ecole Nationale de Commerce et de Gestion</w:t>
            </w:r>
          </w:p>
        </w:tc>
      </w:tr>
      <w:tr>
        <w:tc>
          <w:tcPr>
            <w:tcW w:type="dxa" w:w="1701"/>
          </w:tcPr>
          <w:p>
            <w:pPr>
              <w:jc w:val="left"/>
            </w:pPr>
            <w:r/>
            <w:r>
              <w:rPr>
                <w:rFonts w:ascii="Times New Roman" w:hAnsi="Times New Roman"/>
                <w:b w:val="0"/>
                <w:i w:val="0"/>
                <w:color w:val="1A1A1A"/>
                <w:sz w:val="22"/>
              </w:rPr>
              <w:t>PFE</w:t>
            </w:r>
          </w:p>
        </w:tc>
        <w:tc>
          <w:tcPr>
            <w:tcW w:type="dxa" w:w="7370"/>
          </w:tcPr>
          <w:p>
            <w:pPr>
              <w:jc w:val="center"/>
            </w:pPr>
            <w:r/>
            <w:r>
              <w:rPr>
                <w:rFonts w:ascii="Times New Roman" w:hAnsi="Times New Roman"/>
                <w:b w:val="0"/>
                <w:i w:val="0"/>
                <w:color w:val="1A1A1A"/>
                <w:sz w:val="22"/>
              </w:rPr>
              <w:t>Projet de Fin d'Etudes</w:t>
            </w:r>
          </w:p>
        </w:tc>
      </w:tr>
    </w:tbl>
    <w:p>
      <w:pPr>
        <w:spacing w:after="80"/>
      </w:pPr>
    </w:p>
    <w:p>
      <w:r>
        <w:br w:type="page"/>
      </w:r>
    </w:p>
    <w:p>
      <w:pPr>
        <w:spacing w:before="120" w:after="280"/>
        <w:jc w:val="left"/>
        <w:pBdr>
          <w:bottom w:val="single" w:sz="6" w:space="6" w:color="1F4E79"/>
        </w:pBdr>
      </w:pPr>
      <w:r>
        <w:rPr>
          <w:rFonts w:ascii="Times New Roman" w:hAnsi="Times New Roman"/>
          <w:b/>
          <w:i w:val="0"/>
          <w:color w:val="1F4E79"/>
          <w:sz w:val="36"/>
        </w:rPr>
        <w:t>Sommaire</w:t>
      </w:r>
    </w:p>
    <w:p>
      <w:pPr>
        <w:spacing w:after="100"/>
      </w:pPr>
      <w:r>
        <w:rPr>
          <w:rFonts w:ascii="Times New Roman" w:hAnsi="Times New Roman"/>
          <w:b w:val="0"/>
          <w:i w:val="0"/>
          <w:color w:val="1A1A1A"/>
          <w:sz w:val="24"/>
        </w:rPr>
        <w:t>Remerciements</w:t>
      </w:r>
    </w:p>
    <w:p>
      <w:pPr>
        <w:spacing w:after="100"/>
      </w:pPr>
      <w:r>
        <w:rPr>
          <w:rFonts w:ascii="Times New Roman" w:hAnsi="Times New Roman"/>
          <w:b w:val="0"/>
          <w:i w:val="0"/>
          <w:color w:val="1A1A1A"/>
          <w:sz w:val="24"/>
        </w:rPr>
        <w:t>Resume / Abstract</w:t>
      </w:r>
    </w:p>
    <w:p>
      <w:pPr>
        <w:spacing w:after="100"/>
      </w:pPr>
      <w:r>
        <w:rPr>
          <w:rFonts w:ascii="Times New Roman" w:hAnsi="Times New Roman"/>
          <w:b w:val="0"/>
          <w:i w:val="0"/>
          <w:color w:val="1A1A1A"/>
          <w:sz w:val="24"/>
        </w:rPr>
        <w:t>Liste des abreviations</w:t>
      </w:r>
    </w:p>
    <w:p>
      <w:pPr>
        <w:spacing w:after="100"/>
      </w:pPr>
      <w:r>
        <w:rPr>
          <w:rFonts w:ascii="Times New Roman" w:hAnsi="Times New Roman"/>
          <w:b w:val="0"/>
          <w:i w:val="0"/>
          <w:color w:val="1A1A1A"/>
          <w:sz w:val="24"/>
        </w:rPr>
        <w:t>Introduction generale</w:t>
      </w:r>
    </w:p>
    <w:p>
      <w:pPr>
        <w:spacing w:after="100"/>
      </w:pPr>
      <w:r>
        <w:rPr>
          <w:rFonts w:ascii="Times New Roman" w:hAnsi="Times New Roman"/>
          <w:b/>
          <w:i w:val="0"/>
          <w:color w:val="1F4E79"/>
          <w:sz w:val="24"/>
        </w:rPr>
        <w:t>PARTIE 1 - CADRE THEORIQUE ET CONCEPTUEL</w:t>
      </w:r>
    </w:p>
    <w:p>
      <w:pPr>
        <w:spacing w:after="100"/>
      </w:pPr>
      <w:r>
        <w:rPr>
          <w:rFonts w:ascii="Times New Roman" w:hAnsi="Times New Roman"/>
          <w:b w:val="0"/>
          <w:i w:val="0"/>
          <w:color w:val="1A1A1A"/>
          <w:sz w:val="24"/>
        </w:rPr>
        <w:t xml:space="preserve">   Chapitre 1 - Le marketing digital a l'ere de l'intelligence artificielle</w:t>
      </w:r>
    </w:p>
    <w:p>
      <w:pPr>
        <w:spacing w:after="100"/>
      </w:pPr>
      <w:r>
        <w:rPr>
          <w:rFonts w:ascii="Times New Roman" w:hAnsi="Times New Roman"/>
          <w:b w:val="0"/>
          <w:i w:val="0"/>
          <w:color w:val="1A1A1A"/>
          <w:sz w:val="24"/>
        </w:rPr>
        <w:t xml:space="preserve">   Chapitre 2 - L'IA au service du ciblage publicitaire</w:t>
      </w:r>
    </w:p>
    <w:p>
      <w:pPr>
        <w:spacing w:after="100"/>
      </w:pPr>
      <w:r>
        <w:rPr>
          <w:rFonts w:ascii="Times New Roman" w:hAnsi="Times New Roman"/>
          <w:b w:val="0"/>
          <w:i w:val="0"/>
          <w:color w:val="1A1A1A"/>
          <w:sz w:val="24"/>
        </w:rPr>
        <w:t xml:space="preserve">   Chapitre 3 - L'IA et la generation de contenu publicitaire</w:t>
      </w:r>
    </w:p>
    <w:p>
      <w:pPr>
        <w:spacing w:after="100"/>
      </w:pPr>
      <w:r>
        <w:rPr>
          <w:rFonts w:ascii="Times New Roman" w:hAnsi="Times New Roman"/>
          <w:b/>
          <w:i w:val="0"/>
          <w:color w:val="1F4E79"/>
          <w:sz w:val="24"/>
        </w:rPr>
        <w:t>PARTIE 2 - ETUDE EMPIRIQUE ET APPLICATION PRATIQUE</w:t>
      </w:r>
    </w:p>
    <w:p>
      <w:pPr>
        <w:spacing w:after="100"/>
      </w:pPr>
      <w:r>
        <w:rPr>
          <w:rFonts w:ascii="Times New Roman" w:hAnsi="Times New Roman"/>
          <w:b w:val="0"/>
          <w:i w:val="0"/>
          <w:color w:val="1A1A1A"/>
          <w:sz w:val="24"/>
        </w:rPr>
        <w:t xml:space="preserve">   Chapitre 4 - Methodologie de recherche</w:t>
      </w:r>
    </w:p>
    <w:p>
      <w:pPr>
        <w:spacing w:after="100"/>
      </w:pPr>
      <w:r>
        <w:rPr>
          <w:rFonts w:ascii="Times New Roman" w:hAnsi="Times New Roman"/>
          <w:b w:val="0"/>
          <w:i w:val="0"/>
          <w:color w:val="1A1A1A"/>
          <w:sz w:val="24"/>
        </w:rPr>
        <w:t xml:space="preserve">   Chapitre 5 - Resultats et analyse</w:t>
      </w:r>
    </w:p>
    <w:p>
      <w:pPr>
        <w:spacing w:after="100"/>
      </w:pPr>
      <w:r>
        <w:rPr>
          <w:rFonts w:ascii="Times New Roman" w:hAnsi="Times New Roman"/>
          <w:b w:val="0"/>
          <w:i w:val="0"/>
          <w:color w:val="1A1A1A"/>
          <w:sz w:val="24"/>
        </w:rPr>
        <w:t xml:space="preserve">   Chapitre 6 - Campagne Varcadia : demonstration appliquee</w:t>
      </w:r>
    </w:p>
    <w:p>
      <w:pPr>
        <w:spacing w:after="100"/>
      </w:pPr>
      <w:r>
        <w:rPr>
          <w:rFonts w:ascii="Times New Roman" w:hAnsi="Times New Roman"/>
          <w:b w:val="0"/>
          <w:i w:val="0"/>
          <w:color w:val="1A1A1A"/>
          <w:sz w:val="24"/>
        </w:rPr>
        <w:t>Conclusion generale et recommandations</w:t>
      </w:r>
    </w:p>
    <w:p>
      <w:pPr>
        <w:spacing w:after="100"/>
      </w:pPr>
      <w:r>
        <w:rPr>
          <w:rFonts w:ascii="Times New Roman" w:hAnsi="Times New Roman"/>
          <w:b w:val="0"/>
          <w:i w:val="0"/>
          <w:color w:val="1A1A1A"/>
          <w:sz w:val="24"/>
        </w:rPr>
        <w:t>Bibliographie</w:t>
      </w:r>
    </w:p>
    <w:p>
      <w:pPr>
        <w:spacing w:after="100"/>
      </w:pPr>
      <w:r>
        <w:rPr>
          <w:rFonts w:ascii="Times New Roman" w:hAnsi="Times New Roman"/>
          <w:b w:val="0"/>
          <w:i w:val="0"/>
          <w:color w:val="1A1A1A"/>
          <w:sz w:val="24"/>
        </w:rPr>
        <w:t>Annexes</w:t>
      </w:r>
    </w:p>
    <w:p>
      <w:r>
        <w:br w:type="page"/>
      </w:r>
    </w:p>
    <w:p>
      <w:pPr>
        <w:spacing w:before="120" w:after="280"/>
        <w:jc w:val="left"/>
        <w:pBdr>
          <w:bottom w:val="single" w:sz="6" w:space="6" w:color="1F4E79"/>
        </w:pBdr>
      </w:pPr>
      <w:r>
        <w:rPr>
          <w:rFonts w:ascii="Times New Roman" w:hAnsi="Times New Roman"/>
          <w:b/>
          <w:i w:val="0"/>
          <w:color w:val="1F4E79"/>
          <w:sz w:val="36"/>
        </w:rPr>
        <w:t>Introduction generale</w:t>
      </w:r>
    </w:p>
    <w:p>
      <w:pPr>
        <w:spacing w:before="240" w:after="120"/>
      </w:pPr>
      <w:r>
        <w:rPr>
          <w:rFonts w:ascii="Times New Roman" w:hAnsi="Times New Roman"/>
          <w:b/>
          <w:i w:val="0"/>
          <w:color w:val="1F4E79"/>
          <w:sz w:val="28"/>
        </w:rPr>
        <w:t>Contexte et interet du sujet</w:t>
      </w:r>
    </w:p>
    <w:p>
      <w:pPr>
        <w:spacing w:after="120"/>
        <w:jc w:val="both"/>
      </w:pPr>
      <w:r>
        <w:rPr>
          <w:rFonts w:ascii="Times New Roman" w:hAnsi="Times New Roman"/>
          <w:b w:val="0"/>
          <w:i w:val="0"/>
          <w:color w:val="1A1A1A"/>
          <w:sz w:val="24"/>
        </w:rPr>
        <w:t>Le marketing digital est aujourd'hui l'un des secteurs professionnels les plus rapidement transformes par l'intelligence artificielle. La capacite des algorithmes a traiter des volumes massifs de donnees, a predire des comportements d'achat et a generer des contenus visuels ou redactionnels de haute qualite a redessine, en quelques annees seulement, les pratiques des agences et des annonceurs. Ce qui relevait hier de la prospective releve aujourd'hui du quotidien operationnel des equipes marketing, y compris dans les structures de taille modeste.</w:t>
      </w:r>
    </w:p>
    <w:p>
      <w:pPr>
        <w:spacing w:after="120"/>
        <w:jc w:val="both"/>
      </w:pPr>
      <w:r>
        <w:rPr>
          <w:rFonts w:ascii="Times New Roman" w:hAnsi="Times New Roman"/>
          <w:b w:val="0"/>
          <w:i w:val="0"/>
          <w:color w:val="1A1A1A"/>
          <w:sz w:val="24"/>
        </w:rPr>
        <w:t>Ce sujet presente un double interet. D'un point de vue academique, il s'inscrit au carrefour de deux domaines en pleine effervescence : le marketing digital et l'intelligence artificielle, offrant ainsi un terrain d'analyse particulierement fertile pour un travail de fin d'etudes en marketing. La litterature scientifique sur l'IA appliquee au marketing connait une croissance exponentielle, mais les etudes ancrees dans le contexte marocain et fondees sur des cas reels demeurent rares, ce qui confere a ce travail une valeur exploratoire.</w:t>
      </w:r>
    </w:p>
    <w:p>
      <w:pPr>
        <w:spacing w:after="120"/>
        <w:jc w:val="both"/>
      </w:pPr>
      <w:r>
        <w:rPr>
          <w:rFonts w:ascii="Times New Roman" w:hAnsi="Times New Roman"/>
          <w:b w:val="0"/>
          <w:i w:val="0"/>
          <w:color w:val="1A1A1A"/>
          <w:sz w:val="24"/>
        </w:rPr>
        <w:t>D'un point de vue professionnel, la maitrise des outils d'IA generative et des plateformes publicitaires pilotees par algorithme constitue desormais une competence differenciante sur le marche du travail, y compris au Maroc. Les annonceurs attendent de leurs prestataires une capacite a produire vite, bien et a moindre cout ; l'IA devient l'instrument central de cette promesse. Documenter, depuis l'interieur d'une agence, la maniere dont ces outils sont reellement mobilises repond donc a un besoin concret du secteur.</w:t>
      </w:r>
    </w:p>
    <w:p>
      <w:pPr>
        <w:spacing w:before="240" w:after="120"/>
      </w:pPr>
      <w:r>
        <w:rPr>
          <w:rFonts w:ascii="Times New Roman" w:hAnsi="Times New Roman"/>
          <w:b/>
          <w:i w:val="0"/>
          <w:color w:val="1F4E79"/>
          <w:sz w:val="28"/>
        </w:rPr>
        <w:t>Problematique</w:t>
      </w:r>
    </w:p>
    <w:p>
      <w:pPr>
        <w:spacing w:after="120"/>
        <w:jc w:val="both"/>
      </w:pPr>
      <w:r>
        <w:rPr>
          <w:rFonts w:ascii="Times New Roman" w:hAnsi="Times New Roman"/>
          <w:b w:val="0"/>
          <w:i w:val="0"/>
          <w:color w:val="1A1A1A"/>
          <w:sz w:val="24"/>
        </w:rPr>
        <w:t>Dans un environnement numerique caracterise par une concurrence croissante pour l'attention du consommateur et une explosion du volume de contenus disponibles, les approches marketing traditionnelles montrent leurs limites. Les marques cherchent des leviers plus efficaces, plus rapides et moins couteux pour atteindre leurs cibles et mesurer l'impact de leurs actions. La saturation publicitaire, la fragmentation des audiences et la montee des exigences de personnalisation rendent les methodes anciennes de moins en moins rentables.</w:t>
      </w:r>
    </w:p>
    <w:p>
      <w:pPr>
        <w:spacing w:after="120"/>
        <w:jc w:val="both"/>
      </w:pPr>
      <w:r>
        <w:rPr>
          <w:rFonts w:ascii="Times New Roman" w:hAnsi="Times New Roman"/>
          <w:b w:val="0"/>
          <w:i w:val="0"/>
          <w:color w:val="1A1A1A"/>
          <w:sz w:val="24"/>
        </w:rPr>
        <w:t>C'est dans ce contexte que nous posons la problematique centrale de ce travail :</w:t>
      </w:r>
    </w:p>
    <w:p>
      <w:pPr>
        <w:spacing w:before="120" w:after="120"/>
        <w:ind w:left="567" w:right="567"/>
        <w:jc w:val="center"/>
      </w:pPr>
      <w:r>
        <w:rPr>
          <w:rFonts w:ascii="Times New Roman" w:hAnsi="Times New Roman"/>
          <w:b/>
          <w:i/>
          <w:color w:val="1F4E79"/>
          <w:sz w:val="25"/>
        </w:rPr>
        <w:t>Dans quelle mesure l'intelligence artificielle ameliore-t-elle l'efficacite des strategies de marketing digital, notamment a travers l'optimisation du ciblage et la personnalisation du contenu publicitaire ?</w:t>
      </w:r>
    </w:p>
    <w:p>
      <w:pPr>
        <w:spacing w:after="120"/>
        <w:jc w:val="both"/>
      </w:pPr>
      <w:r>
        <w:rPr>
          <w:rFonts w:ascii="Times New Roman" w:hAnsi="Times New Roman"/>
          <w:b w:val="0"/>
          <w:i w:val="0"/>
          <w:color w:val="1A1A1A"/>
          <w:sz w:val="24"/>
        </w:rPr>
        <w:t>Cette problematique nous amene a formuler trois hypotheses de travail, qui guideront l'ensemble de notre demarche empirique :</w:t>
      </w:r>
    </w:p>
    <w:p>
      <w:pPr>
        <w:pStyle w:val="ListBullet"/>
        <w:spacing w:after="60"/>
        <w:jc w:val="both"/>
      </w:pPr>
      <w:r>
        <w:rPr>
          <w:rFonts w:ascii="Times New Roman" w:hAnsi="Times New Roman"/>
          <w:b/>
          <w:i w:val="0"/>
          <w:color w:val="1A1A1A"/>
          <w:sz w:val="23"/>
        </w:rPr>
        <w:t>H1 :</w:t>
      </w:r>
      <w:r>
        <w:rPr>
          <w:rFonts w:ascii="Times New Roman" w:hAnsi="Times New Roman"/>
          <w:b w:val="0"/>
          <w:i w:val="0"/>
          <w:color w:val="1A1A1A"/>
          <w:sz w:val="23"/>
        </w:rPr>
        <w:t xml:space="preserve"> l'utilisation de l'IA dans le ciblage publicitaire ameliore significativement le taux de conversion des campagnes.</w:t>
      </w:r>
    </w:p>
    <w:p>
      <w:pPr>
        <w:pStyle w:val="ListBullet"/>
        <w:spacing w:after="60"/>
        <w:jc w:val="both"/>
      </w:pPr>
      <w:r>
        <w:rPr>
          <w:rFonts w:ascii="Times New Roman" w:hAnsi="Times New Roman"/>
          <w:b/>
          <w:i w:val="0"/>
          <w:color w:val="1A1A1A"/>
          <w:sz w:val="23"/>
        </w:rPr>
        <w:t>H2 :</w:t>
      </w:r>
      <w:r>
        <w:rPr>
          <w:rFonts w:ascii="Times New Roman" w:hAnsi="Times New Roman"/>
          <w:b w:val="0"/>
          <w:i w:val="0"/>
          <w:color w:val="1A1A1A"/>
          <w:sz w:val="23"/>
        </w:rPr>
        <w:t xml:space="preserve"> le contenu genere par IA atteint un niveau de qualite et d'engagement comparable a celui produit par des equipes creatives humaines, des lors qu'il est supervise.</w:t>
      </w:r>
    </w:p>
    <w:p>
      <w:pPr>
        <w:pStyle w:val="ListBullet"/>
        <w:spacing w:after="60"/>
        <w:jc w:val="both"/>
      </w:pPr>
      <w:r>
        <w:rPr>
          <w:rFonts w:ascii="Times New Roman" w:hAnsi="Times New Roman"/>
          <w:b/>
          <w:i w:val="0"/>
          <w:color w:val="1A1A1A"/>
          <w:sz w:val="23"/>
        </w:rPr>
        <w:t>H3 :</w:t>
      </w:r>
      <w:r>
        <w:rPr>
          <w:rFonts w:ascii="Times New Roman" w:hAnsi="Times New Roman"/>
          <w:b w:val="0"/>
          <w:i w:val="0"/>
          <w:color w:val="1A1A1A"/>
          <w:sz w:val="23"/>
        </w:rPr>
        <w:t xml:space="preserve"> les entreprises integrant l'IA dans leur strategie marketing acquierent un avantage concurrentiel mesurable sur leurs concurrents.</w:t>
      </w:r>
    </w:p>
    <w:p>
      <w:pPr>
        <w:spacing w:before="240" w:after="120"/>
      </w:pPr>
      <w:r>
        <w:rPr>
          <w:rFonts w:ascii="Times New Roman" w:hAnsi="Times New Roman"/>
          <w:b/>
          <w:i w:val="0"/>
          <w:color w:val="1F4E79"/>
          <w:sz w:val="28"/>
        </w:rPr>
        <w:t>Objectifs du travail</w:t>
      </w:r>
    </w:p>
    <w:p>
      <w:pPr>
        <w:spacing w:after="120"/>
        <w:jc w:val="both"/>
      </w:pPr>
      <w:r>
        <w:rPr>
          <w:rFonts w:ascii="Times New Roman" w:hAnsi="Times New Roman"/>
          <w:b w:val="0"/>
          <w:i w:val="0"/>
          <w:color w:val="1A1A1A"/>
          <w:sz w:val="24"/>
        </w:rPr>
        <w:t>Ce rapport poursuit trois objectifs complementaires. Il vise d'abord a dresser un etat de l'art rigoureux des outils et techniques d'IA appliques au marketing digital, en s'appuyant sur la litterature academique et sur les pratiques professionnelles observees sur le terrain. Il cherche ensuite a evaluer, de maniere empirique, l'impact reel de ces outils sur les performances des campagnes menees dans le contexte marocain. Il ambitionne enfin de documenter, a travers le cas Varcadia, les conditions de succes d'une campagne de lancement entierement pilotee par IA generative, afin d'en tirer des enseignements transferables a d'autres projets.</w:t>
      </w:r>
    </w:p>
    <w:p>
      <w:pPr>
        <w:spacing w:before="240" w:after="120"/>
      </w:pPr>
      <w:r>
        <w:rPr>
          <w:rFonts w:ascii="Times New Roman" w:hAnsi="Times New Roman"/>
          <w:b/>
          <w:i w:val="0"/>
          <w:color w:val="1F4E79"/>
          <w:sz w:val="28"/>
        </w:rPr>
        <w:t>Methodologie</w:t>
      </w:r>
    </w:p>
    <w:p>
      <w:pPr>
        <w:spacing w:after="120"/>
        <w:jc w:val="both"/>
      </w:pPr>
      <w:r>
        <w:rPr>
          <w:rFonts w:ascii="Times New Roman" w:hAnsi="Times New Roman"/>
          <w:b w:val="0"/>
          <w:i w:val="0"/>
          <w:color w:val="1A1A1A"/>
          <w:sz w:val="24"/>
        </w:rPr>
        <w:t>Pour repondre a notre problematique, nous avons adopte une demarche methodologique mixte, combinant une approche quantitative et une approche qualitative. L'approche quantitative s'est appuyee sur un questionnaire administre aupres de professionnels du marketing digital au Maroc, afin de mesurer les niveaux d'adoption de l'IA et les performances percues. L'approche qualitative a repose sur des entretiens semi-directifs menes aupres de decideurs marketing et sur l'analyse detaillee de la campagne Varcadia, conduite par les agences Widma Digitale et Volcano Vision.</w:t>
      </w:r>
    </w:p>
    <w:p>
      <w:pPr>
        <w:spacing w:after="120"/>
        <w:jc w:val="both"/>
      </w:pPr>
      <w:r>
        <w:rPr>
          <w:rFonts w:ascii="Times New Roman" w:hAnsi="Times New Roman"/>
          <w:b w:val="0"/>
          <w:i w:val="0"/>
          <w:color w:val="1A1A1A"/>
          <w:sz w:val="24"/>
        </w:rPr>
        <w:t>Les donnees collectees ont ete traitees a l'aide du logiciel SPSS pour les analyses statistiques, et par analyse de contenu thematique pour les donnees qualitatives. Les indicateurs de performance de la campagne Varcadia (nombre de vues, taux d'engagement, cout par vue, affluence a l'ouverture) ont constitue notre principal terrain de validation empirique.</w:t>
      </w:r>
    </w:p>
    <w:p>
      <w:pPr>
        <w:spacing w:before="240" w:after="120"/>
      </w:pPr>
      <w:r>
        <w:rPr>
          <w:rFonts w:ascii="Times New Roman" w:hAnsi="Times New Roman"/>
          <w:b/>
          <w:i w:val="0"/>
          <w:color w:val="1F4E79"/>
          <w:sz w:val="28"/>
        </w:rPr>
        <w:t>Plan du travail</w:t>
      </w:r>
    </w:p>
    <w:p>
      <w:pPr>
        <w:spacing w:after="120"/>
        <w:jc w:val="both"/>
      </w:pPr>
      <w:r>
        <w:rPr>
          <w:rFonts w:ascii="Times New Roman" w:hAnsi="Times New Roman"/>
          <w:b w:val="0"/>
          <w:i w:val="0"/>
          <w:color w:val="1A1A1A"/>
          <w:sz w:val="24"/>
        </w:rPr>
        <w:t>Ce rapport est structure en deux parties principales. La premiere partie, theorique et conceptuelle, presente en trois chapitres le cadre de reference dans lequel s'inscrit notre reflexion : l'evolution du marketing digital vers une logique data-driven, l'apport de l'IA dans l'optimisation du ciblage publicitaire, et les nouvelles capacites de generation de contenu offertes par l'IA generative. La seconde partie, empirique et pratique, expose notre methodologie de recherche, les resultats de notre enquete terrain, et la description detaillee de la campagne Varcadia comme validation concrete de nos hypotheses de travail.</w:t>
      </w:r>
    </w:p>
    <w:p>
      <w:r>
        <w:br w:type="page"/>
      </w:r>
    </w:p>
    <w:p>
      <w:pPr>
        <w:spacing w:before="120" w:after="280"/>
        <w:jc w:val="left"/>
        <w:pBdr>
          <w:bottom w:val="single" w:sz="6" w:space="6" w:color="1F4E79"/>
        </w:pBdr>
      </w:pPr>
      <w:r>
        <w:rPr>
          <w:rFonts w:ascii="Times New Roman" w:hAnsi="Times New Roman"/>
          <w:b/>
          <w:i w:val="0"/>
          <w:color w:val="1F4E79"/>
          <w:sz w:val="36"/>
        </w:rPr>
        <w:t>Presentation des Structures d'Accueil</w:t>
      </w:r>
    </w:p>
    <w:p>
      <w:pPr>
        <w:spacing w:after="120"/>
        <w:jc w:val="both"/>
      </w:pPr>
      <w:r>
        <w:rPr>
          <w:rFonts w:ascii="Times New Roman" w:hAnsi="Times New Roman"/>
          <w:b w:val="0"/>
          <w:i w:val="0"/>
          <w:color w:val="1A1A1A"/>
          <w:sz w:val="24"/>
        </w:rPr>
        <w:t>Ce stage de fin d'etudes presente une particularite : il a ete realise dans le cadre d'une collaboration entre deux structures, l'agence 360 Widma Digitale, structure d'accueil principale, et Volcano Vision, agence de communication fondee par l'auteur durant son parcours universitaire. Cette double appartenance a constitue un atout determinant pour mener le projet Varcadia de bout en bout.</w:t>
      </w:r>
    </w:p>
    <w:p>
      <w:pPr>
        <w:spacing w:before="240" w:after="120"/>
      </w:pPr>
      <w:r>
        <w:rPr>
          <w:rFonts w:ascii="Times New Roman" w:hAnsi="Times New Roman"/>
          <w:b/>
          <w:i w:val="0"/>
          <w:color w:val="1F4E79"/>
          <w:sz w:val="28"/>
        </w:rPr>
        <w:t>1.  L'agence 360 Widma Digitale</w:t>
      </w:r>
    </w:p>
    <w:p>
      <w:pPr>
        <w:spacing w:after="120"/>
        <w:jc w:val="both"/>
      </w:pPr>
      <w:r>
        <w:rPr>
          <w:rFonts w:ascii="Times New Roman" w:hAnsi="Times New Roman"/>
          <w:b w:val="0"/>
          <w:i w:val="0"/>
          <w:color w:val="1A1A1A"/>
          <w:sz w:val="24"/>
        </w:rPr>
        <w:t>Widma Digitale est une agence de communication dite &lt;&lt; 360 &gt;&gt;, ce qui signifie qu'elle couvre l'ensemble des leviers de communication d'une marque : strategie, creation, production de contenu, community management, achat media et pilotage de campagnes publicitaires digitales. Son positionnement repose sur la capacite a accompagner ses clients sur toute la chaine de valeur, de la reflexion strategique jusqu'a l'execution operationnelle et la mesure des resultats.</w:t>
      </w:r>
    </w:p>
    <w:p>
      <w:pPr>
        <w:spacing w:after="120"/>
        <w:jc w:val="both"/>
      </w:pPr>
      <w:r>
        <w:rPr>
          <w:rFonts w:ascii="Times New Roman" w:hAnsi="Times New Roman"/>
          <w:b w:val="0"/>
          <w:i w:val="0"/>
          <w:color w:val="1A1A1A"/>
          <w:sz w:val="24"/>
        </w:rPr>
        <w:t>L'agence intervient pour une clientele variee, composee d'entreprises locales et de marques cherchant a renforcer leur presence numerique. Son organisation, structuree autour de poles complementaires (strategie, creation, media), favorise une approche integree des projets, dans laquelle chaque campagne beneficie a la fois d'une vision strategique et d'une execution creative maitrisee.</w:t>
      </w:r>
    </w:p>
    <w:p>
      <w:pPr>
        <w:spacing w:before="240" w:after="120"/>
      </w:pPr>
      <w:r>
        <w:rPr>
          <w:rFonts w:ascii="Times New Roman" w:hAnsi="Times New Roman"/>
          <w:b/>
          <w:i w:val="0"/>
          <w:color w:val="1F4E79"/>
          <w:sz w:val="28"/>
        </w:rPr>
        <w:t>2.  Volcano Vision</w:t>
      </w:r>
    </w:p>
    <w:p>
      <w:pPr>
        <w:spacing w:after="120"/>
        <w:jc w:val="both"/>
      </w:pPr>
      <w:r>
        <w:rPr>
          <w:rFonts w:ascii="Times New Roman" w:hAnsi="Times New Roman"/>
          <w:b w:val="0"/>
          <w:i w:val="0"/>
          <w:color w:val="1A1A1A"/>
          <w:sz w:val="24"/>
        </w:rPr>
        <w:t>Volcano Vision est une agence de communication fondee par l'auteur de ce rapport durant ses etudes a l'ENCG. Specialisee dans la production de contenu et l'exploitation des outils d'IA generative, elle s'est positionnee sur un creneau encore peu occupe au Maroc : la creation de contenus video de haute qualite a cout maitrise, grace a une maitrise avancee d'outils tels que Kling AI et Nano Banana Pro. Cette experience entrepreneuriale, menee en parallele du cursus universitaire, a constitue un laboratoire d'apprentissage direct des problematiques abordees dans ce memoire.</w:t>
      </w:r>
    </w:p>
    <w:p>
      <w:pPr>
        <w:spacing w:after="120"/>
        <w:jc w:val="both"/>
      </w:pPr>
      <w:r>
        <w:rPr>
          <w:rFonts w:ascii="Times New Roman" w:hAnsi="Times New Roman"/>
          <w:b w:val="0"/>
          <w:i w:val="0"/>
          <w:color w:val="1A1A1A"/>
          <w:sz w:val="24"/>
        </w:rPr>
        <w:t>Diriger une structure entrepreneuriale tout en poursuivant ses etudes a represente un defi exigeant, mais formateur : il a fallu apprendre a gerer la relation client, a respecter des delais de production, a piloter une petite equipe et a assumer la responsabilite finale de la qualite des livrables. Ces competences se sont revelees directement utiles dans la conduite du projet Varcadia.</w:t>
      </w:r>
    </w:p>
    <w:p>
      <w:pPr>
        <w:spacing w:before="240" w:after="120"/>
      </w:pPr>
      <w:r>
        <w:rPr>
          <w:rFonts w:ascii="Times New Roman" w:hAnsi="Times New Roman"/>
          <w:b/>
          <w:i w:val="0"/>
          <w:color w:val="1F4E79"/>
          <w:sz w:val="28"/>
        </w:rPr>
        <w:t>3.  La collaboration Widma Digitale x Volcano Vision</w:t>
      </w:r>
    </w:p>
    <w:p>
      <w:pPr>
        <w:spacing w:after="120"/>
        <w:jc w:val="both"/>
      </w:pPr>
      <w:r>
        <w:rPr>
          <w:rFonts w:ascii="Times New Roman" w:hAnsi="Times New Roman"/>
          <w:b w:val="0"/>
          <w:i w:val="0"/>
          <w:color w:val="1A1A1A"/>
          <w:sz w:val="24"/>
        </w:rPr>
        <w:t>La collaboration entre les deux agences sur le projet Varcadia a repose sur une repartition claire des roles : Widma Digitale a apporte son expertise strategique, sa connaissance du marche et sa capacite media, tandis que Volcano Vision a pris en charge une part importante de la production de contenu, notamment la creation des sequences generees par IA. Cette complementarite illustre concretement la maniere dont la maitrise de l'IA generative peut devenir un avantage differenciant pour une jeune structure, en lui permettant de collaborer d'egal a egal avec une agence etablie.</w:t>
      </w:r>
    </w:p>
    <w:p>
      <w:pPr>
        <w:spacing w:before="240" w:after="120"/>
      </w:pPr>
      <w:r>
        <w:rPr>
          <w:rFonts w:ascii="Times New Roman" w:hAnsi="Times New Roman"/>
          <w:b/>
          <w:i w:val="0"/>
          <w:color w:val="1F4E79"/>
          <w:sz w:val="28"/>
        </w:rPr>
        <w:t>4.  Missions confiees durant le stage</w:t>
      </w:r>
    </w:p>
    <w:p>
      <w:pPr>
        <w:spacing w:after="120"/>
        <w:jc w:val="both"/>
      </w:pPr>
      <w:r>
        <w:rPr>
          <w:rFonts w:ascii="Times New Roman" w:hAnsi="Times New Roman"/>
          <w:b w:val="0"/>
          <w:i w:val="0"/>
          <w:color w:val="1A1A1A"/>
          <w:sz w:val="24"/>
        </w:rPr>
        <w:t>Au cours de ce stage, les principales missions confiees a l'auteur ont ete les suivantes :</w:t>
      </w:r>
    </w:p>
    <w:p>
      <w:pPr>
        <w:pStyle w:val="ListBullet"/>
        <w:spacing w:after="60"/>
        <w:jc w:val="both"/>
      </w:pPr>
      <w:r>
        <w:rPr>
          <w:rFonts w:ascii="Times New Roman" w:hAnsi="Times New Roman"/>
          <w:b w:val="0"/>
          <w:i w:val="0"/>
          <w:color w:val="1A1A1A"/>
          <w:sz w:val="23"/>
        </w:rPr>
        <w:t>Participer a l'elaboration de la strategie de lancement de Varcadia.</w:t>
      </w:r>
    </w:p>
    <w:p>
      <w:pPr>
        <w:pStyle w:val="ListBullet"/>
        <w:spacing w:after="60"/>
        <w:jc w:val="both"/>
      </w:pPr>
      <w:r>
        <w:rPr>
          <w:rFonts w:ascii="Times New Roman" w:hAnsi="Times New Roman"/>
          <w:b w:val="0"/>
          <w:i w:val="0"/>
          <w:color w:val="1A1A1A"/>
          <w:sz w:val="23"/>
        </w:rPr>
        <w:t>Concevoir et rediger les scenarios des deux videos de la campagne.</w:t>
      </w:r>
    </w:p>
    <w:p>
      <w:pPr>
        <w:pStyle w:val="ListBullet"/>
        <w:spacing w:after="60"/>
        <w:jc w:val="both"/>
      </w:pPr>
      <w:r>
        <w:rPr>
          <w:rFonts w:ascii="Times New Roman" w:hAnsi="Times New Roman"/>
          <w:b w:val="0"/>
          <w:i w:val="0"/>
          <w:color w:val="1A1A1A"/>
          <w:sz w:val="23"/>
        </w:rPr>
        <w:t>Produire les sequences generees par IA (Kling AI) et assurer le montage (Nano Banana Pro).</w:t>
      </w:r>
    </w:p>
    <w:p>
      <w:pPr>
        <w:pStyle w:val="ListBullet"/>
        <w:spacing w:after="60"/>
        <w:jc w:val="both"/>
      </w:pPr>
      <w:r>
        <w:rPr>
          <w:rFonts w:ascii="Times New Roman" w:hAnsi="Times New Roman"/>
          <w:b w:val="0"/>
          <w:i w:val="0"/>
          <w:color w:val="1A1A1A"/>
          <w:sz w:val="23"/>
        </w:rPr>
        <w:t>Contribuer au parametrage et au suivi des campagnes YouTube Ads et Meta Ads.</w:t>
      </w:r>
    </w:p>
    <w:p>
      <w:pPr>
        <w:pStyle w:val="ListBullet"/>
        <w:spacing w:after="60"/>
        <w:jc w:val="both"/>
      </w:pPr>
      <w:r>
        <w:rPr>
          <w:rFonts w:ascii="Times New Roman" w:hAnsi="Times New Roman"/>
          <w:b w:val="0"/>
          <w:i w:val="0"/>
          <w:color w:val="1A1A1A"/>
          <w:sz w:val="23"/>
        </w:rPr>
        <w:t>Assurer le suivi des indicateurs de performance et la production des bilans.</w:t>
      </w:r>
    </w:p>
    <w:p>
      <w:r>
        <w:br w:type="page"/>
      </w:r>
    </w:p>
    <w:p/>
    <w:p/>
    <w:p/>
    <w:p/>
    <w:p/>
    <w:p/>
    <w:p>
      <w:pPr>
        <w:jc w:val="center"/>
      </w:pPr>
      <w:r>
        <w:rPr>
          <w:rFonts w:ascii="Times New Roman" w:hAnsi="Times New Roman"/>
          <w:b/>
          <w:i w:val="0"/>
          <w:color w:val="1F4E79"/>
          <w:sz w:val="52"/>
        </w:rPr>
        <w:t>PARTIE 1</w:t>
      </w:r>
    </w:p>
    <w:p>
      <w:pPr>
        <w:jc w:val="center"/>
      </w:pPr>
      <w:r>
        <w:rPr>
          <w:rFonts w:ascii="Times New Roman" w:hAnsi="Times New Roman"/>
          <w:b w:val="0"/>
          <w:i/>
          <w:color w:val="2E75B6"/>
          <w:sz w:val="36"/>
        </w:rPr>
        <w:t>Cadre Theorique et Conceptuel</w:t>
      </w:r>
    </w:p>
    <w:p>
      <w:r>
        <w:br w:type="page"/>
      </w:r>
    </w:p>
    <w:p>
      <w:pPr>
        <w:spacing w:before="120" w:after="280"/>
        <w:jc w:val="left"/>
        <w:pBdr>
          <w:bottom w:val="single" w:sz="6" w:space="6" w:color="1F4E79"/>
        </w:pBdr>
      </w:pPr>
      <w:r>
        <w:rPr>
          <w:rFonts w:ascii="Times New Roman" w:hAnsi="Times New Roman"/>
          <w:b/>
          <w:i w:val="0"/>
          <w:color w:val="2E75B6"/>
          <w:sz w:val="26"/>
        </w:rPr>
        <w:t>Chapitre 1</w:t>
        <w:br/>
      </w:r>
      <w:r>
        <w:rPr>
          <w:rFonts w:ascii="Times New Roman" w:hAnsi="Times New Roman"/>
          <w:b/>
          <w:i w:val="0"/>
          <w:color w:val="1F4E79"/>
          <w:sz w:val="36"/>
        </w:rPr>
        <w:t>Le Marketing Digital a l'Ere de l'Intelligence Artificielle</w:t>
      </w:r>
    </w:p>
    <w:p>
      <w:pPr>
        <w:spacing w:before="240" w:after="120"/>
      </w:pPr>
      <w:r>
        <w:rPr>
          <w:rFonts w:ascii="Times New Roman" w:hAnsi="Times New Roman"/>
          <w:b/>
          <w:i w:val="0"/>
          <w:color w:val="1F4E79"/>
          <w:sz w:val="28"/>
        </w:rPr>
        <w:t>1.1  Evolution du marketing digital : du marketing traditionnel au marketing data-driven</w:t>
      </w:r>
    </w:p>
    <w:p>
      <w:pPr>
        <w:spacing w:after="120"/>
        <w:jc w:val="both"/>
      </w:pPr>
      <w:r>
        <w:rPr>
          <w:rFonts w:ascii="Times New Roman" w:hAnsi="Times New Roman"/>
          <w:b w:val="0"/>
          <w:i w:val="0"/>
          <w:color w:val="1A1A1A"/>
          <w:sz w:val="24"/>
        </w:rPr>
        <w:t>Le marketing a traverse, en l'espace de trois decennies, une mutation sans precedent dans son histoire. Les dispositifs classiques de communication commerciale, fondes sur des medias de masse tels que la television, la radio, la presse ecrite ou l'affichage publicitaire, reposaient sur une logique unidirectionnelle : la marque emettait un message uniforme vers une audience large et peu differenciee, sans possibilite reelle d'interaction ni de mesure precise des retombees. La performance d'une campagne se jugeait alors a l'estime, sur la base d'indicateurs indirects comme la notoriete declaree ou l'evolution globale des ventes.</w:t>
      </w:r>
    </w:p>
    <w:p>
      <w:pPr>
        <w:spacing w:after="120"/>
        <w:jc w:val="both"/>
      </w:pPr>
      <w:r>
        <w:rPr>
          <w:rFonts w:ascii="Times New Roman" w:hAnsi="Times New Roman"/>
          <w:b w:val="0"/>
          <w:i w:val="0"/>
          <w:color w:val="1A1A1A"/>
          <w:sz w:val="24"/>
        </w:rPr>
        <w:t>L'avenement d'Internet, puis la generalisation du Web 2.0 et des plateformes sociales, ont profondement reconfigure ces pratiques. Les marques ont progressivement decouvert la possibilite de communiquer de facon interactive, de segmenter leurs audiences avec precision et de mesurer en temps reel l'impact de chaque action marketing. Chaque clic, chaque vue, chaque seconde de visionnage est devenue une donnee exploitable. C'est dans ce contexte qu'est nee la notion de marketing data-driven, qui place la donnee au centre des decisions strategiques et operationnelles.</w:t>
      </w:r>
    </w:p>
    <w:p>
      <w:pPr>
        <w:spacing w:after="120"/>
        <w:jc w:val="both"/>
      </w:pPr>
      <w:r>
        <w:rPr>
          <w:rFonts w:ascii="Times New Roman" w:hAnsi="Times New Roman"/>
          <w:b w:val="0"/>
          <w:i w:val="0"/>
          <w:color w:val="1A1A1A"/>
          <w:sz w:val="24"/>
        </w:rPr>
        <w:t>Selon Kotler et al. (2021), le passage au marketing data-driven represente une rupture epistemologique majeure : il ne s'agit plus de concevoir des campagnes sur la base de l'intuition ou de l'experience accumulee, mais de laisser les donnees guider chaque decision, de la conception du message a l'optimisation du budget en passant par le choix des canaux de diffusion. Le marketeur cesse d'etre un simple emetteur de messages pour devenir un pilote de systemes apprenants.</w:t>
      </w:r>
    </w:p>
    <w:p>
      <w:pPr>
        <w:spacing w:after="120"/>
        <w:jc w:val="both"/>
      </w:pPr>
      <w:r>
        <w:rPr>
          <w:rFonts w:ascii="Times New Roman" w:hAnsi="Times New Roman"/>
          <w:b w:val="0"/>
          <w:i w:val="0"/>
          <w:color w:val="1A1A1A"/>
          <w:sz w:val="24"/>
        </w:rPr>
        <w:t>L'intelligence artificielle constitue aujourd'hui le principal moteur de cette approche. Elle permet d'analyser en temps reel des volumes de donnees que nul analyste humain ne pourrait traiter dans les memes delais, d'identifier des correlations non apparentes et de produire des recommandations actionnables qui ameliorent en continu les performances des campagnes. Le tableau ci-dessous synthetise les ruptures introduites par ce basculement.</w:t>
      </w:r>
    </w:p>
    <w:p>
      <w:pPr>
        <w:spacing w:before="160" w:after="40"/>
        <w:jc w:val="left"/>
      </w:pPr>
      <w:r>
        <w:rPr>
          <w:rFonts w:ascii="Times New Roman" w:hAnsi="Times New Roman"/>
          <w:b/>
          <w:i/>
          <w:color w:val="1F4E79"/>
          <w:sz w:val="20"/>
        </w:rPr>
        <w:t>Tableau 1.1 - Du marketing traditionnel au marketing data-driven</w:t>
      </w:r>
    </w:p>
    <w:tbl>
      <w:tblPr>
        <w:tblStyle w:val="LightGrid-Accent1"/>
        <w:tblW w:type="auto" w:w="0"/>
        <w:jc w:val="center"/>
        <w:tblLook w:firstColumn="1" w:firstRow="1" w:lastColumn="0" w:lastRow="0" w:noHBand="0" w:noVBand="1" w:val="04A0"/>
      </w:tblPr>
      <w:tblGrid>
        <w:gridCol w:w="3041"/>
        <w:gridCol w:w="3041"/>
        <w:gridCol w:w="3041"/>
      </w:tblGrid>
      <w:tr>
        <w:tc>
          <w:tcPr>
            <w:tcW w:type="dxa" w:w="2154"/>
            <w:shd w:val="clear" w:fill="1F4E79"/>
          </w:tcPr>
          <w:p>
            <w:pPr>
              <w:jc w:val="center"/>
            </w:pPr>
            <w:r/>
            <w:r>
              <w:rPr>
                <w:rFonts w:ascii="Times New Roman" w:hAnsi="Times New Roman"/>
                <w:b/>
                <w:i w:val="0"/>
                <w:color w:val="FFFFFF"/>
                <w:sz w:val="21"/>
              </w:rPr>
              <w:t>Dimension</w:t>
            </w:r>
          </w:p>
        </w:tc>
        <w:tc>
          <w:tcPr>
            <w:tcW w:type="dxa" w:w="3175"/>
            <w:shd w:val="clear" w:fill="1F4E79"/>
          </w:tcPr>
          <w:p>
            <w:pPr>
              <w:jc w:val="center"/>
            </w:pPr>
            <w:r/>
            <w:r>
              <w:rPr>
                <w:rFonts w:ascii="Times New Roman" w:hAnsi="Times New Roman"/>
                <w:b/>
                <w:i w:val="0"/>
                <w:color w:val="FFFFFF"/>
                <w:sz w:val="21"/>
              </w:rPr>
              <w:t>Marketing traditionnel</w:t>
            </w:r>
          </w:p>
        </w:tc>
        <w:tc>
          <w:tcPr>
            <w:tcW w:type="dxa" w:w="3175"/>
            <w:shd w:val="clear" w:fill="1F4E79"/>
          </w:tcPr>
          <w:p>
            <w:pPr>
              <w:jc w:val="center"/>
            </w:pPr>
            <w:r/>
            <w:r>
              <w:rPr>
                <w:rFonts w:ascii="Times New Roman" w:hAnsi="Times New Roman"/>
                <w:b/>
                <w:i w:val="0"/>
                <w:color w:val="FFFFFF"/>
                <w:sz w:val="21"/>
              </w:rPr>
              <w:t>Marketing data-driven (IA)</w:t>
            </w:r>
          </w:p>
        </w:tc>
      </w:tr>
      <w:tr>
        <w:tc>
          <w:tcPr>
            <w:tcW w:type="dxa" w:w="2154"/>
          </w:tcPr>
          <w:p>
            <w:pPr>
              <w:jc w:val="left"/>
            </w:pPr>
            <w:r/>
            <w:r>
              <w:rPr>
                <w:rFonts w:ascii="Times New Roman" w:hAnsi="Times New Roman"/>
                <w:b w:val="0"/>
                <w:i w:val="0"/>
                <w:color w:val="1A1A1A"/>
                <w:sz w:val="21"/>
              </w:rPr>
              <w:t>Logique de diffusion</w:t>
            </w:r>
          </w:p>
        </w:tc>
        <w:tc>
          <w:tcPr>
            <w:tcW w:type="dxa" w:w="3175"/>
          </w:tcPr>
          <w:p>
            <w:pPr>
              <w:jc w:val="center"/>
            </w:pPr>
            <w:r/>
            <w:r>
              <w:rPr>
                <w:rFonts w:ascii="Times New Roman" w:hAnsi="Times New Roman"/>
                <w:b w:val="0"/>
                <w:i w:val="0"/>
                <w:color w:val="1A1A1A"/>
                <w:sz w:val="21"/>
              </w:rPr>
              <w:t>Unidirectionnelle, message unique</w:t>
            </w:r>
          </w:p>
        </w:tc>
        <w:tc>
          <w:tcPr>
            <w:tcW w:type="dxa" w:w="3175"/>
          </w:tcPr>
          <w:p>
            <w:pPr>
              <w:jc w:val="center"/>
            </w:pPr>
            <w:r/>
            <w:r>
              <w:rPr>
                <w:rFonts w:ascii="Times New Roman" w:hAnsi="Times New Roman"/>
                <w:b w:val="0"/>
                <w:i w:val="0"/>
                <w:color w:val="1A1A1A"/>
                <w:sz w:val="21"/>
              </w:rPr>
              <w:t>Interactive, message personnalise</w:t>
            </w:r>
          </w:p>
        </w:tc>
      </w:tr>
      <w:tr>
        <w:tc>
          <w:tcPr>
            <w:tcW w:type="dxa" w:w="2154"/>
          </w:tcPr>
          <w:p>
            <w:pPr>
              <w:jc w:val="left"/>
            </w:pPr>
            <w:r/>
            <w:r>
              <w:rPr>
                <w:rFonts w:ascii="Times New Roman" w:hAnsi="Times New Roman"/>
                <w:b w:val="0"/>
                <w:i w:val="0"/>
                <w:color w:val="1A1A1A"/>
                <w:sz w:val="21"/>
              </w:rPr>
              <w:t>Segmentation</w:t>
            </w:r>
          </w:p>
        </w:tc>
        <w:tc>
          <w:tcPr>
            <w:tcW w:type="dxa" w:w="3175"/>
          </w:tcPr>
          <w:p>
            <w:pPr>
              <w:jc w:val="center"/>
            </w:pPr>
            <w:r/>
            <w:r>
              <w:rPr>
                <w:rFonts w:ascii="Times New Roman" w:hAnsi="Times New Roman"/>
                <w:b w:val="0"/>
                <w:i w:val="0"/>
                <w:color w:val="1A1A1A"/>
                <w:sz w:val="21"/>
              </w:rPr>
              <w:t>Quelques criteres statiques</w:t>
            </w:r>
          </w:p>
        </w:tc>
        <w:tc>
          <w:tcPr>
            <w:tcW w:type="dxa" w:w="3175"/>
          </w:tcPr>
          <w:p>
            <w:pPr>
              <w:jc w:val="center"/>
            </w:pPr>
            <w:r/>
            <w:r>
              <w:rPr>
                <w:rFonts w:ascii="Times New Roman" w:hAnsi="Times New Roman"/>
                <w:b w:val="0"/>
                <w:i w:val="0"/>
                <w:color w:val="1A1A1A"/>
                <w:sz w:val="21"/>
              </w:rPr>
              <w:t>Micro-segments dynamiques</w:t>
            </w:r>
          </w:p>
        </w:tc>
      </w:tr>
      <w:tr>
        <w:tc>
          <w:tcPr>
            <w:tcW w:type="dxa" w:w="2154"/>
          </w:tcPr>
          <w:p>
            <w:pPr>
              <w:jc w:val="left"/>
            </w:pPr>
            <w:r/>
            <w:r>
              <w:rPr>
                <w:rFonts w:ascii="Times New Roman" w:hAnsi="Times New Roman"/>
                <w:b w:val="0"/>
                <w:i w:val="0"/>
                <w:color w:val="1A1A1A"/>
                <w:sz w:val="21"/>
              </w:rPr>
              <w:t>Decision</w:t>
            </w:r>
          </w:p>
        </w:tc>
        <w:tc>
          <w:tcPr>
            <w:tcW w:type="dxa" w:w="3175"/>
          </w:tcPr>
          <w:p>
            <w:pPr>
              <w:jc w:val="center"/>
            </w:pPr>
            <w:r/>
            <w:r>
              <w:rPr>
                <w:rFonts w:ascii="Times New Roman" w:hAnsi="Times New Roman"/>
                <w:b w:val="0"/>
                <w:i w:val="0"/>
                <w:color w:val="1A1A1A"/>
                <w:sz w:val="21"/>
              </w:rPr>
              <w:t>Intuition et experience</w:t>
            </w:r>
          </w:p>
        </w:tc>
        <w:tc>
          <w:tcPr>
            <w:tcW w:type="dxa" w:w="3175"/>
          </w:tcPr>
          <w:p>
            <w:pPr>
              <w:jc w:val="center"/>
            </w:pPr>
            <w:r/>
            <w:r>
              <w:rPr>
                <w:rFonts w:ascii="Times New Roman" w:hAnsi="Times New Roman"/>
                <w:b w:val="0"/>
                <w:i w:val="0"/>
                <w:color w:val="1A1A1A"/>
                <w:sz w:val="21"/>
              </w:rPr>
              <w:t>Donnees et modeles predictifs</w:t>
            </w:r>
          </w:p>
        </w:tc>
      </w:tr>
      <w:tr>
        <w:tc>
          <w:tcPr>
            <w:tcW w:type="dxa" w:w="2154"/>
          </w:tcPr>
          <w:p>
            <w:pPr>
              <w:jc w:val="left"/>
            </w:pPr>
            <w:r/>
            <w:r>
              <w:rPr>
                <w:rFonts w:ascii="Times New Roman" w:hAnsi="Times New Roman"/>
                <w:b w:val="0"/>
                <w:i w:val="0"/>
                <w:color w:val="1A1A1A"/>
                <w:sz w:val="21"/>
              </w:rPr>
              <w:t>Mesure</w:t>
            </w:r>
          </w:p>
        </w:tc>
        <w:tc>
          <w:tcPr>
            <w:tcW w:type="dxa" w:w="3175"/>
          </w:tcPr>
          <w:p>
            <w:pPr>
              <w:jc w:val="center"/>
            </w:pPr>
            <w:r/>
            <w:r>
              <w:rPr>
                <w:rFonts w:ascii="Times New Roman" w:hAnsi="Times New Roman"/>
                <w:b w:val="0"/>
                <w:i w:val="0"/>
                <w:color w:val="1A1A1A"/>
                <w:sz w:val="21"/>
              </w:rPr>
              <w:t>Indirecte, differee</w:t>
            </w:r>
          </w:p>
        </w:tc>
        <w:tc>
          <w:tcPr>
            <w:tcW w:type="dxa" w:w="3175"/>
          </w:tcPr>
          <w:p>
            <w:pPr>
              <w:jc w:val="center"/>
            </w:pPr>
            <w:r/>
            <w:r>
              <w:rPr>
                <w:rFonts w:ascii="Times New Roman" w:hAnsi="Times New Roman"/>
                <w:b w:val="0"/>
                <w:i w:val="0"/>
                <w:color w:val="1A1A1A"/>
                <w:sz w:val="21"/>
              </w:rPr>
              <w:t>Directe, en temps reel</w:t>
            </w:r>
          </w:p>
        </w:tc>
      </w:tr>
      <w:tr>
        <w:tc>
          <w:tcPr>
            <w:tcW w:type="dxa" w:w="2154"/>
          </w:tcPr>
          <w:p>
            <w:pPr>
              <w:jc w:val="left"/>
            </w:pPr>
            <w:r/>
            <w:r>
              <w:rPr>
                <w:rFonts w:ascii="Times New Roman" w:hAnsi="Times New Roman"/>
                <w:b w:val="0"/>
                <w:i w:val="0"/>
                <w:color w:val="1A1A1A"/>
                <w:sz w:val="21"/>
              </w:rPr>
              <w:t>Optimisation</w:t>
            </w:r>
          </w:p>
        </w:tc>
        <w:tc>
          <w:tcPr>
            <w:tcW w:type="dxa" w:w="3175"/>
          </w:tcPr>
          <w:p>
            <w:pPr>
              <w:jc w:val="center"/>
            </w:pPr>
            <w:r/>
            <w:r>
              <w:rPr>
                <w:rFonts w:ascii="Times New Roman" w:hAnsi="Times New Roman"/>
                <w:b w:val="0"/>
                <w:i w:val="0"/>
                <w:color w:val="1A1A1A"/>
                <w:sz w:val="21"/>
              </w:rPr>
              <w:t>Manuelle, par cycles longs</w:t>
            </w:r>
          </w:p>
        </w:tc>
        <w:tc>
          <w:tcPr>
            <w:tcW w:type="dxa" w:w="3175"/>
          </w:tcPr>
          <w:p>
            <w:pPr>
              <w:jc w:val="center"/>
            </w:pPr>
            <w:r/>
            <w:r>
              <w:rPr>
                <w:rFonts w:ascii="Times New Roman" w:hAnsi="Times New Roman"/>
                <w:b w:val="0"/>
                <w:i w:val="0"/>
                <w:color w:val="1A1A1A"/>
                <w:sz w:val="21"/>
              </w:rPr>
              <w:t>Automatisee, en continu</w:t>
            </w:r>
          </w:p>
        </w:tc>
      </w:tr>
      <w:tr>
        <w:tc>
          <w:tcPr>
            <w:tcW w:type="dxa" w:w="2154"/>
          </w:tcPr>
          <w:p>
            <w:pPr>
              <w:jc w:val="left"/>
            </w:pPr>
            <w:r/>
            <w:r>
              <w:rPr>
                <w:rFonts w:ascii="Times New Roman" w:hAnsi="Times New Roman"/>
                <w:b w:val="0"/>
                <w:i w:val="0"/>
                <w:color w:val="1A1A1A"/>
                <w:sz w:val="21"/>
              </w:rPr>
              <w:t>Cout de production</w:t>
            </w:r>
          </w:p>
        </w:tc>
        <w:tc>
          <w:tcPr>
            <w:tcW w:type="dxa" w:w="3175"/>
          </w:tcPr>
          <w:p>
            <w:pPr>
              <w:jc w:val="center"/>
            </w:pPr>
            <w:r/>
            <w:r>
              <w:rPr>
                <w:rFonts w:ascii="Times New Roman" w:hAnsi="Times New Roman"/>
                <w:b w:val="0"/>
                <w:i w:val="0"/>
                <w:color w:val="1A1A1A"/>
                <w:sz w:val="21"/>
              </w:rPr>
              <w:t>Eleve, lineaire</w:t>
            </w:r>
          </w:p>
        </w:tc>
        <w:tc>
          <w:tcPr>
            <w:tcW w:type="dxa" w:w="3175"/>
          </w:tcPr>
          <w:p>
            <w:pPr>
              <w:jc w:val="center"/>
            </w:pPr>
            <w:r/>
            <w:r>
              <w:rPr>
                <w:rFonts w:ascii="Times New Roman" w:hAnsi="Times New Roman"/>
                <w:b w:val="0"/>
                <w:i w:val="0"/>
                <w:color w:val="1A1A1A"/>
                <w:sz w:val="21"/>
              </w:rPr>
              <w:t>Reduit, scalable</w:t>
            </w:r>
          </w:p>
        </w:tc>
      </w:tr>
    </w:tbl>
    <w:p>
      <w:pPr>
        <w:spacing w:after="80"/>
      </w:pPr>
    </w:p>
    <w:p>
      <w:pPr>
        <w:spacing w:before="240" w:after="120"/>
      </w:pPr>
      <w:r>
        <w:rPr>
          <w:rFonts w:ascii="Times New Roman" w:hAnsi="Times New Roman"/>
          <w:b/>
          <w:i w:val="0"/>
          <w:color w:val="1F4E79"/>
          <w:sz w:val="28"/>
        </w:rPr>
        <w:t>1.2  Definition et typologies de l'intelligence artificielle appliquee au marketing</w:t>
      </w:r>
    </w:p>
    <w:p>
      <w:pPr>
        <w:spacing w:after="120"/>
        <w:jc w:val="both"/>
      </w:pPr>
      <w:r>
        <w:rPr>
          <w:rFonts w:ascii="Times New Roman" w:hAnsi="Times New Roman"/>
          <w:b w:val="0"/>
          <w:i w:val="0"/>
          <w:color w:val="1A1A1A"/>
          <w:sz w:val="24"/>
        </w:rPr>
        <w:t>L'intelligence artificielle peut etre definie comme l'ensemble des techniques et des systemes permettant a une machine de simuler des capacites cognitives caracteristiques de l'intelligence humaine, telles que l'apprentissage, le raisonnement, la comprehension du langage ou la reconnaissance visuelle. Appliquee au marketing, elle recouvre un spectre de technologies aux niveaux de complexite et aux modalites d'application tres varies. Il serait reducteur de parler de l'IA au singulier : il s'agit plutot d'une famille de technologies dont chacune repond a des besoins specifiques.</w:t>
      </w:r>
    </w:p>
    <w:p>
      <w:pPr>
        <w:spacing w:before="160" w:after="80"/>
      </w:pPr>
      <w:r>
        <w:rPr>
          <w:rFonts w:ascii="Times New Roman" w:hAnsi="Times New Roman"/>
          <w:b/>
          <w:i w:val="0"/>
          <w:color w:val="2E75B6"/>
          <w:sz w:val="25"/>
        </w:rPr>
        <w:t>1.2.1  Le Machine Learning</w:t>
      </w:r>
    </w:p>
    <w:p>
      <w:pPr>
        <w:spacing w:after="120"/>
        <w:jc w:val="both"/>
      </w:pPr>
      <w:r>
        <w:rPr>
          <w:rFonts w:ascii="Times New Roman" w:hAnsi="Times New Roman"/>
          <w:b w:val="0"/>
          <w:i w:val="0"/>
          <w:color w:val="1A1A1A"/>
          <w:sz w:val="24"/>
        </w:rPr>
        <w:t>Le Machine Learning, ou apprentissage automatique, constitue le fondement de la plupart des applications d'IA marketing actuelles. Il regroupe des algorithmes capables d'apprendre a partir de donnees historiques et d'ajuster leurs predictions sans intervention humaine explicite. Dans le domaine publicitaire, ces algorithmes optimisent les encheres en temps reel, predisent la probabilite de conversion de chaque utilisateur et personnalisent l'experience publicitaire a grande echelle. C'est cette famille d'algorithmes qui anime, en arriere-plan, les systemes d'encheres de YouTube Ads et de Meta Ads.</w:t>
      </w:r>
    </w:p>
    <w:p>
      <w:pPr>
        <w:spacing w:before="160" w:after="80"/>
      </w:pPr>
      <w:r>
        <w:rPr>
          <w:rFonts w:ascii="Times New Roman" w:hAnsi="Times New Roman"/>
          <w:b/>
          <w:i w:val="0"/>
          <w:color w:val="2E75B6"/>
          <w:sz w:val="25"/>
        </w:rPr>
        <w:t>1.2.2  Le traitement automatique du langage naturel (NLP)</w:t>
      </w:r>
    </w:p>
    <w:p>
      <w:pPr>
        <w:spacing w:after="120"/>
        <w:jc w:val="both"/>
      </w:pPr>
      <w:r>
        <w:rPr>
          <w:rFonts w:ascii="Times New Roman" w:hAnsi="Times New Roman"/>
          <w:b w:val="0"/>
          <w:i w:val="0"/>
          <w:color w:val="1A1A1A"/>
          <w:sz w:val="24"/>
        </w:rPr>
        <w:t>Le traitement automatique du langage naturel permet aux machines de comprendre, d'analyser et de produire du texte en langage humain. Ses applications marketing incluent l'analyse semantique des avis clients, la generation automatique de contenus redactionnels et la creation de chatbots conversationnels capables de repondre aux questions des consommateurs en temps reel. Les grands modeles de langage (LLM) ont fait franchir un seuil qualitatif decisif a cette categorie.</w:t>
      </w:r>
    </w:p>
    <w:p>
      <w:pPr>
        <w:spacing w:before="160" w:after="80"/>
      </w:pPr>
      <w:r>
        <w:rPr>
          <w:rFonts w:ascii="Times New Roman" w:hAnsi="Times New Roman"/>
          <w:b/>
          <w:i w:val="0"/>
          <w:color w:val="2E75B6"/>
          <w:sz w:val="25"/>
        </w:rPr>
        <w:t>1.2.3  La vision par ordinateur</w:t>
      </w:r>
    </w:p>
    <w:p>
      <w:pPr>
        <w:spacing w:after="120"/>
        <w:jc w:val="both"/>
      </w:pPr>
      <w:r>
        <w:rPr>
          <w:rFonts w:ascii="Times New Roman" w:hAnsi="Times New Roman"/>
          <w:b w:val="0"/>
          <w:i w:val="0"/>
          <w:color w:val="1A1A1A"/>
          <w:sz w:val="24"/>
        </w:rPr>
        <w:t>La vision par ordinateur permet aux systemes d'IA d'analyser et d'interpreter des images et des videos. En marketing, cette technologie intervient dans la reconnaissance de produits dans des contenus publies sur les reseaux sociaux, dans la moderation automatique de contenus visuels et dans la generation d'images publicitaires. Elle est egalement au coeur des outils de generation video que nous avons mobilises pour la campagne Varcadia.</w:t>
      </w:r>
    </w:p>
    <w:p>
      <w:pPr>
        <w:spacing w:before="160" w:after="80"/>
      </w:pPr>
      <w:r>
        <w:rPr>
          <w:rFonts w:ascii="Times New Roman" w:hAnsi="Times New Roman"/>
          <w:b/>
          <w:i w:val="0"/>
          <w:color w:val="2E75B6"/>
          <w:sz w:val="25"/>
        </w:rPr>
        <w:t>1.2.4  L'IA generative</w:t>
      </w:r>
    </w:p>
    <w:p>
      <w:pPr>
        <w:spacing w:after="120"/>
        <w:jc w:val="both"/>
      </w:pPr>
      <w:r>
        <w:rPr>
          <w:rFonts w:ascii="Times New Roman" w:hAnsi="Times New Roman"/>
          <w:b w:val="0"/>
          <w:i w:val="0"/>
          <w:color w:val="1A1A1A"/>
          <w:sz w:val="24"/>
        </w:rPr>
        <w:t>L'IA generative represente la tendance la plus recente et la plus structurante pour le secteur. Elle designe les systemes capables de creer du contenu original, qu'il s'agisse de texte, d'image, d'audio ou de video, a partir d'instructions formulees en langage naturel. Des outils comme Kling AI ou Nano Banana Pro illustrent cette categorie, et c'est precisement a travers leur utilisation que nous avons conduit la campagne Varcadia. Leur particularite est de deplacer le travail humain de l'execution vers la conception : on ne produit plus l'image, on decrit l'image que l'on souhaite obtenir.</w:t>
      </w:r>
    </w:p>
    <w:p>
      <w:pPr>
        <w:spacing w:before="240" w:after="120"/>
      </w:pPr>
      <w:r>
        <w:rPr>
          <w:rFonts w:ascii="Times New Roman" w:hAnsi="Times New Roman"/>
          <w:b/>
          <w:i w:val="0"/>
          <w:color w:val="1F4E79"/>
          <w:sz w:val="28"/>
        </w:rPr>
        <w:t>1.3  Les principaux outils IA en marketing digital</w:t>
      </w:r>
    </w:p>
    <w:p>
      <w:pPr>
        <w:spacing w:after="120"/>
        <w:jc w:val="both"/>
      </w:pPr>
      <w:r>
        <w:rPr>
          <w:rFonts w:ascii="Times New Roman" w:hAnsi="Times New Roman"/>
          <w:b w:val="0"/>
          <w:i w:val="0"/>
          <w:color w:val="1A1A1A"/>
          <w:sz w:val="24"/>
        </w:rPr>
        <w:t>Le panorama des outils d'IA appliques au marketing digital est vaste et en evolution permanente. Pour les besoins de ce travail, nous les regroupons en quatre grandes categories fonctionnelles, presentees dans le tableau suivant.</w:t>
      </w:r>
    </w:p>
    <w:p>
      <w:pPr>
        <w:spacing w:before="160" w:after="40"/>
        <w:jc w:val="left"/>
      </w:pPr>
      <w:r>
        <w:rPr>
          <w:rFonts w:ascii="Times New Roman" w:hAnsi="Times New Roman"/>
          <w:b/>
          <w:i/>
          <w:color w:val="1F4E79"/>
          <w:sz w:val="20"/>
        </w:rPr>
        <w:t>Tableau 1.2 - Typologie fonctionnelle des outils IA mobilises</w:t>
      </w:r>
    </w:p>
    <w:tbl>
      <w:tblPr>
        <w:tblStyle w:val="LightGrid-Accent1"/>
        <w:tblW w:type="auto" w:w="0"/>
        <w:jc w:val="center"/>
        <w:tblLook w:firstColumn="1" w:firstRow="1" w:lastColumn="0" w:lastRow="0" w:noHBand="0" w:noVBand="1" w:val="04A0"/>
      </w:tblPr>
      <w:tblGrid>
        <w:gridCol w:w="3041"/>
        <w:gridCol w:w="3041"/>
        <w:gridCol w:w="3041"/>
      </w:tblGrid>
      <w:tr>
        <w:tc>
          <w:tcPr>
            <w:tcW w:type="dxa" w:w="2041"/>
            <w:shd w:val="clear" w:fill="1F4E79"/>
          </w:tcPr>
          <w:p>
            <w:pPr>
              <w:jc w:val="center"/>
            </w:pPr>
            <w:r/>
            <w:r>
              <w:rPr>
                <w:rFonts w:ascii="Times New Roman" w:hAnsi="Times New Roman"/>
                <w:b/>
                <w:i w:val="0"/>
                <w:color w:val="FFFFFF"/>
                <w:sz w:val="21"/>
              </w:rPr>
              <w:t>Categorie</w:t>
            </w:r>
          </w:p>
        </w:tc>
        <w:tc>
          <w:tcPr>
            <w:tcW w:type="dxa" w:w="2835"/>
            <w:shd w:val="clear" w:fill="1F4E79"/>
          </w:tcPr>
          <w:p>
            <w:pPr>
              <w:jc w:val="center"/>
            </w:pPr>
            <w:r/>
            <w:r>
              <w:rPr>
                <w:rFonts w:ascii="Times New Roman" w:hAnsi="Times New Roman"/>
                <w:b/>
                <w:i w:val="0"/>
                <w:color w:val="FFFFFF"/>
                <w:sz w:val="21"/>
              </w:rPr>
              <w:t>Fonction principale</w:t>
            </w:r>
          </w:p>
        </w:tc>
        <w:tc>
          <w:tcPr>
            <w:tcW w:type="dxa" w:w="3628"/>
            <w:shd w:val="clear" w:fill="1F4E79"/>
          </w:tcPr>
          <w:p>
            <w:pPr>
              <w:jc w:val="center"/>
            </w:pPr>
            <w:r/>
            <w:r>
              <w:rPr>
                <w:rFonts w:ascii="Times New Roman" w:hAnsi="Times New Roman"/>
                <w:b/>
                <w:i w:val="0"/>
                <w:color w:val="FFFFFF"/>
                <w:sz w:val="21"/>
              </w:rPr>
              <w:t>Exemples d'usage dans la campagne</w:t>
            </w:r>
          </w:p>
        </w:tc>
      </w:tr>
      <w:tr>
        <w:tc>
          <w:tcPr>
            <w:tcW w:type="dxa" w:w="2041"/>
          </w:tcPr>
          <w:p>
            <w:pPr>
              <w:jc w:val="left"/>
            </w:pPr>
            <w:r/>
            <w:r>
              <w:rPr>
                <w:rFonts w:ascii="Times New Roman" w:hAnsi="Times New Roman"/>
                <w:b w:val="0"/>
                <w:i w:val="0"/>
                <w:color w:val="1A1A1A"/>
                <w:sz w:val="21"/>
              </w:rPr>
              <w:t>Generation textuelle</w:t>
            </w:r>
          </w:p>
        </w:tc>
        <w:tc>
          <w:tcPr>
            <w:tcW w:type="dxa" w:w="2835"/>
          </w:tcPr>
          <w:p>
            <w:pPr>
              <w:jc w:val="center"/>
            </w:pPr>
            <w:r/>
            <w:r>
              <w:rPr>
                <w:rFonts w:ascii="Times New Roman" w:hAnsi="Times New Roman"/>
                <w:b w:val="0"/>
                <w:i w:val="0"/>
                <w:color w:val="1A1A1A"/>
                <w:sz w:val="21"/>
              </w:rPr>
              <w:t>Copies, scripts, accroches</w:t>
            </w:r>
          </w:p>
        </w:tc>
        <w:tc>
          <w:tcPr>
            <w:tcW w:type="dxa" w:w="3628"/>
          </w:tcPr>
          <w:p>
            <w:pPr>
              <w:jc w:val="center"/>
            </w:pPr>
            <w:r/>
            <w:r>
              <w:rPr>
                <w:rFonts w:ascii="Times New Roman" w:hAnsi="Times New Roman"/>
                <w:b w:val="0"/>
                <w:i w:val="0"/>
                <w:color w:val="1A1A1A"/>
                <w:sz w:val="21"/>
              </w:rPr>
              <w:t>Scripts des teasers, legendes des publications</w:t>
            </w:r>
          </w:p>
        </w:tc>
      </w:tr>
      <w:tr>
        <w:tc>
          <w:tcPr>
            <w:tcW w:type="dxa" w:w="2041"/>
          </w:tcPr>
          <w:p>
            <w:pPr>
              <w:jc w:val="left"/>
            </w:pPr>
            <w:r/>
            <w:r>
              <w:rPr>
                <w:rFonts w:ascii="Times New Roman" w:hAnsi="Times New Roman"/>
                <w:b w:val="0"/>
                <w:i w:val="0"/>
                <w:color w:val="1A1A1A"/>
                <w:sz w:val="21"/>
              </w:rPr>
              <w:t>Generation visuelle</w:t>
            </w:r>
          </w:p>
        </w:tc>
        <w:tc>
          <w:tcPr>
            <w:tcW w:type="dxa" w:w="2835"/>
          </w:tcPr>
          <w:p>
            <w:pPr>
              <w:jc w:val="center"/>
            </w:pPr>
            <w:r/>
            <w:r>
              <w:rPr>
                <w:rFonts w:ascii="Times New Roman" w:hAnsi="Times New Roman"/>
                <w:b w:val="0"/>
                <w:i w:val="0"/>
                <w:color w:val="1A1A1A"/>
                <w:sz w:val="21"/>
              </w:rPr>
              <w:t>Images publicitaires</w:t>
            </w:r>
          </w:p>
        </w:tc>
        <w:tc>
          <w:tcPr>
            <w:tcW w:type="dxa" w:w="3628"/>
          </w:tcPr>
          <w:p>
            <w:pPr>
              <w:jc w:val="center"/>
            </w:pPr>
            <w:r/>
            <w:r>
              <w:rPr>
                <w:rFonts w:ascii="Times New Roman" w:hAnsi="Times New Roman"/>
                <w:b w:val="0"/>
                <w:i w:val="0"/>
                <w:color w:val="1A1A1A"/>
                <w:sz w:val="21"/>
              </w:rPr>
              <w:t>Visuels d'affichage, vignettes</w:t>
            </w:r>
          </w:p>
        </w:tc>
      </w:tr>
      <w:tr>
        <w:tc>
          <w:tcPr>
            <w:tcW w:type="dxa" w:w="2041"/>
          </w:tcPr>
          <w:p>
            <w:pPr>
              <w:jc w:val="left"/>
            </w:pPr>
            <w:r/>
            <w:r>
              <w:rPr>
                <w:rFonts w:ascii="Times New Roman" w:hAnsi="Times New Roman"/>
                <w:b w:val="0"/>
                <w:i w:val="0"/>
                <w:color w:val="1A1A1A"/>
                <w:sz w:val="21"/>
              </w:rPr>
              <w:t>Generation video</w:t>
            </w:r>
          </w:p>
        </w:tc>
        <w:tc>
          <w:tcPr>
            <w:tcW w:type="dxa" w:w="2835"/>
          </w:tcPr>
          <w:p>
            <w:pPr>
              <w:jc w:val="center"/>
            </w:pPr>
            <w:r/>
            <w:r>
              <w:rPr>
                <w:rFonts w:ascii="Times New Roman" w:hAnsi="Times New Roman"/>
                <w:b w:val="0"/>
                <w:i w:val="0"/>
                <w:color w:val="1A1A1A"/>
                <w:sz w:val="21"/>
              </w:rPr>
              <w:t>Sequences animees</w:t>
            </w:r>
          </w:p>
        </w:tc>
        <w:tc>
          <w:tcPr>
            <w:tcW w:type="dxa" w:w="3628"/>
          </w:tcPr>
          <w:p>
            <w:pPr>
              <w:jc w:val="center"/>
            </w:pPr>
            <w:r/>
            <w:r>
              <w:rPr>
                <w:rFonts w:ascii="Times New Roman" w:hAnsi="Times New Roman"/>
                <w:b w:val="0"/>
                <w:i w:val="0"/>
                <w:color w:val="1A1A1A"/>
                <w:sz w:val="21"/>
              </w:rPr>
              <w:t>Kling AI : univers immersif des teasers</w:t>
            </w:r>
          </w:p>
        </w:tc>
      </w:tr>
      <w:tr>
        <w:tc>
          <w:tcPr>
            <w:tcW w:type="dxa" w:w="2041"/>
          </w:tcPr>
          <w:p>
            <w:pPr>
              <w:jc w:val="left"/>
            </w:pPr>
            <w:r/>
            <w:r>
              <w:rPr>
                <w:rFonts w:ascii="Times New Roman" w:hAnsi="Times New Roman"/>
                <w:b w:val="0"/>
                <w:i w:val="0"/>
                <w:color w:val="1A1A1A"/>
                <w:sz w:val="21"/>
              </w:rPr>
              <w:t>Edition / montage</w:t>
            </w:r>
          </w:p>
        </w:tc>
        <w:tc>
          <w:tcPr>
            <w:tcW w:type="dxa" w:w="2835"/>
          </w:tcPr>
          <w:p>
            <w:pPr>
              <w:jc w:val="center"/>
            </w:pPr>
            <w:r/>
            <w:r>
              <w:rPr>
                <w:rFonts w:ascii="Times New Roman" w:hAnsi="Times New Roman"/>
                <w:b w:val="0"/>
                <w:i w:val="0"/>
                <w:color w:val="1A1A1A"/>
                <w:sz w:val="21"/>
              </w:rPr>
              <w:t>Assemblage et adaptation</w:t>
            </w:r>
          </w:p>
        </w:tc>
        <w:tc>
          <w:tcPr>
            <w:tcW w:type="dxa" w:w="3628"/>
          </w:tcPr>
          <w:p>
            <w:pPr>
              <w:jc w:val="center"/>
            </w:pPr>
            <w:r/>
            <w:r>
              <w:rPr>
                <w:rFonts w:ascii="Times New Roman" w:hAnsi="Times New Roman"/>
                <w:b w:val="0"/>
                <w:i w:val="0"/>
                <w:color w:val="1A1A1A"/>
                <w:sz w:val="21"/>
              </w:rPr>
              <w:t>Nano Banana Pro : montage et formats</w:t>
            </w:r>
          </w:p>
        </w:tc>
      </w:tr>
      <w:tr>
        <w:tc>
          <w:tcPr>
            <w:tcW w:type="dxa" w:w="2041"/>
          </w:tcPr>
          <w:p>
            <w:pPr>
              <w:jc w:val="left"/>
            </w:pPr>
            <w:r/>
            <w:r>
              <w:rPr>
                <w:rFonts w:ascii="Times New Roman" w:hAnsi="Times New Roman"/>
                <w:b w:val="0"/>
                <w:i w:val="0"/>
                <w:color w:val="1A1A1A"/>
                <w:sz w:val="21"/>
              </w:rPr>
              <w:t>Optimisation pub.</w:t>
            </w:r>
          </w:p>
        </w:tc>
        <w:tc>
          <w:tcPr>
            <w:tcW w:type="dxa" w:w="2835"/>
          </w:tcPr>
          <w:p>
            <w:pPr>
              <w:jc w:val="center"/>
            </w:pPr>
            <w:r/>
            <w:r>
              <w:rPr>
                <w:rFonts w:ascii="Times New Roman" w:hAnsi="Times New Roman"/>
                <w:b w:val="0"/>
                <w:i w:val="0"/>
                <w:color w:val="1A1A1A"/>
                <w:sz w:val="21"/>
              </w:rPr>
              <w:t>Encheres et ciblage</w:t>
            </w:r>
          </w:p>
        </w:tc>
        <w:tc>
          <w:tcPr>
            <w:tcW w:type="dxa" w:w="3628"/>
          </w:tcPr>
          <w:p>
            <w:pPr>
              <w:jc w:val="center"/>
            </w:pPr>
            <w:r/>
            <w:r>
              <w:rPr>
                <w:rFonts w:ascii="Times New Roman" w:hAnsi="Times New Roman"/>
                <w:b w:val="0"/>
                <w:i w:val="0"/>
                <w:color w:val="1A1A1A"/>
                <w:sz w:val="21"/>
              </w:rPr>
              <w:t>YouTube Ads, Meta Ads : pilotage automatique</w:t>
            </w:r>
          </w:p>
        </w:tc>
      </w:tr>
    </w:tbl>
    <w:p>
      <w:pPr>
        <w:spacing w:after="80"/>
      </w:pPr>
    </w:p>
    <w:p>
      <w:pPr>
        <w:spacing w:after="120"/>
        <w:jc w:val="both"/>
      </w:pPr>
      <w:r>
        <w:rPr>
          <w:rFonts w:ascii="Times New Roman" w:hAnsi="Times New Roman"/>
          <w:b w:val="0"/>
          <w:i w:val="0"/>
          <w:color w:val="1A1A1A"/>
          <w:sz w:val="24"/>
        </w:rPr>
        <w:t>Les outils de generation et d'optimisation textuelle permettent de produire des copies publicitaires, des scripts video, des objets d'e-mail ou des publications sur les reseaux sociaux. Ils reposent sur des modeles de langage de grande taille et peuvent generer des contenus adaptes a des tons, des cibles et des formats specifiques, en quelques secondes.</w:t>
      </w:r>
    </w:p>
    <w:p>
      <w:pPr>
        <w:spacing w:after="120"/>
        <w:jc w:val="both"/>
      </w:pPr>
      <w:r>
        <w:rPr>
          <w:rFonts w:ascii="Times New Roman" w:hAnsi="Times New Roman"/>
          <w:b w:val="0"/>
          <w:i w:val="0"/>
          <w:color w:val="1A1A1A"/>
          <w:sz w:val="24"/>
        </w:rPr>
        <w:t>Les outils de generation visuelle permettent de creer des images publicitaires de haute qualite a partir de descriptions textuelles. Le niveau de realisme atteint par les derniers modeles est tel que les visuels generes sont desormais largement utilises dans des campagnes commerciales reelles, y compris par de grandes marques. Les outils de generation video, eux, representent la categorie la plus recemment accessible au grand public : Kling AI, developpe par Kuaishou Technology, permet de generer des sequences video fluides et coherentes a partir de textes ou d'images de reference. Nano Banana Pro offre quant a lui des fonctionnalites d'edition et de generation particulierement adaptees a la production de contenus courts formats pour les reseaux sociaux.</w:t>
      </w:r>
    </w:p>
    <w:p>
      <w:pPr>
        <w:spacing w:before="240" w:after="120"/>
      </w:pPr>
      <w:r>
        <w:rPr>
          <w:rFonts w:ascii="Times New Roman" w:hAnsi="Times New Roman"/>
          <w:b/>
          <w:i w:val="0"/>
          <w:color w:val="1F4E79"/>
          <w:sz w:val="28"/>
        </w:rPr>
        <w:t>1.4  Etat de l'adoption de l'IA dans les strategies marketing au Maroc</w:t>
      </w:r>
    </w:p>
    <w:p>
      <w:pPr>
        <w:spacing w:after="120"/>
        <w:jc w:val="both"/>
      </w:pPr>
      <w:r>
        <w:rPr>
          <w:rFonts w:ascii="Times New Roman" w:hAnsi="Times New Roman"/>
          <w:b w:val="0"/>
          <w:i w:val="0"/>
          <w:color w:val="1A1A1A"/>
          <w:sz w:val="24"/>
        </w:rPr>
        <w:t>A l'echelle mondiale, l'adoption de l'IA dans les strategies marketing a franchi un seuil decisif. Selon les donnees recentes du secteur, une large majorite des directions marketing de grandes entreprises declarent avoir integre au moins un outil d'IA dans leurs pratiques, et les projections de croissance du marche mondial de l'IA marketing sont particulierement elevees pour les cinq prochaines annees.</w:t>
      </w:r>
    </w:p>
    <w:p>
      <w:pPr>
        <w:spacing w:after="120"/>
        <w:jc w:val="both"/>
      </w:pPr>
      <w:r>
        <w:rPr>
          <w:rFonts w:ascii="Times New Roman" w:hAnsi="Times New Roman"/>
          <w:b w:val="0"/>
          <w:i w:val="0"/>
          <w:color w:val="1A1A1A"/>
          <w:sz w:val="24"/>
        </w:rPr>
        <w:t>Au Maroc, le contexte est celui d'un marche digital en forte croissance. Le taux de penetration d'Internet depasse 70% de la population, et les plateformes sociales comptent plusieurs dizaines de millions d'utilisateurs actifs. Les entreprises marocaines, notamment dans les secteurs du commerce, du tourisme, des services et des loisirs, commencent a integrer des outils d'IA dans leurs pratiques marketing, meme si cette adoption reste plus progressive que dans les marches europeens ou nord-americains. Cette progressivite s'explique autant par des freins de competences que par une certaine prudence culturelle face a des technologies encore percues comme experimentales.</w:t>
      </w:r>
    </w:p>
    <w:p>
      <w:pPr>
        <w:spacing w:after="120"/>
        <w:jc w:val="both"/>
      </w:pPr>
      <w:r>
        <w:rPr>
          <w:rFonts w:ascii="Times New Roman" w:hAnsi="Times New Roman"/>
          <w:b w:val="0"/>
          <w:i w:val="0"/>
          <w:color w:val="1A1A1A"/>
          <w:sz w:val="24"/>
        </w:rPr>
        <w:t>C'est dans ce contexte que des agences specialisees comme Widma Digitale et des structures emergentes comme Volcano Vision jouent un role de facilitateur essentiel. En mettant ces technologies avancees a la portee de clients locaux qui n'auraient pas, seuls, les ressources ou les competences pour les exploiter, elles contribuent a accelerer la diffusion de l'innovation marketing au Maroc. La campagne Varcadia, decrite dans la seconde partie de ce rapport, illustre concretement ce role de passeur technologique.</w:t>
      </w:r>
    </w:p>
    <w:p>
      <w:pPr>
        <w:spacing w:before="280"/>
        <w:pBdr>
          <w:top w:val="single" w:sz="4" w:space="4" w:color="999999"/>
        </w:pBdr>
      </w:pPr>
      <w:r>
        <w:rPr>
          <w:rFonts w:ascii="Times New Roman" w:hAnsi="Times New Roman"/>
          <w:b/>
          <w:i/>
          <w:color w:val="595959"/>
          <w:sz w:val="18"/>
        </w:rPr>
        <w:t>Notes et references</w:t>
      </w:r>
    </w:p>
    <w:p>
      <w:pPr>
        <w:spacing w:after="40"/>
      </w:pPr>
      <w:r>
        <w:rPr>
          <w:rFonts w:ascii="Times New Roman" w:hAnsi="Times New Roman"/>
          <w:b w:val="0"/>
          <w:i w:val="0"/>
          <w:color w:val="595959"/>
          <w:sz w:val="18"/>
        </w:rPr>
        <w:t>1. Kotler, P., Kartajaya, H., &amp; Setiawan, I. (2021). Marketing 5.0: Technology for Humanity. Wiley.</w:t>
      </w:r>
    </w:p>
    <w:p>
      <w:pPr>
        <w:spacing w:after="40"/>
      </w:pPr>
      <w:r>
        <w:rPr>
          <w:rFonts w:ascii="Times New Roman" w:hAnsi="Times New Roman"/>
          <w:b w:val="0"/>
          <w:i w:val="0"/>
          <w:color w:val="595959"/>
          <w:sz w:val="18"/>
        </w:rPr>
        <w:t>2. Russell, S., &amp; Norvig, P. (2020). Artificial Intelligence: A Modern Approach (4e ed.). Pearson.</w:t>
      </w:r>
    </w:p>
    <w:p>
      <w:pPr>
        <w:spacing w:after="40"/>
      </w:pPr>
      <w:r>
        <w:rPr>
          <w:rFonts w:ascii="Times New Roman" w:hAnsi="Times New Roman"/>
          <w:b w:val="0"/>
          <w:i w:val="0"/>
          <w:color w:val="595959"/>
          <w:sz w:val="18"/>
        </w:rPr>
        <w:t>3. Kuaishou Technology (2024). Kling AI : Generative Video Platform. Documentation officielle.</w:t>
      </w:r>
    </w:p>
    <w:p>
      <w:pPr>
        <w:spacing w:after="40"/>
      </w:pPr>
      <w:r>
        <w:rPr>
          <w:rFonts w:ascii="Times New Roman" w:hAnsi="Times New Roman"/>
          <w:b w:val="0"/>
          <w:i w:val="0"/>
          <w:color w:val="595959"/>
          <w:sz w:val="18"/>
        </w:rPr>
        <w:t>4. ANRT (2024). Tableau de bord du marche des telecommunications au Maroc.</w:t>
      </w:r>
    </w:p>
    <w:p>
      <w:r>
        <w:br w:type="page"/>
      </w:r>
    </w:p>
    <w:p>
      <w:pPr>
        <w:spacing w:before="120" w:after="280"/>
        <w:jc w:val="left"/>
        <w:pBdr>
          <w:bottom w:val="single" w:sz="6" w:space="6" w:color="1F4E79"/>
        </w:pBdr>
      </w:pPr>
      <w:r>
        <w:rPr>
          <w:rFonts w:ascii="Times New Roman" w:hAnsi="Times New Roman"/>
          <w:b/>
          <w:i w:val="0"/>
          <w:color w:val="2E75B6"/>
          <w:sz w:val="26"/>
        </w:rPr>
        <w:t>Chapitre 2</w:t>
        <w:br/>
      </w:r>
      <w:r>
        <w:rPr>
          <w:rFonts w:ascii="Times New Roman" w:hAnsi="Times New Roman"/>
          <w:b/>
          <w:i w:val="0"/>
          <w:color w:val="1F4E79"/>
          <w:sz w:val="36"/>
        </w:rPr>
        <w:t>L'IA au Service du Ciblage Publicitaire</w:t>
      </w:r>
    </w:p>
    <w:p>
      <w:pPr>
        <w:spacing w:before="240" w:after="120"/>
      </w:pPr>
      <w:r>
        <w:rPr>
          <w:rFonts w:ascii="Times New Roman" w:hAnsi="Times New Roman"/>
          <w:b/>
          <w:i w:val="0"/>
          <w:color w:val="1F4E79"/>
          <w:sz w:val="28"/>
        </w:rPr>
        <w:t>2.1  Les fondements du ciblage en marketing digital</w:t>
      </w:r>
    </w:p>
    <w:p>
      <w:pPr>
        <w:spacing w:after="120"/>
        <w:jc w:val="both"/>
      </w:pPr>
      <w:r>
        <w:rPr>
          <w:rFonts w:ascii="Times New Roman" w:hAnsi="Times New Roman"/>
          <w:b w:val="0"/>
          <w:i w:val="0"/>
          <w:color w:val="1A1A1A"/>
          <w:sz w:val="24"/>
        </w:rPr>
        <w:t>Le ciblage publicitaire constitue l'un des leviers les plus determinants de l'efficacite d'une campagne marketing. Il designe l'ensemble des mecanismes permettant d'identifier et d'atteindre, parmi une population donnee, les individus les plus susceptibles d'etre receptifs a un message particulier et de realiser l'action souhaitee par l'annonceur. Un ciblage precis evite la dispersion du budget sur des audiences indifferentes et concentre l'investissement la ou il produit le plus de valeur.</w:t>
      </w:r>
    </w:p>
    <w:p>
      <w:pPr>
        <w:spacing w:after="120"/>
        <w:jc w:val="both"/>
      </w:pPr>
      <w:r>
        <w:rPr>
          <w:rFonts w:ascii="Times New Roman" w:hAnsi="Times New Roman"/>
          <w:b w:val="0"/>
          <w:i w:val="0"/>
          <w:color w:val="1A1A1A"/>
          <w:sz w:val="24"/>
        </w:rPr>
        <w:t>Le ciblage demographique repose sur des criteres factuels tels que l'age, le sexe, la localisation geographique, le niveau d'etudes ou la categorie socioprofessionnelle. Simple a mettre en oeuvre, il offre une couverture large mais une precision limitee. Dans le cadre de la campagne Varcadia, ce premier niveau de ciblage a ete fondamental : nous visions les familles avec enfants en bas age, les jeunes entre 15 et 30 ans, et les habitants de la region de Casablanca-Settat, avec une priorite donnee a Soualem et a ses communes limitrophes.</w:t>
      </w:r>
    </w:p>
    <w:p>
      <w:pPr>
        <w:spacing w:after="120"/>
        <w:jc w:val="both"/>
      </w:pPr>
      <w:r>
        <w:rPr>
          <w:rFonts w:ascii="Times New Roman" w:hAnsi="Times New Roman"/>
          <w:b w:val="0"/>
          <w:i w:val="0"/>
          <w:color w:val="1A1A1A"/>
          <w:sz w:val="24"/>
        </w:rPr>
        <w:t>Le ciblage comportemental exploite les donnees generees par les activites en ligne des utilisateurs : pages visitees, videos regardees, produits consultes, temps passe sur differents types de contenus. Ces donnees comportementales, collectees et interpretees par les algorithmes des plateformes publicitaires, permettent de construire des profils d'intention d'achat et d'adresser des messages a des individus dont le comportement recent indique un interet pour l'offre promue.</w:t>
      </w:r>
    </w:p>
    <w:p>
      <w:pPr>
        <w:spacing w:after="120"/>
        <w:jc w:val="both"/>
      </w:pPr>
      <w:r>
        <w:rPr>
          <w:rFonts w:ascii="Times New Roman" w:hAnsi="Times New Roman"/>
          <w:b w:val="0"/>
          <w:i w:val="0"/>
          <w:color w:val="1A1A1A"/>
          <w:sz w:val="24"/>
        </w:rPr>
        <w:t>Le reciblage, ou retargeting, permet de recontacter des utilisateurs ayant deja interagi avec la marque. Applique a la campagne Varcadia, cette technique a ete utilisee dans la phase de devoilement pour retoucher les audiences ayant visionne le teaser mais n'ayant pas encore effectue d'action de conversion. Le tableau ci-dessous recapitule les niveaux de ciblage et leur usage concret dans la campagne.</w:t>
      </w:r>
    </w:p>
    <w:p>
      <w:pPr>
        <w:spacing w:before="160" w:after="40"/>
        <w:jc w:val="left"/>
      </w:pPr>
      <w:r>
        <w:rPr>
          <w:rFonts w:ascii="Times New Roman" w:hAnsi="Times New Roman"/>
          <w:b/>
          <w:i/>
          <w:color w:val="1F4E79"/>
          <w:sz w:val="20"/>
        </w:rPr>
        <w:t>Tableau 2.1 - Strategie de ciblage de la campagne Varcadia</w:t>
      </w:r>
    </w:p>
    <w:tbl>
      <w:tblPr>
        <w:tblStyle w:val="LightGrid-Accent1"/>
        <w:tblW w:type="auto" w:w="0"/>
        <w:jc w:val="center"/>
        <w:tblLook w:firstColumn="1" w:firstRow="1" w:lastColumn="0" w:lastRow="0" w:noHBand="0" w:noVBand="1" w:val="04A0"/>
      </w:tblPr>
      <w:tblGrid>
        <w:gridCol w:w="3041"/>
        <w:gridCol w:w="3041"/>
        <w:gridCol w:w="3041"/>
      </w:tblGrid>
      <w:tr>
        <w:tc>
          <w:tcPr>
            <w:tcW w:type="dxa" w:w="2041"/>
            <w:shd w:val="clear" w:fill="1F4E79"/>
          </w:tcPr>
          <w:p>
            <w:pPr>
              <w:jc w:val="center"/>
            </w:pPr>
            <w:r/>
            <w:r>
              <w:rPr>
                <w:rFonts w:ascii="Times New Roman" w:hAnsi="Times New Roman"/>
                <w:b/>
                <w:i w:val="0"/>
                <w:color w:val="FFFFFF"/>
                <w:sz w:val="21"/>
              </w:rPr>
              <w:t>Type de ciblage</w:t>
            </w:r>
          </w:p>
        </w:tc>
        <w:tc>
          <w:tcPr>
            <w:tcW w:type="dxa" w:w="2835"/>
            <w:shd w:val="clear" w:fill="1F4E79"/>
          </w:tcPr>
          <w:p>
            <w:pPr>
              <w:jc w:val="center"/>
            </w:pPr>
            <w:r/>
            <w:r>
              <w:rPr>
                <w:rFonts w:ascii="Times New Roman" w:hAnsi="Times New Roman"/>
                <w:b/>
                <w:i w:val="0"/>
                <w:color w:val="FFFFFF"/>
                <w:sz w:val="21"/>
              </w:rPr>
              <w:t>Principe</w:t>
            </w:r>
          </w:p>
        </w:tc>
        <w:tc>
          <w:tcPr>
            <w:tcW w:type="dxa" w:w="3628"/>
            <w:shd w:val="clear" w:fill="1F4E79"/>
          </w:tcPr>
          <w:p>
            <w:pPr>
              <w:jc w:val="center"/>
            </w:pPr>
            <w:r/>
            <w:r>
              <w:rPr>
                <w:rFonts w:ascii="Times New Roman" w:hAnsi="Times New Roman"/>
                <w:b/>
                <w:i w:val="0"/>
                <w:color w:val="FFFFFF"/>
                <w:sz w:val="21"/>
              </w:rPr>
              <w:t>Application Varcadia</w:t>
            </w:r>
          </w:p>
        </w:tc>
      </w:tr>
      <w:tr>
        <w:tc>
          <w:tcPr>
            <w:tcW w:type="dxa" w:w="2041"/>
          </w:tcPr>
          <w:p>
            <w:pPr>
              <w:jc w:val="left"/>
            </w:pPr>
            <w:r/>
            <w:r>
              <w:rPr>
                <w:rFonts w:ascii="Times New Roman" w:hAnsi="Times New Roman"/>
                <w:b w:val="0"/>
                <w:i w:val="0"/>
                <w:color w:val="1A1A1A"/>
                <w:sz w:val="21"/>
              </w:rPr>
              <w:t>Demographique</w:t>
            </w:r>
          </w:p>
        </w:tc>
        <w:tc>
          <w:tcPr>
            <w:tcW w:type="dxa" w:w="2835"/>
          </w:tcPr>
          <w:p>
            <w:pPr>
              <w:jc w:val="center"/>
            </w:pPr>
            <w:r/>
            <w:r>
              <w:rPr>
                <w:rFonts w:ascii="Times New Roman" w:hAnsi="Times New Roman"/>
                <w:b w:val="0"/>
                <w:i w:val="0"/>
                <w:color w:val="1A1A1A"/>
                <w:sz w:val="21"/>
              </w:rPr>
              <w:t>Age, sexe, localisation</w:t>
            </w:r>
          </w:p>
        </w:tc>
        <w:tc>
          <w:tcPr>
            <w:tcW w:type="dxa" w:w="3628"/>
          </w:tcPr>
          <w:p>
            <w:pPr>
              <w:jc w:val="center"/>
            </w:pPr>
            <w:r/>
            <w:r>
              <w:rPr>
                <w:rFonts w:ascii="Times New Roman" w:hAnsi="Times New Roman"/>
                <w:b w:val="0"/>
                <w:i w:val="0"/>
                <w:color w:val="1A1A1A"/>
                <w:sz w:val="21"/>
              </w:rPr>
              <w:t>Familles 25-45 ans, jeunes 15-30 ans, region CS</w:t>
            </w:r>
          </w:p>
        </w:tc>
      </w:tr>
      <w:tr>
        <w:tc>
          <w:tcPr>
            <w:tcW w:type="dxa" w:w="2041"/>
          </w:tcPr>
          <w:p>
            <w:pPr>
              <w:jc w:val="left"/>
            </w:pPr>
            <w:r/>
            <w:r>
              <w:rPr>
                <w:rFonts w:ascii="Times New Roman" w:hAnsi="Times New Roman"/>
                <w:b w:val="0"/>
                <w:i w:val="0"/>
                <w:color w:val="1A1A1A"/>
                <w:sz w:val="21"/>
              </w:rPr>
              <w:t>Geographique</w:t>
            </w:r>
          </w:p>
        </w:tc>
        <w:tc>
          <w:tcPr>
            <w:tcW w:type="dxa" w:w="2835"/>
          </w:tcPr>
          <w:p>
            <w:pPr>
              <w:jc w:val="center"/>
            </w:pPr>
            <w:r/>
            <w:r>
              <w:rPr>
                <w:rFonts w:ascii="Times New Roman" w:hAnsi="Times New Roman"/>
                <w:b w:val="0"/>
                <w:i w:val="0"/>
                <w:color w:val="1A1A1A"/>
                <w:sz w:val="21"/>
              </w:rPr>
              <w:t>Zone de chalandise</w:t>
            </w:r>
          </w:p>
        </w:tc>
        <w:tc>
          <w:tcPr>
            <w:tcW w:type="dxa" w:w="3628"/>
          </w:tcPr>
          <w:p>
            <w:pPr>
              <w:jc w:val="center"/>
            </w:pPr>
            <w:r/>
            <w:r>
              <w:rPr>
                <w:rFonts w:ascii="Times New Roman" w:hAnsi="Times New Roman"/>
                <w:b w:val="0"/>
                <w:i w:val="0"/>
                <w:color w:val="1A1A1A"/>
                <w:sz w:val="21"/>
              </w:rPr>
              <w:t>Soualem + communes limitrophes (rayon prioritaire)</w:t>
            </w:r>
          </w:p>
        </w:tc>
      </w:tr>
      <w:tr>
        <w:tc>
          <w:tcPr>
            <w:tcW w:type="dxa" w:w="2041"/>
          </w:tcPr>
          <w:p>
            <w:pPr>
              <w:jc w:val="left"/>
            </w:pPr>
            <w:r/>
            <w:r>
              <w:rPr>
                <w:rFonts w:ascii="Times New Roman" w:hAnsi="Times New Roman"/>
                <w:b w:val="0"/>
                <w:i w:val="0"/>
                <w:color w:val="1A1A1A"/>
                <w:sz w:val="21"/>
              </w:rPr>
              <w:t>Comportemental</w:t>
            </w:r>
          </w:p>
        </w:tc>
        <w:tc>
          <w:tcPr>
            <w:tcW w:type="dxa" w:w="2835"/>
          </w:tcPr>
          <w:p>
            <w:pPr>
              <w:jc w:val="center"/>
            </w:pPr>
            <w:r/>
            <w:r>
              <w:rPr>
                <w:rFonts w:ascii="Times New Roman" w:hAnsi="Times New Roman"/>
                <w:b w:val="0"/>
                <w:i w:val="0"/>
                <w:color w:val="1A1A1A"/>
                <w:sz w:val="21"/>
              </w:rPr>
              <w:t>Centres d'interet, intentions</w:t>
            </w:r>
          </w:p>
        </w:tc>
        <w:tc>
          <w:tcPr>
            <w:tcW w:type="dxa" w:w="3628"/>
          </w:tcPr>
          <w:p>
            <w:pPr>
              <w:jc w:val="center"/>
            </w:pPr>
            <w:r/>
            <w:r>
              <w:rPr>
                <w:rFonts w:ascii="Times New Roman" w:hAnsi="Times New Roman"/>
                <w:b w:val="0"/>
                <w:i w:val="0"/>
                <w:color w:val="1A1A1A"/>
                <w:sz w:val="21"/>
              </w:rPr>
              <w:t>Loisirs, sorties familiales, parcs et divertissement</w:t>
            </w:r>
          </w:p>
        </w:tc>
      </w:tr>
      <w:tr>
        <w:tc>
          <w:tcPr>
            <w:tcW w:type="dxa" w:w="2041"/>
          </w:tcPr>
          <w:p>
            <w:pPr>
              <w:jc w:val="left"/>
            </w:pPr>
            <w:r/>
            <w:r>
              <w:rPr>
                <w:rFonts w:ascii="Times New Roman" w:hAnsi="Times New Roman"/>
                <w:b w:val="0"/>
                <w:i w:val="0"/>
                <w:color w:val="1A1A1A"/>
                <w:sz w:val="21"/>
              </w:rPr>
              <w:t>Audiences similaires</w:t>
            </w:r>
          </w:p>
        </w:tc>
        <w:tc>
          <w:tcPr>
            <w:tcW w:type="dxa" w:w="2835"/>
          </w:tcPr>
          <w:p>
            <w:pPr>
              <w:jc w:val="center"/>
            </w:pPr>
            <w:r/>
            <w:r>
              <w:rPr>
                <w:rFonts w:ascii="Times New Roman" w:hAnsi="Times New Roman"/>
                <w:b w:val="0"/>
                <w:i w:val="0"/>
                <w:color w:val="1A1A1A"/>
                <w:sz w:val="21"/>
              </w:rPr>
              <w:t>Profils proches des engages</w:t>
            </w:r>
          </w:p>
        </w:tc>
        <w:tc>
          <w:tcPr>
            <w:tcW w:type="dxa" w:w="3628"/>
          </w:tcPr>
          <w:p>
            <w:pPr>
              <w:jc w:val="center"/>
            </w:pPr>
            <w:r/>
            <w:r>
              <w:rPr>
                <w:rFonts w:ascii="Times New Roman" w:hAnsi="Times New Roman"/>
                <w:b w:val="0"/>
                <w:i w:val="0"/>
                <w:color w:val="1A1A1A"/>
                <w:sz w:val="21"/>
              </w:rPr>
              <w:t>Extension a partir des premiers spectateurs</w:t>
            </w:r>
          </w:p>
        </w:tc>
      </w:tr>
      <w:tr>
        <w:tc>
          <w:tcPr>
            <w:tcW w:type="dxa" w:w="2041"/>
          </w:tcPr>
          <w:p>
            <w:pPr>
              <w:jc w:val="left"/>
            </w:pPr>
            <w:r/>
            <w:r>
              <w:rPr>
                <w:rFonts w:ascii="Times New Roman" w:hAnsi="Times New Roman"/>
                <w:b w:val="0"/>
                <w:i w:val="0"/>
                <w:color w:val="1A1A1A"/>
                <w:sz w:val="21"/>
              </w:rPr>
              <w:t>Reciblage</w:t>
            </w:r>
          </w:p>
        </w:tc>
        <w:tc>
          <w:tcPr>
            <w:tcW w:type="dxa" w:w="2835"/>
          </w:tcPr>
          <w:p>
            <w:pPr>
              <w:jc w:val="center"/>
            </w:pPr>
            <w:r/>
            <w:r>
              <w:rPr>
                <w:rFonts w:ascii="Times New Roman" w:hAnsi="Times New Roman"/>
                <w:b w:val="0"/>
                <w:i w:val="0"/>
                <w:color w:val="1A1A1A"/>
                <w:sz w:val="21"/>
              </w:rPr>
              <w:t>Recontact des interesses</w:t>
            </w:r>
          </w:p>
        </w:tc>
        <w:tc>
          <w:tcPr>
            <w:tcW w:type="dxa" w:w="3628"/>
          </w:tcPr>
          <w:p>
            <w:pPr>
              <w:jc w:val="center"/>
            </w:pPr>
            <w:r/>
            <w:r>
              <w:rPr>
                <w:rFonts w:ascii="Times New Roman" w:hAnsi="Times New Roman"/>
                <w:b w:val="0"/>
                <w:i w:val="0"/>
                <w:color w:val="1A1A1A"/>
                <w:sz w:val="21"/>
              </w:rPr>
              <w:t>Spectateurs du teaser non encore convertis</w:t>
            </w:r>
          </w:p>
        </w:tc>
      </w:tr>
    </w:tbl>
    <w:p>
      <w:pPr>
        <w:spacing w:after="80"/>
      </w:pPr>
    </w:p>
    <w:p>
      <w:pPr>
        <w:spacing w:before="240" w:after="120"/>
      </w:pPr>
      <w:r>
        <w:rPr>
          <w:rFonts w:ascii="Times New Roman" w:hAnsi="Times New Roman"/>
          <w:b/>
          <w:i w:val="0"/>
          <w:color w:val="1F4E79"/>
          <w:sz w:val="28"/>
        </w:rPr>
        <w:t>2.2  L'apport de l'IA dans l'analyse des donnees et la segmentation</w:t>
      </w:r>
    </w:p>
    <w:p>
      <w:pPr>
        <w:spacing w:after="120"/>
        <w:jc w:val="both"/>
      </w:pPr>
      <w:r>
        <w:rPr>
          <w:rFonts w:ascii="Times New Roman" w:hAnsi="Times New Roman"/>
          <w:b w:val="0"/>
          <w:i w:val="0"/>
          <w:color w:val="1A1A1A"/>
          <w:sz w:val="24"/>
        </w:rPr>
        <w:t>L'intelligence artificielle a fondamentalement transforme les capacites de segmentation des audiences. La ou les approches manuelles reposaient sur un nombre limite de criteres statiques, les algorithmes de Machine Learning permettent de traiter simultanement des milliers de variables et d'identifier des micro-segments d'une granularite inedite. Cette finesse de segmentation autorise des messages plus pertinents et, par consequent, un meilleur retour sur investissement.</w:t>
      </w:r>
    </w:p>
    <w:p>
      <w:pPr>
        <w:spacing w:after="120"/>
        <w:jc w:val="both"/>
      </w:pPr>
      <w:r>
        <w:rPr>
          <w:rFonts w:ascii="Times New Roman" w:hAnsi="Times New Roman"/>
          <w:b w:val="0"/>
          <w:i w:val="0"/>
          <w:color w:val="1A1A1A"/>
          <w:sz w:val="24"/>
        </w:rPr>
        <w:t>Les modeles predictifs estiment la probabilite qu'un utilisateur realise une action souhaitee (achat, visite, inscription) en croisant ses caracteristiques demographiques avec ses comportements passes et le contexte de navigation. Cette approche predictive permet aux equipes marketing d'allouer leurs budgets de facon beaucoup plus efficiente, en concentrant les investissements sur les segments presentant le meilleur potentiel de conversion.</w:t>
      </w:r>
    </w:p>
    <w:p>
      <w:pPr>
        <w:spacing w:after="120"/>
        <w:jc w:val="both"/>
      </w:pPr>
      <w:r>
        <w:rPr>
          <w:rFonts w:ascii="Times New Roman" w:hAnsi="Times New Roman"/>
          <w:b w:val="0"/>
          <w:i w:val="0"/>
          <w:color w:val="1A1A1A"/>
          <w:sz w:val="24"/>
        </w:rPr>
        <w:t>Les algorithmes de clustering non supervise permettent quant a eux d'identifier automatiquement des groupes d'utilisateurs partageant des comportements similaires, sans que ces groupes aient ete definis a priori. Cette capacite a faire emerger des segments inattendus peut reveler des opportunites de ciblage que l'analyse humaine n'aurait pas identifiees. Lors de la campagne Varcadia, l'algorithme de Meta a ainsi etendu spontanement la diffusion vers des segments de jeunes adultes sans enfants, initialement secondaires dans notre plan, mais qui se sont reveles fortement engages.</w:t>
      </w:r>
    </w:p>
    <w:p>
      <w:pPr>
        <w:spacing w:before="240" w:after="120"/>
      </w:pPr>
      <w:r>
        <w:rPr>
          <w:rFonts w:ascii="Times New Roman" w:hAnsi="Times New Roman"/>
          <w:b/>
          <w:i w:val="0"/>
          <w:color w:val="1F4E79"/>
          <w:sz w:val="28"/>
        </w:rPr>
        <w:t>2.3  Personnalisation dynamique et recommandation en temps reel</w:t>
      </w:r>
    </w:p>
    <w:p>
      <w:pPr>
        <w:spacing w:after="120"/>
        <w:jc w:val="both"/>
      </w:pPr>
      <w:r>
        <w:rPr>
          <w:rFonts w:ascii="Times New Roman" w:hAnsi="Times New Roman"/>
          <w:b w:val="0"/>
          <w:i w:val="0"/>
          <w:color w:val="1A1A1A"/>
          <w:sz w:val="24"/>
        </w:rPr>
        <w:t>La personnalisation dynamique designe la capacite d'adapter, en temps reel, le contenu d'une communication publicitaire en fonction du contexte immediat de l'utilisateur : l'heure de la journee, sa localisation, l'appareil qu'il utilise, son comportement de navigation recent ou son stade dans le tunnel d'achat. Cette approche permet d'atteindre un niveau de pertinence publicitaire nettement superieur a celui des campagnes statiques.</w:t>
      </w:r>
    </w:p>
    <w:p>
      <w:pPr>
        <w:spacing w:after="120"/>
        <w:jc w:val="both"/>
      </w:pPr>
      <w:r>
        <w:rPr>
          <w:rFonts w:ascii="Times New Roman" w:hAnsi="Times New Roman"/>
          <w:b w:val="0"/>
          <w:i w:val="0"/>
          <w:color w:val="1A1A1A"/>
          <w:sz w:val="24"/>
        </w:rPr>
        <w:t>Les systemes de recommandation, fondes sur le filtrage collaboratif ou sur des approches hybrides, permettent de proposer a chaque utilisateur des contenus, produits ou services correspondant a ses preferences individuelles. Ces systemes constituent la colonne vertebrale des moteurs de recommandation de plateformes comme YouTube, dont l'algorithme determine en grande partie quels contenus et quelles publicites sont presentes a chaque utilisateur. Comprendre cette mecanique permet a l'annonceur de concevoir des contenus qui maximisent leur probabilite d'etre recommandes.</w:t>
      </w:r>
    </w:p>
    <w:p>
      <w:pPr>
        <w:spacing w:before="240" w:after="120"/>
      </w:pPr>
      <w:r>
        <w:rPr>
          <w:rFonts w:ascii="Times New Roman" w:hAnsi="Times New Roman"/>
          <w:b/>
          <w:i w:val="0"/>
          <w:color w:val="1F4E79"/>
          <w:sz w:val="28"/>
        </w:rPr>
        <w:t>2.4  Cas d'usage : YouTube Ads, Meta Ads et affichage multicanal</w:t>
      </w:r>
    </w:p>
    <w:p>
      <w:pPr>
        <w:spacing w:after="120"/>
        <w:jc w:val="both"/>
      </w:pPr>
      <w:r>
        <w:rPr>
          <w:rFonts w:ascii="Times New Roman" w:hAnsi="Times New Roman"/>
          <w:b w:val="0"/>
          <w:i w:val="0"/>
          <w:color w:val="1A1A1A"/>
          <w:sz w:val="24"/>
        </w:rPr>
        <w:t>YouTube Ads offre des capacites de ciblage particulierement avancees dans le domaine de la publicite video. Les annonceurs peuvent definir leurs audiences sur la base des centres d'interet, des intentions d'achat, des caracteristiques demographiques ou du comportement sur la plateforme. Les formats TrueView facturent l'annonceur uniquement lorsque l'utilisateur choisit de regarder la publicite, garantissant un engagement minimal de l'audience exposee.</w:t>
      </w:r>
    </w:p>
    <w:p>
      <w:pPr>
        <w:spacing w:after="120"/>
        <w:jc w:val="both"/>
      </w:pPr>
      <w:r>
        <w:rPr>
          <w:rFonts w:ascii="Times New Roman" w:hAnsi="Times New Roman"/>
          <w:b w:val="0"/>
          <w:i w:val="0"/>
          <w:color w:val="1A1A1A"/>
          <w:sz w:val="24"/>
        </w:rPr>
        <w:t>Meta Ads, accessible via Facebook et Instagram, se distingue par la richesse des donnees sociales et comportementales disponibles. L'algorithme d'optimisation de Meta apprend en continu a identifier les profils d'utilisateurs les plus susceptibles de realiser l'action souhaitee. Pour la campagne Varcadia, Meta Ads a constitue le principal canal d'engagement organique, grace notamment aux formats Reels et Stories, particulierement adaptes a la consommation mobile et au contenu video court.</w:t>
      </w:r>
    </w:p>
    <w:p>
      <w:pPr>
        <w:spacing w:after="120"/>
        <w:jc w:val="both"/>
      </w:pPr>
      <w:r>
        <w:rPr>
          <w:rFonts w:ascii="Times New Roman" w:hAnsi="Times New Roman"/>
          <w:b w:val="0"/>
          <w:i w:val="0"/>
          <w:color w:val="1A1A1A"/>
          <w:sz w:val="24"/>
        </w:rPr>
        <w:t>L'affichage urbain, enfin, a complete le dispositif digital en assurant une presence physique dans la ville de Soualem. Ce canal traditionnel a joue un role important dans la construction de la notoriete locale et dans la creation d'un effet d'anticipation au sein de la communaute, contribuant a ancrer Varcadia dans le paysage de la ville avant meme son ouverture. La complementarite entre la portee mesurable du digital et l'ancrage territorial de l'affichage constitue l'un des enseignements majeurs de la campagne, sur lequel nous reviendrons au chapitre 6.</w:t>
      </w:r>
    </w:p>
    <w:p>
      <w:pPr>
        <w:spacing w:before="280"/>
        <w:pBdr>
          <w:top w:val="single" w:sz="4" w:space="4" w:color="999999"/>
        </w:pBdr>
      </w:pPr>
      <w:r>
        <w:rPr>
          <w:rFonts w:ascii="Times New Roman" w:hAnsi="Times New Roman"/>
          <w:b/>
          <w:i/>
          <w:color w:val="595959"/>
          <w:sz w:val="18"/>
        </w:rPr>
        <w:t>Notes et references</w:t>
      </w:r>
    </w:p>
    <w:p>
      <w:pPr>
        <w:spacing w:after="40"/>
      </w:pPr>
      <w:r>
        <w:rPr>
          <w:rFonts w:ascii="Times New Roman" w:hAnsi="Times New Roman"/>
          <w:b w:val="0"/>
          <w:i w:val="0"/>
          <w:color w:val="595959"/>
          <w:sz w:val="18"/>
        </w:rPr>
        <w:t>5. Chollet, F. (2021). Deep Learning with Python (2e ed.). Manning Publications.</w:t>
      </w:r>
    </w:p>
    <w:p>
      <w:pPr>
        <w:spacing w:after="40"/>
      </w:pPr>
      <w:r>
        <w:rPr>
          <w:rFonts w:ascii="Times New Roman" w:hAnsi="Times New Roman"/>
          <w:b w:val="0"/>
          <w:i w:val="0"/>
          <w:color w:val="595959"/>
          <w:sz w:val="18"/>
        </w:rPr>
        <w:t>6. Meta for Business (2024). Guide des bonnes pratiques Meta Ads. business.facebook.com.</w:t>
      </w:r>
    </w:p>
    <w:p>
      <w:r>
        <w:br w:type="page"/>
      </w:r>
    </w:p>
    <w:p>
      <w:pPr>
        <w:spacing w:before="120" w:after="280"/>
        <w:jc w:val="left"/>
        <w:pBdr>
          <w:bottom w:val="single" w:sz="6" w:space="6" w:color="1F4E79"/>
        </w:pBdr>
      </w:pPr>
      <w:r>
        <w:rPr>
          <w:rFonts w:ascii="Times New Roman" w:hAnsi="Times New Roman"/>
          <w:b/>
          <w:i w:val="0"/>
          <w:color w:val="2E75B6"/>
          <w:sz w:val="26"/>
        </w:rPr>
        <w:t>Chapitre 3</w:t>
        <w:br/>
      </w:r>
      <w:r>
        <w:rPr>
          <w:rFonts w:ascii="Times New Roman" w:hAnsi="Times New Roman"/>
          <w:b/>
          <w:i w:val="0"/>
          <w:color w:val="1F4E79"/>
          <w:sz w:val="36"/>
        </w:rPr>
        <w:t>L'IA et la Generation de Contenu Publicitaire</w:t>
      </w:r>
    </w:p>
    <w:p>
      <w:pPr>
        <w:spacing w:before="240" w:after="120"/>
      </w:pPr>
      <w:r>
        <w:rPr>
          <w:rFonts w:ascii="Times New Roman" w:hAnsi="Times New Roman"/>
          <w:b/>
          <w:i w:val="0"/>
          <w:color w:val="1F4E79"/>
          <w:sz w:val="28"/>
        </w:rPr>
        <w:t>3.1  Le contenu marketing a l'ere de l'IA generative</w:t>
      </w:r>
    </w:p>
    <w:p>
      <w:pPr>
        <w:spacing w:after="120"/>
        <w:jc w:val="both"/>
      </w:pPr>
      <w:r>
        <w:rPr>
          <w:rFonts w:ascii="Times New Roman" w:hAnsi="Times New Roman"/>
          <w:b w:val="0"/>
          <w:i w:val="0"/>
          <w:color w:val="1A1A1A"/>
          <w:sz w:val="24"/>
        </w:rPr>
        <w:t>La creation publicitaire a longtemps repose sur la seule creativite humaine. Concepteurs, directeurs artistiques, realisateurs et redacteurs constituaient le coeur des equipes creatives, responsables de l'elaboration de messages capables de capter l'attention du consommateur, de susciter une emotion et d'inciter a l'action. Ce processus, riche mais long et couteux, s'avere de plus en plus difficile a soutenir dans un environnement ou la demande de contenus est exponentielle et ou les formats se multiplient sur chaque plateforme.</w:t>
      </w:r>
    </w:p>
    <w:p>
      <w:pPr>
        <w:spacing w:after="120"/>
        <w:jc w:val="both"/>
      </w:pPr>
      <w:r>
        <w:rPr>
          <w:rFonts w:ascii="Times New Roman" w:hAnsi="Times New Roman"/>
          <w:b w:val="0"/>
          <w:i w:val="0"/>
          <w:color w:val="1A1A1A"/>
          <w:sz w:val="24"/>
        </w:rPr>
        <w:t>L'IA generative a ouvert une nouvelle ere pour la production de contenus marketing. Elle ne remplace pas le jugement creatif humain, mais en demultiplie la portee : un brief bien formule peut desormais produire, en quelques minutes, des dizaines de variantes visuelles ou redactionnelles, que l'equipe peut ensuite selectionner, affiner et deployer. Le role du marketeur se deplace ainsi de l'execution vers la direction artistique et la definition des intentions. Cette evolution est au coeur de la methode de travail que nous avons appliquee chez Volcano Vision et Widma Digitale.</w:t>
      </w:r>
    </w:p>
    <w:p>
      <w:pPr>
        <w:spacing w:before="240" w:after="120"/>
      </w:pPr>
      <w:r>
        <w:rPr>
          <w:rFonts w:ascii="Times New Roman" w:hAnsi="Times New Roman"/>
          <w:b/>
          <w:i w:val="0"/>
          <w:color w:val="1F4E79"/>
          <w:sz w:val="28"/>
        </w:rPr>
        <w:t>3.2  Kling AI et Nano Banana Pro : deux outils au coeur de notre demarche</w:t>
      </w:r>
    </w:p>
    <w:p>
      <w:pPr>
        <w:spacing w:after="120"/>
        <w:jc w:val="both"/>
      </w:pPr>
      <w:r>
        <w:rPr>
          <w:rFonts w:ascii="Times New Roman" w:hAnsi="Times New Roman"/>
          <w:b w:val="0"/>
          <w:i w:val="0"/>
          <w:color w:val="1A1A1A"/>
          <w:sz w:val="24"/>
        </w:rPr>
        <w:t>Kling AI est une plateforme de generation video par intelligence artificielle developpee par Kuaishou Technology, l'un des leaders mondiaux de la video courte. Elle permet de generer des sequences video coherentes et realistes a partir de descriptions textuelles (text-to-video) ou d'images de reference (image-to-video). Ses capacites de simulation des mouvements physiques et de maintien de la coherence temporelle entre les plans la distinguent des solutions concurrentes et en font un outil particulierement adapte a la production de contenus publicitaires video.</w:t>
      </w:r>
    </w:p>
    <w:p>
      <w:pPr>
        <w:spacing w:after="120"/>
        <w:jc w:val="both"/>
      </w:pPr>
      <w:r>
        <w:rPr>
          <w:rFonts w:ascii="Times New Roman" w:hAnsi="Times New Roman"/>
          <w:b w:val="0"/>
          <w:i w:val="0"/>
          <w:color w:val="1A1A1A"/>
          <w:sz w:val="24"/>
        </w:rPr>
        <w:t>Nano Banana Pro est un outil d'edition et de generation video assiste par IA, concu pour la production de contenus courts formats destines aux plateformes de diffusion sociales et publicitaires. Il propose des fonctionnalites d'edition automatisee, de synchronisation musicale intelligente, d'ajout d'effets visuels generes par IA et d'optimisation automatique des formats selon les specifications de chaque plateforme. Sa prise en main intuitive le rend accessible a des equipes de petite taille, comme c'est le cas chez Volcano Vision.</w:t>
      </w:r>
    </w:p>
    <w:p>
      <w:pPr>
        <w:spacing w:after="120"/>
        <w:jc w:val="both"/>
      </w:pPr>
      <w:r>
        <w:rPr>
          <w:rFonts w:ascii="Times New Roman" w:hAnsi="Times New Roman"/>
          <w:b w:val="0"/>
          <w:i w:val="0"/>
          <w:color w:val="1A1A1A"/>
          <w:sz w:val="24"/>
        </w:rPr>
        <w:t>Dans le cadre de la campagne Varcadia, nous avons utilise ces deux outils de maniere complementaire. Kling AI a ete mobilise pour generer des sequences visuelles immersives et spectaculaires, venant enrichir les rushes filmes sur place au sein du parc. Nano Banana Pro a assure l'edition et l'assemblage final des pieces, ainsi que l'adaptation aux differents formats requis par YouTube Ads et Meta Ads. Le tableau ci-dessous resume la repartition des roles entre les deux outils.</w:t>
      </w:r>
    </w:p>
    <w:p>
      <w:pPr>
        <w:spacing w:before="160" w:after="40"/>
        <w:jc w:val="left"/>
      </w:pPr>
      <w:r>
        <w:rPr>
          <w:rFonts w:ascii="Times New Roman" w:hAnsi="Times New Roman"/>
          <w:b/>
          <w:i/>
          <w:color w:val="1F4E79"/>
          <w:sz w:val="20"/>
        </w:rPr>
        <w:t>Tableau 3.1 - Repartition des roles entre Kling AI et Nano Banana Pro</w:t>
      </w:r>
    </w:p>
    <w:tbl>
      <w:tblPr>
        <w:tblStyle w:val="LightGrid-Accent1"/>
        <w:tblW w:type="auto" w:w="0"/>
        <w:jc w:val="center"/>
        <w:tblLook w:firstColumn="1" w:firstRow="1" w:lastColumn="0" w:lastRow="0" w:noHBand="0" w:noVBand="1" w:val="04A0"/>
      </w:tblPr>
      <w:tblGrid>
        <w:gridCol w:w="3041"/>
        <w:gridCol w:w="3041"/>
        <w:gridCol w:w="3041"/>
      </w:tblGrid>
      <w:tr>
        <w:tc>
          <w:tcPr>
            <w:tcW w:type="dxa" w:w="2608"/>
            <w:shd w:val="clear" w:fill="1F4E79"/>
          </w:tcPr>
          <w:p>
            <w:pPr>
              <w:jc w:val="center"/>
            </w:pPr>
            <w:r/>
            <w:r>
              <w:rPr>
                <w:rFonts w:ascii="Times New Roman" w:hAnsi="Times New Roman"/>
                <w:b/>
                <w:i w:val="0"/>
                <w:color w:val="FFFFFF"/>
                <w:sz w:val="21"/>
              </w:rPr>
              <w:t>Etape de production</w:t>
            </w:r>
          </w:p>
        </w:tc>
        <w:tc>
          <w:tcPr>
            <w:tcW w:type="dxa" w:w="2268"/>
            <w:shd w:val="clear" w:fill="1F4E79"/>
          </w:tcPr>
          <w:p>
            <w:pPr>
              <w:jc w:val="center"/>
            </w:pPr>
            <w:r/>
            <w:r>
              <w:rPr>
                <w:rFonts w:ascii="Times New Roman" w:hAnsi="Times New Roman"/>
                <w:b/>
                <w:i w:val="0"/>
                <w:color w:val="FFFFFF"/>
                <w:sz w:val="21"/>
              </w:rPr>
              <w:t>Outil principal</w:t>
            </w:r>
          </w:p>
        </w:tc>
        <w:tc>
          <w:tcPr>
            <w:tcW w:type="dxa" w:w="3628"/>
            <w:shd w:val="clear" w:fill="1F4E79"/>
          </w:tcPr>
          <w:p>
            <w:pPr>
              <w:jc w:val="center"/>
            </w:pPr>
            <w:r/>
            <w:r>
              <w:rPr>
                <w:rFonts w:ascii="Times New Roman" w:hAnsi="Times New Roman"/>
                <w:b/>
                <w:i w:val="0"/>
                <w:color w:val="FFFFFF"/>
                <w:sz w:val="21"/>
              </w:rPr>
              <w:t>Apport concret</w:t>
            </w:r>
          </w:p>
        </w:tc>
      </w:tr>
      <w:tr>
        <w:tc>
          <w:tcPr>
            <w:tcW w:type="dxa" w:w="2608"/>
          </w:tcPr>
          <w:p>
            <w:pPr>
              <w:jc w:val="left"/>
            </w:pPr>
            <w:r/>
            <w:r>
              <w:rPr>
                <w:rFonts w:ascii="Times New Roman" w:hAnsi="Times New Roman"/>
                <w:b w:val="0"/>
                <w:i w:val="0"/>
                <w:color w:val="1A1A1A"/>
                <w:sz w:val="21"/>
              </w:rPr>
              <w:t>Tournage des rushes reels</w:t>
            </w:r>
          </w:p>
        </w:tc>
        <w:tc>
          <w:tcPr>
            <w:tcW w:type="dxa" w:w="2268"/>
          </w:tcPr>
          <w:p>
            <w:pPr>
              <w:jc w:val="center"/>
            </w:pPr>
            <w:r/>
            <w:r>
              <w:rPr>
                <w:rFonts w:ascii="Times New Roman" w:hAnsi="Times New Roman"/>
                <w:b w:val="0"/>
                <w:i w:val="0"/>
                <w:color w:val="1A1A1A"/>
                <w:sz w:val="21"/>
              </w:rPr>
              <w:t>Camera (terrain)</w:t>
            </w:r>
          </w:p>
        </w:tc>
        <w:tc>
          <w:tcPr>
            <w:tcW w:type="dxa" w:w="3628"/>
          </w:tcPr>
          <w:p>
            <w:pPr>
              <w:jc w:val="center"/>
            </w:pPr>
            <w:r/>
            <w:r>
              <w:rPr>
                <w:rFonts w:ascii="Times New Roman" w:hAnsi="Times New Roman"/>
                <w:b w:val="0"/>
                <w:i w:val="0"/>
                <w:color w:val="1A1A1A"/>
                <w:sz w:val="21"/>
              </w:rPr>
              <w:t>Authenticite, ancrage local</w:t>
            </w:r>
          </w:p>
        </w:tc>
      </w:tr>
      <w:tr>
        <w:tc>
          <w:tcPr>
            <w:tcW w:type="dxa" w:w="2608"/>
          </w:tcPr>
          <w:p>
            <w:pPr>
              <w:jc w:val="left"/>
            </w:pPr>
            <w:r/>
            <w:r>
              <w:rPr>
                <w:rFonts w:ascii="Times New Roman" w:hAnsi="Times New Roman"/>
                <w:b w:val="0"/>
                <w:i w:val="0"/>
                <w:color w:val="1A1A1A"/>
                <w:sz w:val="21"/>
              </w:rPr>
              <w:t>Generation de l'univers</w:t>
            </w:r>
          </w:p>
        </w:tc>
        <w:tc>
          <w:tcPr>
            <w:tcW w:type="dxa" w:w="2268"/>
          </w:tcPr>
          <w:p>
            <w:pPr>
              <w:jc w:val="center"/>
            </w:pPr>
            <w:r/>
            <w:r>
              <w:rPr>
                <w:rFonts w:ascii="Times New Roman" w:hAnsi="Times New Roman"/>
                <w:b w:val="0"/>
                <w:i w:val="0"/>
                <w:color w:val="1A1A1A"/>
                <w:sz w:val="21"/>
              </w:rPr>
              <w:t>Kling AI</w:t>
            </w:r>
          </w:p>
        </w:tc>
        <w:tc>
          <w:tcPr>
            <w:tcW w:type="dxa" w:w="3628"/>
          </w:tcPr>
          <w:p>
            <w:pPr>
              <w:jc w:val="center"/>
            </w:pPr>
            <w:r/>
            <w:r>
              <w:rPr>
                <w:rFonts w:ascii="Times New Roman" w:hAnsi="Times New Roman"/>
                <w:b w:val="0"/>
                <w:i w:val="0"/>
                <w:color w:val="1A1A1A"/>
                <w:sz w:val="21"/>
              </w:rPr>
              <w:t>Transitions, environnements immersifs</w:t>
            </w:r>
          </w:p>
        </w:tc>
      </w:tr>
      <w:tr>
        <w:tc>
          <w:tcPr>
            <w:tcW w:type="dxa" w:w="2608"/>
          </w:tcPr>
          <w:p>
            <w:pPr>
              <w:jc w:val="left"/>
            </w:pPr>
            <w:r/>
            <w:r>
              <w:rPr>
                <w:rFonts w:ascii="Times New Roman" w:hAnsi="Times New Roman"/>
                <w:b w:val="0"/>
                <w:i w:val="0"/>
                <w:color w:val="1A1A1A"/>
                <w:sz w:val="21"/>
              </w:rPr>
              <w:t>Animation de la mascotte</w:t>
            </w:r>
          </w:p>
        </w:tc>
        <w:tc>
          <w:tcPr>
            <w:tcW w:type="dxa" w:w="2268"/>
          </w:tcPr>
          <w:p>
            <w:pPr>
              <w:jc w:val="center"/>
            </w:pPr>
            <w:r/>
            <w:r>
              <w:rPr>
                <w:rFonts w:ascii="Times New Roman" w:hAnsi="Times New Roman"/>
                <w:b w:val="0"/>
                <w:i w:val="0"/>
                <w:color w:val="1A1A1A"/>
                <w:sz w:val="21"/>
              </w:rPr>
              <w:t>Kling AI</w:t>
            </w:r>
          </w:p>
        </w:tc>
        <w:tc>
          <w:tcPr>
            <w:tcW w:type="dxa" w:w="3628"/>
          </w:tcPr>
          <w:p>
            <w:pPr>
              <w:jc w:val="center"/>
            </w:pPr>
            <w:r/>
            <w:r>
              <w:rPr>
                <w:rFonts w:ascii="Times New Roman" w:hAnsi="Times New Roman"/>
                <w:b w:val="0"/>
                <w:i w:val="0"/>
                <w:color w:val="1A1A1A"/>
                <w:sz w:val="21"/>
              </w:rPr>
              <w:t>Mouvement fluide, coherence des plans</w:t>
            </w:r>
          </w:p>
        </w:tc>
      </w:tr>
      <w:tr>
        <w:tc>
          <w:tcPr>
            <w:tcW w:type="dxa" w:w="2608"/>
          </w:tcPr>
          <w:p>
            <w:pPr>
              <w:jc w:val="left"/>
            </w:pPr>
            <w:r/>
            <w:r>
              <w:rPr>
                <w:rFonts w:ascii="Times New Roman" w:hAnsi="Times New Roman"/>
                <w:b w:val="0"/>
                <w:i w:val="0"/>
                <w:color w:val="1A1A1A"/>
                <w:sz w:val="21"/>
              </w:rPr>
              <w:t>Montage et assemblage</w:t>
            </w:r>
          </w:p>
        </w:tc>
        <w:tc>
          <w:tcPr>
            <w:tcW w:type="dxa" w:w="2268"/>
          </w:tcPr>
          <w:p>
            <w:pPr>
              <w:jc w:val="center"/>
            </w:pPr>
            <w:r/>
            <w:r>
              <w:rPr>
                <w:rFonts w:ascii="Times New Roman" w:hAnsi="Times New Roman"/>
                <w:b w:val="0"/>
                <w:i w:val="0"/>
                <w:color w:val="1A1A1A"/>
                <w:sz w:val="21"/>
              </w:rPr>
              <w:t>Nano Banana Pro</w:t>
            </w:r>
          </w:p>
        </w:tc>
        <w:tc>
          <w:tcPr>
            <w:tcW w:type="dxa" w:w="3628"/>
          </w:tcPr>
          <w:p>
            <w:pPr>
              <w:jc w:val="center"/>
            </w:pPr>
            <w:r/>
            <w:r>
              <w:rPr>
                <w:rFonts w:ascii="Times New Roman" w:hAnsi="Times New Roman"/>
                <w:b w:val="0"/>
                <w:i w:val="0"/>
                <w:color w:val="1A1A1A"/>
                <w:sz w:val="21"/>
              </w:rPr>
              <w:t>Rythme, synchronisation musicale</w:t>
            </w:r>
          </w:p>
        </w:tc>
      </w:tr>
      <w:tr>
        <w:tc>
          <w:tcPr>
            <w:tcW w:type="dxa" w:w="2608"/>
          </w:tcPr>
          <w:p>
            <w:pPr>
              <w:jc w:val="left"/>
            </w:pPr>
            <w:r/>
            <w:r>
              <w:rPr>
                <w:rFonts w:ascii="Times New Roman" w:hAnsi="Times New Roman"/>
                <w:b w:val="0"/>
                <w:i w:val="0"/>
                <w:color w:val="1A1A1A"/>
                <w:sz w:val="21"/>
              </w:rPr>
              <w:t>Adaptation des formats</w:t>
            </w:r>
          </w:p>
        </w:tc>
        <w:tc>
          <w:tcPr>
            <w:tcW w:type="dxa" w:w="2268"/>
          </w:tcPr>
          <w:p>
            <w:pPr>
              <w:jc w:val="center"/>
            </w:pPr>
            <w:r/>
            <w:r>
              <w:rPr>
                <w:rFonts w:ascii="Times New Roman" w:hAnsi="Times New Roman"/>
                <w:b w:val="0"/>
                <w:i w:val="0"/>
                <w:color w:val="1A1A1A"/>
                <w:sz w:val="21"/>
              </w:rPr>
              <w:t>Nano Banana Pro</w:t>
            </w:r>
          </w:p>
        </w:tc>
        <w:tc>
          <w:tcPr>
            <w:tcW w:type="dxa" w:w="3628"/>
          </w:tcPr>
          <w:p>
            <w:pPr>
              <w:jc w:val="center"/>
            </w:pPr>
            <w:r/>
            <w:r>
              <w:rPr>
                <w:rFonts w:ascii="Times New Roman" w:hAnsi="Times New Roman"/>
                <w:b w:val="0"/>
                <w:i w:val="0"/>
                <w:color w:val="1A1A1A"/>
                <w:sz w:val="21"/>
              </w:rPr>
              <w:t>16:9, 9:16, 1:1, 6s / 15s / 30s</w:t>
            </w:r>
          </w:p>
        </w:tc>
      </w:tr>
    </w:tbl>
    <w:p>
      <w:pPr>
        <w:spacing w:after="80"/>
      </w:pPr>
    </w:p>
    <w:p>
      <w:pPr>
        <w:spacing w:before="240" w:after="120"/>
      </w:pPr>
      <w:r>
        <w:rPr>
          <w:rFonts w:ascii="Times New Roman" w:hAnsi="Times New Roman"/>
          <w:b/>
          <w:i w:val="0"/>
          <w:color w:val="1F4E79"/>
          <w:sz w:val="28"/>
        </w:rPr>
        <w:t>3.3  Performance du contenu genere par IA : indicateurs et resultats</w:t>
      </w:r>
    </w:p>
    <w:p>
      <w:pPr>
        <w:spacing w:after="120"/>
        <w:jc w:val="both"/>
      </w:pPr>
      <w:r>
        <w:rPr>
          <w:rFonts w:ascii="Times New Roman" w:hAnsi="Times New Roman"/>
          <w:b w:val="0"/>
          <w:i w:val="0"/>
          <w:color w:val="1A1A1A"/>
          <w:sz w:val="24"/>
        </w:rPr>
        <w:t>L'evaluation de la performance d'un contenu publicitaire genere par IA repose sur les memes indicateurs que tout contenu publicitaire digital. Le taux de visionnage mesure la proportion d'utilisateurs ayant regarde la publicite jusqu'a un seuil defini. Le taux de clics evalue la capacite du contenu a generer des actions de la part de l'audience exposee. Le cout par acquisition rapporte le budget investi au nombre de conversions generees. Le retour sur les depenses publicitaires mesure les revenus generes pour chaque unite monetaire investie.</w:t>
      </w:r>
    </w:p>
    <w:p>
      <w:pPr>
        <w:spacing w:after="120"/>
        <w:jc w:val="both"/>
      </w:pPr>
      <w:r>
        <w:rPr>
          <w:rFonts w:ascii="Times New Roman" w:hAnsi="Times New Roman"/>
          <w:b w:val="0"/>
          <w:i w:val="0"/>
          <w:color w:val="1A1A1A"/>
          <w:sz w:val="24"/>
        </w:rPr>
        <w:t>Les indicateurs qualitatifs sont tout aussi importants : le taux d'engagement, qui agrege les commentaires, partages et reactions, permet d'evaluer l'adhesion de l'audience au contenu ; le sentiment global des commentaires renseigne sur la perception de la marque ; la memorisation publicitaire, evaluee via des etudes specifiques, mesure l'ancrage du message dans la memoire des consommateurs.</w:t>
      </w:r>
    </w:p>
    <w:p>
      <w:pPr>
        <w:spacing w:after="120"/>
        <w:jc w:val="both"/>
      </w:pPr>
      <w:r>
        <w:rPr>
          <w:rFonts w:ascii="Times New Roman" w:hAnsi="Times New Roman"/>
          <w:b w:val="0"/>
          <w:i w:val="0"/>
          <w:color w:val="1A1A1A"/>
          <w:sz w:val="24"/>
        </w:rPr>
        <w:t>Pour la campagne Varcadia, les resultats obtenus ont valide notre approche. Plus d'un million de vues ont ete enregistrees sur l'ensemble des plateformes en un mois de teasing. Le taux d'engagement sur Meta Ads a depasse les benchmarks habituels pour ce type de campagne locale au Maroc. Surtout, la forte affluence enregistree des le jour de l'ouverture du parc constitue l'indicateur de conversion le plus parlant et le plus concret de l'efficacite globale de la strategie deployee. Le detail chiffre de ces resultats est presente au chapitre 6.</w:t>
      </w:r>
    </w:p>
    <w:p>
      <w:pPr>
        <w:spacing w:before="240" w:after="120"/>
      </w:pPr>
      <w:r>
        <w:rPr>
          <w:rFonts w:ascii="Times New Roman" w:hAnsi="Times New Roman"/>
          <w:b/>
          <w:i w:val="0"/>
          <w:color w:val="1F4E79"/>
          <w:sz w:val="28"/>
        </w:rPr>
        <w:t>3.4  Limites ethiques et enjeux de propriete intellectuelle</w:t>
      </w:r>
    </w:p>
    <w:p>
      <w:pPr>
        <w:spacing w:after="120"/>
        <w:jc w:val="both"/>
      </w:pPr>
      <w:r>
        <w:rPr>
          <w:rFonts w:ascii="Times New Roman" w:hAnsi="Times New Roman"/>
          <w:b w:val="0"/>
          <w:i w:val="0"/>
          <w:color w:val="1A1A1A"/>
          <w:sz w:val="24"/>
        </w:rPr>
        <w:t>Le recours a l'IA generative dans la production de contenus publicitaires souleve des questions ethiques et juridiques importantes. La transparence vis-a-vis du consommateur est l'une des plus debattues : faut-il indiquer qu'un contenu a ete produit ou assiste par IA ? Si aucune reglementation n'impose encore cette obligation de facon universelle, plusieurs organismes de regulation publicitaire et associations professionnelles plaident pour l'adoption de standards de transparence.</w:t>
      </w:r>
    </w:p>
    <w:p>
      <w:pPr>
        <w:spacing w:after="120"/>
        <w:jc w:val="both"/>
      </w:pPr>
      <w:r>
        <w:rPr>
          <w:rFonts w:ascii="Times New Roman" w:hAnsi="Times New Roman"/>
          <w:b w:val="0"/>
          <w:i w:val="0"/>
          <w:color w:val="1A1A1A"/>
          <w:sz w:val="24"/>
        </w:rPr>
        <w:t>Les questions de propriete intellectuelle sont egalement complexes. Les modeles d'IA generative sont entraines sur de vastes corpus dont les droits appartiennent a des tiers. La question de savoir si les contenus generes sont protegeables, et a qui appartiennent les droits sur ces contenus, fait l'objet de debats juridiques en cours dans de nombreuses juridictions, y compris en Europe et aux Etats-Unis. Les annonceurs doivent donc rester vigilants sur les conditions d'utilisation des outils qu'ils emploient.</w:t>
      </w:r>
    </w:p>
    <w:p>
      <w:pPr>
        <w:spacing w:after="120"/>
        <w:jc w:val="both"/>
      </w:pPr>
      <w:r>
        <w:rPr>
          <w:rFonts w:ascii="Times New Roman" w:hAnsi="Times New Roman"/>
          <w:b w:val="0"/>
          <w:i w:val="0"/>
          <w:color w:val="1A1A1A"/>
          <w:sz w:val="24"/>
        </w:rPr>
        <w:t>Enfin, les risques de biais algorithmiques meritent une attention particuliere. Les modeles d'IA peuvent reproduire ou amplifier des stereotypes presents dans leurs donnees d'entrainement, produisant des contenus qui vehiculent des representations biaisees. Une supervision humaine rigoureuse reste donc indispensable tout au long du processus de creation et de validation des contenus generes par IA. Cette exigence de supervision a guide notre methode de travail sur la campagne Varcadia, ou chaque sequence generee a fait l'objet d'une validation creative avant diffusion.</w:t>
      </w:r>
    </w:p>
    <w:p>
      <w:pPr>
        <w:spacing w:before="280"/>
        <w:pBdr>
          <w:top w:val="single" w:sz="4" w:space="4" w:color="999999"/>
        </w:pBdr>
      </w:pPr>
      <w:r>
        <w:rPr>
          <w:rFonts w:ascii="Times New Roman" w:hAnsi="Times New Roman"/>
          <w:b/>
          <w:i/>
          <w:color w:val="595959"/>
          <w:sz w:val="18"/>
        </w:rPr>
        <w:t>Notes et references</w:t>
      </w:r>
    </w:p>
    <w:p>
      <w:pPr>
        <w:spacing w:after="40"/>
      </w:pPr>
      <w:r>
        <w:rPr>
          <w:rFonts w:ascii="Times New Roman" w:hAnsi="Times New Roman"/>
          <w:b w:val="0"/>
          <w:i w:val="0"/>
          <w:color w:val="595959"/>
          <w:sz w:val="18"/>
        </w:rPr>
        <w:t>7. Kuaishou Technology (2024). Kling AI Technical Overview. Disponible sur : kling.kuaishou.com.</w:t>
      </w:r>
    </w:p>
    <w:p>
      <w:pPr>
        <w:spacing w:after="40"/>
      </w:pPr>
      <w:r>
        <w:rPr>
          <w:rFonts w:ascii="Times New Roman" w:hAnsi="Times New Roman"/>
          <w:b w:val="0"/>
          <w:i w:val="0"/>
          <w:color w:val="595959"/>
          <w:sz w:val="18"/>
        </w:rPr>
        <w:t>8. ARPP France (2024). Recommandations sur l'usage de l'IA generative en publicite.</w:t>
      </w:r>
    </w:p>
    <w:p>
      <w:r>
        <w:br w:type="page"/>
      </w:r>
    </w:p>
    <w:p/>
    <w:p/>
    <w:p/>
    <w:p/>
    <w:p/>
    <w:p/>
    <w:p>
      <w:pPr>
        <w:jc w:val="center"/>
      </w:pPr>
      <w:r>
        <w:rPr>
          <w:rFonts w:ascii="Times New Roman" w:hAnsi="Times New Roman"/>
          <w:b/>
          <w:i w:val="0"/>
          <w:color w:val="1F4E79"/>
          <w:sz w:val="52"/>
        </w:rPr>
        <w:t>PARTIE 2</w:t>
      </w:r>
    </w:p>
    <w:p>
      <w:pPr>
        <w:jc w:val="center"/>
      </w:pPr>
      <w:r>
        <w:rPr>
          <w:rFonts w:ascii="Times New Roman" w:hAnsi="Times New Roman"/>
          <w:b w:val="0"/>
          <w:i/>
          <w:color w:val="2E75B6"/>
          <w:sz w:val="36"/>
        </w:rPr>
        <w:t>Etude Empirique et Application Pratique</w:t>
      </w:r>
    </w:p>
    <w:p>
      <w:r>
        <w:br w:type="page"/>
      </w:r>
    </w:p>
    <w:p>
      <w:pPr>
        <w:spacing w:before="120" w:after="280"/>
        <w:jc w:val="left"/>
        <w:pBdr>
          <w:bottom w:val="single" w:sz="6" w:space="6" w:color="1F4E79"/>
        </w:pBdr>
      </w:pPr>
      <w:r>
        <w:rPr>
          <w:rFonts w:ascii="Times New Roman" w:hAnsi="Times New Roman"/>
          <w:b/>
          <w:i w:val="0"/>
          <w:color w:val="2E75B6"/>
          <w:sz w:val="26"/>
        </w:rPr>
        <w:t>Chapitre 4</w:t>
        <w:br/>
      </w:r>
      <w:r>
        <w:rPr>
          <w:rFonts w:ascii="Times New Roman" w:hAnsi="Times New Roman"/>
          <w:b/>
          <w:i w:val="0"/>
          <w:color w:val="1F4E79"/>
          <w:sz w:val="36"/>
        </w:rPr>
        <w:t>Methodologie de Recherche</w:t>
      </w:r>
    </w:p>
    <w:p>
      <w:pPr>
        <w:spacing w:before="240" w:after="120"/>
      </w:pPr>
      <w:r>
        <w:rPr>
          <w:rFonts w:ascii="Times New Roman" w:hAnsi="Times New Roman"/>
          <w:b/>
          <w:i w:val="0"/>
          <w:color w:val="1F4E79"/>
          <w:sz w:val="28"/>
        </w:rPr>
        <w:t>4.1  Positionnement epistemologique</w:t>
      </w:r>
    </w:p>
    <w:p>
      <w:pPr>
        <w:spacing w:after="120"/>
        <w:jc w:val="both"/>
      </w:pPr>
      <w:r>
        <w:rPr>
          <w:rFonts w:ascii="Times New Roman" w:hAnsi="Times New Roman"/>
          <w:b w:val="0"/>
          <w:i w:val="0"/>
          <w:color w:val="1A1A1A"/>
          <w:sz w:val="24"/>
        </w:rPr>
        <w:t>Ce travail s'inscrit dans un paradigme post-positiviste. Nous reconnaissons la complexite et la subjectivite partielle des phenomenes etudies, tout en cherchant a les apprehender de la facon la plus rigoureuse et la plus systematique possible. Notre positionnement est pragmatique : nous privilegions les methodes qui permettent de repondre le mieux possible a notre problematique, independamment de leur appartenance a un courant methodologique unique. Cette posture est particulierement adaptee a un objet d'etude aussi mouvant que l'IA marketing, ou la theorie peine a suivre le rythme de l'innovation.</w:t>
      </w:r>
    </w:p>
    <w:p>
      <w:pPr>
        <w:spacing w:before="240" w:after="120"/>
      </w:pPr>
      <w:r>
        <w:rPr>
          <w:rFonts w:ascii="Times New Roman" w:hAnsi="Times New Roman"/>
          <w:b/>
          <w:i w:val="0"/>
          <w:color w:val="1F4E79"/>
          <w:sz w:val="28"/>
        </w:rPr>
        <w:t>4.2  Methode mixte : approche quantitative et qualitative</w:t>
      </w:r>
    </w:p>
    <w:p>
      <w:pPr>
        <w:spacing w:after="120"/>
        <w:jc w:val="both"/>
      </w:pPr>
      <w:r>
        <w:rPr>
          <w:rFonts w:ascii="Times New Roman" w:hAnsi="Times New Roman"/>
          <w:b w:val="0"/>
          <w:i w:val="0"/>
          <w:color w:val="1A1A1A"/>
          <w:sz w:val="24"/>
        </w:rPr>
        <w:t>Nous avons adopte une demarche methodologique mixte, combinant une enquete quantitative par questionnaire et une etude de cas qualitative. Ces deux approches se completent : la premiere permet de dresser un tableau statistique des pratiques d'adoption de l'IA dans le marketing digital marocain, tandis que la seconde permet d'analyser en profondeur un cas concret et d'en tirer des enseignements transferables.</w:t>
      </w:r>
    </w:p>
    <w:p>
      <w:pPr>
        <w:spacing w:after="120"/>
        <w:jc w:val="both"/>
      </w:pPr>
      <w:r>
        <w:rPr>
          <w:rFonts w:ascii="Times New Roman" w:hAnsi="Times New Roman"/>
          <w:b w:val="0"/>
          <w:i w:val="0"/>
          <w:color w:val="1A1A1A"/>
          <w:sz w:val="24"/>
        </w:rPr>
        <w:t>L'enquete quantitative a ete conduite via un questionnaire auto-administre en ligne, diffuse aupres d'un echantillon de professionnels du marketing digital au Maroc. Le questionnaire etait structure en quatre parties : profil du repondant, niveau d'adoption de l'IA dans les pratiques marketing, evaluation de l'impact percu sur les performances, et perception du contenu genere par IA.</w:t>
      </w:r>
    </w:p>
    <w:p>
      <w:pPr>
        <w:spacing w:after="120"/>
        <w:jc w:val="both"/>
      </w:pPr>
      <w:r>
        <w:rPr>
          <w:rFonts w:ascii="Times New Roman" w:hAnsi="Times New Roman"/>
          <w:b w:val="0"/>
          <w:i w:val="0"/>
          <w:color w:val="1A1A1A"/>
          <w:sz w:val="24"/>
        </w:rPr>
        <w:t>L'etude qualitative a repose sur des entretiens semi-directifs menes aupres de cinq professionnels du secteur, ainsi que sur l'analyse detaillee de la campagne Varcadia. Les entretiens ont ete enregistres, retranscrits et analyses par la methode de l'analyse de contenu thematique. La triangulation de ces differentes sources de donnees renforce la validite de nos conclusions.</w:t>
      </w:r>
    </w:p>
    <w:p>
      <w:pPr>
        <w:spacing w:before="240" w:after="120"/>
      </w:pPr>
      <w:r>
        <w:rPr>
          <w:rFonts w:ascii="Times New Roman" w:hAnsi="Times New Roman"/>
          <w:b/>
          <w:i w:val="0"/>
          <w:color w:val="1F4E79"/>
          <w:sz w:val="28"/>
        </w:rPr>
        <w:t>4.3  Population cible et echantillonnage</w:t>
      </w:r>
    </w:p>
    <w:p>
      <w:pPr>
        <w:spacing w:after="120"/>
        <w:jc w:val="both"/>
      </w:pPr>
      <w:r>
        <w:rPr>
          <w:rFonts w:ascii="Times New Roman" w:hAnsi="Times New Roman"/>
          <w:b w:val="0"/>
          <w:i w:val="0"/>
          <w:color w:val="1A1A1A"/>
          <w:sz w:val="24"/>
        </w:rPr>
        <w:t>La population cible de notre etude quantitative est constituee des professionnels du marketing digital exercant au Maroc, qu'ils soient salaries d'entreprises, freelances ou collaborateurs d'agences. Nous avons opte pour un echantillonnage par convenance, en diffusant le questionnaire via les reseaux professionnels LinkedIn et via les communautes digitales marocaines actives sur les plateformes sociales.</w:t>
      </w:r>
    </w:p>
    <w:p>
      <w:pPr>
        <w:spacing w:after="120"/>
        <w:jc w:val="both"/>
      </w:pPr>
      <w:r>
        <w:rPr>
          <w:rFonts w:ascii="Times New Roman" w:hAnsi="Times New Roman"/>
          <w:b w:val="0"/>
          <w:i w:val="0"/>
          <w:color w:val="1A1A1A"/>
          <w:sz w:val="24"/>
        </w:rPr>
        <w:t>L'echantillon final comprend 87 repondants, dont une majorite travaille en agence de communication ou de marketing digital. Les profils representent une diversite de secteurs d'activite, de tailles d'entreprises et de niveaux d'experience, ce qui confere a notre echantillon une certaine representativite, meme si les conclusions ne sauraient etre generalisees a l'ensemble du secteur.</w:t>
      </w:r>
    </w:p>
    <w:p>
      <w:pPr>
        <w:spacing w:before="160" w:after="40"/>
        <w:jc w:val="left"/>
      </w:pPr>
      <w:r>
        <w:rPr>
          <w:rFonts w:ascii="Times New Roman" w:hAnsi="Times New Roman"/>
          <w:b/>
          <w:i/>
          <w:color w:val="1F4E79"/>
          <w:sz w:val="20"/>
        </w:rPr>
        <w:t>Tableau 4.1 - Profil de l'echantillon (n = 87)</w:t>
      </w:r>
    </w:p>
    <w:tbl>
      <w:tblPr>
        <w:tblStyle w:val="LightGrid-Accent1"/>
        <w:tblW w:type="auto" w:w="0"/>
        <w:jc w:val="center"/>
        <w:tblLook w:firstColumn="1" w:firstRow="1" w:lastColumn="0" w:lastRow="0" w:noHBand="0" w:noVBand="1" w:val="04A0"/>
      </w:tblPr>
      <w:tblGrid>
        <w:gridCol w:w="3041"/>
        <w:gridCol w:w="3041"/>
        <w:gridCol w:w="3041"/>
      </w:tblGrid>
      <w:tr>
        <w:tc>
          <w:tcPr>
            <w:tcW w:type="dxa" w:w="2608"/>
            <w:shd w:val="clear" w:fill="1F4E79"/>
          </w:tcPr>
          <w:p>
            <w:pPr>
              <w:jc w:val="center"/>
            </w:pPr>
            <w:r/>
            <w:r>
              <w:rPr>
                <w:rFonts w:ascii="Times New Roman" w:hAnsi="Times New Roman"/>
                <w:b/>
                <w:i w:val="0"/>
                <w:color w:val="FFFFFF"/>
                <w:sz w:val="21"/>
              </w:rPr>
              <w:t>Caracteristique</w:t>
            </w:r>
          </w:p>
        </w:tc>
        <w:tc>
          <w:tcPr>
            <w:tcW w:type="dxa" w:w="3061"/>
            <w:shd w:val="clear" w:fill="1F4E79"/>
          </w:tcPr>
          <w:p>
            <w:pPr>
              <w:jc w:val="center"/>
            </w:pPr>
            <w:r/>
            <w:r>
              <w:rPr>
                <w:rFonts w:ascii="Times New Roman" w:hAnsi="Times New Roman"/>
                <w:b/>
                <w:i w:val="0"/>
                <w:color w:val="FFFFFF"/>
                <w:sz w:val="21"/>
              </w:rPr>
              <w:t>Categorie</w:t>
            </w:r>
          </w:p>
        </w:tc>
        <w:tc>
          <w:tcPr>
            <w:tcW w:type="dxa" w:w="2835"/>
            <w:shd w:val="clear" w:fill="1F4E79"/>
          </w:tcPr>
          <w:p>
            <w:pPr>
              <w:jc w:val="center"/>
            </w:pPr>
            <w:r/>
            <w:r>
              <w:rPr>
                <w:rFonts w:ascii="Times New Roman" w:hAnsi="Times New Roman"/>
                <w:b/>
                <w:i w:val="0"/>
                <w:color w:val="FFFFFF"/>
                <w:sz w:val="21"/>
              </w:rPr>
              <w:t>Part de l'echantillon</w:t>
            </w:r>
          </w:p>
        </w:tc>
      </w:tr>
      <w:tr>
        <w:tc>
          <w:tcPr>
            <w:tcW w:type="dxa" w:w="2608"/>
          </w:tcPr>
          <w:p>
            <w:pPr>
              <w:jc w:val="left"/>
            </w:pPr>
            <w:r/>
            <w:r>
              <w:rPr>
                <w:rFonts w:ascii="Times New Roman" w:hAnsi="Times New Roman"/>
                <w:b w:val="0"/>
                <w:i w:val="0"/>
                <w:color w:val="1A1A1A"/>
                <w:sz w:val="21"/>
              </w:rPr>
              <w:t>Type de structure</w:t>
            </w:r>
          </w:p>
        </w:tc>
        <w:tc>
          <w:tcPr>
            <w:tcW w:type="dxa" w:w="3061"/>
          </w:tcPr>
          <w:p>
            <w:pPr>
              <w:jc w:val="center"/>
            </w:pPr>
            <w:r/>
            <w:r>
              <w:rPr>
                <w:rFonts w:ascii="Times New Roman" w:hAnsi="Times New Roman"/>
                <w:b w:val="0"/>
                <w:i w:val="0"/>
                <w:color w:val="1A1A1A"/>
                <w:sz w:val="21"/>
              </w:rPr>
              <w:t>Agence</w:t>
            </w:r>
          </w:p>
        </w:tc>
        <w:tc>
          <w:tcPr>
            <w:tcW w:type="dxa" w:w="2835"/>
          </w:tcPr>
          <w:p>
            <w:pPr>
              <w:jc w:val="center"/>
            </w:pPr>
            <w:r/>
            <w:r>
              <w:rPr>
                <w:rFonts w:ascii="Times New Roman" w:hAnsi="Times New Roman"/>
                <w:b w:val="0"/>
                <w:i w:val="0"/>
                <w:color w:val="1A1A1A"/>
                <w:sz w:val="21"/>
              </w:rPr>
              <w:t>48%</w:t>
            </w:r>
          </w:p>
        </w:tc>
      </w:tr>
      <w:tr>
        <w:tc>
          <w:tcPr>
            <w:tcW w:type="dxa" w:w="2608"/>
          </w:tcPr>
          <w:p>
            <w:pPr>
              <w:jc w:val="left"/>
            </w:pPr>
            <w:r/>
            <w:r>
              <w:rPr>
                <w:rFonts w:ascii="Times New Roman" w:hAnsi="Times New Roman"/>
                <w:b w:val="0"/>
                <w:i w:val="0"/>
                <w:color w:val="1A1A1A"/>
                <w:sz w:val="21"/>
              </w:rPr>
            </w:r>
          </w:p>
        </w:tc>
        <w:tc>
          <w:tcPr>
            <w:tcW w:type="dxa" w:w="3061"/>
          </w:tcPr>
          <w:p>
            <w:pPr>
              <w:jc w:val="center"/>
            </w:pPr>
            <w:r/>
            <w:r>
              <w:rPr>
                <w:rFonts w:ascii="Times New Roman" w:hAnsi="Times New Roman"/>
                <w:b w:val="0"/>
                <w:i w:val="0"/>
                <w:color w:val="1A1A1A"/>
                <w:sz w:val="21"/>
              </w:rPr>
              <w:t>Entreprise (in-house)</w:t>
            </w:r>
          </w:p>
        </w:tc>
        <w:tc>
          <w:tcPr>
            <w:tcW w:type="dxa" w:w="2835"/>
          </w:tcPr>
          <w:p>
            <w:pPr>
              <w:jc w:val="center"/>
            </w:pPr>
            <w:r/>
            <w:r>
              <w:rPr>
                <w:rFonts w:ascii="Times New Roman" w:hAnsi="Times New Roman"/>
                <w:b w:val="0"/>
                <w:i w:val="0"/>
                <w:color w:val="1A1A1A"/>
                <w:sz w:val="21"/>
              </w:rPr>
              <w:t>33%</w:t>
            </w:r>
          </w:p>
        </w:tc>
      </w:tr>
      <w:tr>
        <w:tc>
          <w:tcPr>
            <w:tcW w:type="dxa" w:w="2608"/>
          </w:tcPr>
          <w:p>
            <w:pPr>
              <w:jc w:val="left"/>
            </w:pPr>
            <w:r/>
            <w:r>
              <w:rPr>
                <w:rFonts w:ascii="Times New Roman" w:hAnsi="Times New Roman"/>
                <w:b w:val="0"/>
                <w:i w:val="0"/>
                <w:color w:val="1A1A1A"/>
                <w:sz w:val="21"/>
              </w:rPr>
            </w:r>
          </w:p>
        </w:tc>
        <w:tc>
          <w:tcPr>
            <w:tcW w:type="dxa" w:w="3061"/>
          </w:tcPr>
          <w:p>
            <w:pPr>
              <w:jc w:val="center"/>
            </w:pPr>
            <w:r/>
            <w:r>
              <w:rPr>
                <w:rFonts w:ascii="Times New Roman" w:hAnsi="Times New Roman"/>
                <w:b w:val="0"/>
                <w:i w:val="0"/>
                <w:color w:val="1A1A1A"/>
                <w:sz w:val="21"/>
              </w:rPr>
              <w:t>Freelance</w:t>
            </w:r>
          </w:p>
        </w:tc>
        <w:tc>
          <w:tcPr>
            <w:tcW w:type="dxa" w:w="2835"/>
          </w:tcPr>
          <w:p>
            <w:pPr>
              <w:jc w:val="center"/>
            </w:pPr>
            <w:r/>
            <w:r>
              <w:rPr>
                <w:rFonts w:ascii="Times New Roman" w:hAnsi="Times New Roman"/>
                <w:b w:val="0"/>
                <w:i w:val="0"/>
                <w:color w:val="1A1A1A"/>
                <w:sz w:val="21"/>
              </w:rPr>
              <w:t>19%</w:t>
            </w:r>
          </w:p>
        </w:tc>
      </w:tr>
      <w:tr>
        <w:tc>
          <w:tcPr>
            <w:tcW w:type="dxa" w:w="2608"/>
          </w:tcPr>
          <w:p>
            <w:pPr>
              <w:jc w:val="left"/>
            </w:pPr>
            <w:r/>
            <w:r>
              <w:rPr>
                <w:rFonts w:ascii="Times New Roman" w:hAnsi="Times New Roman"/>
                <w:b w:val="0"/>
                <w:i w:val="0"/>
                <w:color w:val="1A1A1A"/>
                <w:sz w:val="21"/>
              </w:rPr>
              <w:t>Experience</w:t>
            </w:r>
          </w:p>
        </w:tc>
        <w:tc>
          <w:tcPr>
            <w:tcW w:type="dxa" w:w="3061"/>
          </w:tcPr>
          <w:p>
            <w:pPr>
              <w:jc w:val="center"/>
            </w:pPr>
            <w:r/>
            <w:r>
              <w:rPr>
                <w:rFonts w:ascii="Times New Roman" w:hAnsi="Times New Roman"/>
                <w:b w:val="0"/>
                <w:i w:val="0"/>
                <w:color w:val="1A1A1A"/>
                <w:sz w:val="21"/>
              </w:rPr>
              <w:t>Moins de 3 ans</w:t>
            </w:r>
          </w:p>
        </w:tc>
        <w:tc>
          <w:tcPr>
            <w:tcW w:type="dxa" w:w="2835"/>
          </w:tcPr>
          <w:p>
            <w:pPr>
              <w:jc w:val="center"/>
            </w:pPr>
            <w:r/>
            <w:r>
              <w:rPr>
                <w:rFonts w:ascii="Times New Roman" w:hAnsi="Times New Roman"/>
                <w:b w:val="0"/>
                <w:i w:val="0"/>
                <w:color w:val="1A1A1A"/>
                <w:sz w:val="21"/>
              </w:rPr>
              <w:t>41%</w:t>
            </w:r>
          </w:p>
        </w:tc>
      </w:tr>
      <w:tr>
        <w:tc>
          <w:tcPr>
            <w:tcW w:type="dxa" w:w="2608"/>
          </w:tcPr>
          <w:p>
            <w:pPr>
              <w:jc w:val="left"/>
            </w:pPr>
            <w:r/>
            <w:r>
              <w:rPr>
                <w:rFonts w:ascii="Times New Roman" w:hAnsi="Times New Roman"/>
                <w:b w:val="0"/>
                <w:i w:val="0"/>
                <w:color w:val="1A1A1A"/>
                <w:sz w:val="21"/>
              </w:rPr>
            </w:r>
          </w:p>
        </w:tc>
        <w:tc>
          <w:tcPr>
            <w:tcW w:type="dxa" w:w="3061"/>
          </w:tcPr>
          <w:p>
            <w:pPr>
              <w:jc w:val="center"/>
            </w:pPr>
            <w:r/>
            <w:r>
              <w:rPr>
                <w:rFonts w:ascii="Times New Roman" w:hAnsi="Times New Roman"/>
                <w:b w:val="0"/>
                <w:i w:val="0"/>
                <w:color w:val="1A1A1A"/>
                <w:sz w:val="21"/>
              </w:rPr>
              <w:t>3 a 7 ans</w:t>
            </w:r>
          </w:p>
        </w:tc>
        <w:tc>
          <w:tcPr>
            <w:tcW w:type="dxa" w:w="2835"/>
          </w:tcPr>
          <w:p>
            <w:pPr>
              <w:jc w:val="center"/>
            </w:pPr>
            <w:r/>
            <w:r>
              <w:rPr>
                <w:rFonts w:ascii="Times New Roman" w:hAnsi="Times New Roman"/>
                <w:b w:val="0"/>
                <w:i w:val="0"/>
                <w:color w:val="1A1A1A"/>
                <w:sz w:val="21"/>
              </w:rPr>
              <w:t>39%</w:t>
            </w:r>
          </w:p>
        </w:tc>
      </w:tr>
      <w:tr>
        <w:tc>
          <w:tcPr>
            <w:tcW w:type="dxa" w:w="2608"/>
          </w:tcPr>
          <w:p>
            <w:pPr>
              <w:jc w:val="left"/>
            </w:pPr>
            <w:r/>
            <w:r>
              <w:rPr>
                <w:rFonts w:ascii="Times New Roman" w:hAnsi="Times New Roman"/>
                <w:b w:val="0"/>
                <w:i w:val="0"/>
                <w:color w:val="1A1A1A"/>
                <w:sz w:val="21"/>
              </w:rPr>
            </w:r>
          </w:p>
        </w:tc>
        <w:tc>
          <w:tcPr>
            <w:tcW w:type="dxa" w:w="3061"/>
          </w:tcPr>
          <w:p>
            <w:pPr>
              <w:jc w:val="center"/>
            </w:pPr>
            <w:r/>
            <w:r>
              <w:rPr>
                <w:rFonts w:ascii="Times New Roman" w:hAnsi="Times New Roman"/>
                <w:b w:val="0"/>
                <w:i w:val="0"/>
                <w:color w:val="1A1A1A"/>
                <w:sz w:val="21"/>
              </w:rPr>
              <w:t>Plus de 7 ans</w:t>
            </w:r>
          </w:p>
        </w:tc>
        <w:tc>
          <w:tcPr>
            <w:tcW w:type="dxa" w:w="2835"/>
          </w:tcPr>
          <w:p>
            <w:pPr>
              <w:jc w:val="center"/>
            </w:pPr>
            <w:r/>
            <w:r>
              <w:rPr>
                <w:rFonts w:ascii="Times New Roman" w:hAnsi="Times New Roman"/>
                <w:b w:val="0"/>
                <w:i w:val="0"/>
                <w:color w:val="1A1A1A"/>
                <w:sz w:val="21"/>
              </w:rPr>
              <w:t>20%</w:t>
            </w:r>
          </w:p>
        </w:tc>
      </w:tr>
      <w:tr>
        <w:tc>
          <w:tcPr>
            <w:tcW w:type="dxa" w:w="2608"/>
          </w:tcPr>
          <w:p>
            <w:pPr>
              <w:jc w:val="left"/>
            </w:pPr>
            <w:r/>
            <w:r>
              <w:rPr>
                <w:rFonts w:ascii="Times New Roman" w:hAnsi="Times New Roman"/>
                <w:b w:val="0"/>
                <w:i w:val="0"/>
                <w:color w:val="1A1A1A"/>
                <w:sz w:val="21"/>
              </w:rPr>
              <w:t>Tranche d'age</w:t>
            </w:r>
          </w:p>
        </w:tc>
        <w:tc>
          <w:tcPr>
            <w:tcW w:type="dxa" w:w="3061"/>
          </w:tcPr>
          <w:p>
            <w:pPr>
              <w:jc w:val="center"/>
            </w:pPr>
            <w:r/>
            <w:r>
              <w:rPr>
                <w:rFonts w:ascii="Times New Roman" w:hAnsi="Times New Roman"/>
                <w:b w:val="0"/>
                <w:i w:val="0"/>
                <w:color w:val="1A1A1A"/>
                <w:sz w:val="21"/>
              </w:rPr>
              <w:t>20-29 ans</w:t>
            </w:r>
          </w:p>
        </w:tc>
        <w:tc>
          <w:tcPr>
            <w:tcW w:type="dxa" w:w="2835"/>
          </w:tcPr>
          <w:p>
            <w:pPr>
              <w:jc w:val="center"/>
            </w:pPr>
            <w:r/>
            <w:r>
              <w:rPr>
                <w:rFonts w:ascii="Times New Roman" w:hAnsi="Times New Roman"/>
                <w:b w:val="0"/>
                <w:i w:val="0"/>
                <w:color w:val="1A1A1A"/>
                <w:sz w:val="21"/>
              </w:rPr>
              <w:t>57%</w:t>
            </w:r>
          </w:p>
        </w:tc>
      </w:tr>
      <w:tr>
        <w:tc>
          <w:tcPr>
            <w:tcW w:type="dxa" w:w="2608"/>
          </w:tcPr>
          <w:p>
            <w:pPr>
              <w:jc w:val="left"/>
            </w:pPr>
            <w:r/>
            <w:r>
              <w:rPr>
                <w:rFonts w:ascii="Times New Roman" w:hAnsi="Times New Roman"/>
                <w:b w:val="0"/>
                <w:i w:val="0"/>
                <w:color w:val="1A1A1A"/>
                <w:sz w:val="21"/>
              </w:rPr>
            </w:r>
          </w:p>
        </w:tc>
        <w:tc>
          <w:tcPr>
            <w:tcW w:type="dxa" w:w="3061"/>
          </w:tcPr>
          <w:p>
            <w:pPr>
              <w:jc w:val="center"/>
            </w:pPr>
            <w:r/>
            <w:r>
              <w:rPr>
                <w:rFonts w:ascii="Times New Roman" w:hAnsi="Times New Roman"/>
                <w:b w:val="0"/>
                <w:i w:val="0"/>
                <w:color w:val="1A1A1A"/>
                <w:sz w:val="21"/>
              </w:rPr>
              <w:t>30-39 ans</w:t>
            </w:r>
          </w:p>
        </w:tc>
        <w:tc>
          <w:tcPr>
            <w:tcW w:type="dxa" w:w="2835"/>
          </w:tcPr>
          <w:p>
            <w:pPr>
              <w:jc w:val="center"/>
            </w:pPr>
            <w:r/>
            <w:r>
              <w:rPr>
                <w:rFonts w:ascii="Times New Roman" w:hAnsi="Times New Roman"/>
                <w:b w:val="0"/>
                <w:i w:val="0"/>
                <w:color w:val="1A1A1A"/>
                <w:sz w:val="21"/>
              </w:rPr>
              <w:t>34%</w:t>
            </w:r>
          </w:p>
        </w:tc>
      </w:tr>
      <w:tr>
        <w:tc>
          <w:tcPr>
            <w:tcW w:type="dxa" w:w="2608"/>
          </w:tcPr>
          <w:p>
            <w:pPr>
              <w:jc w:val="left"/>
            </w:pPr>
            <w:r/>
            <w:r>
              <w:rPr>
                <w:rFonts w:ascii="Times New Roman" w:hAnsi="Times New Roman"/>
                <w:b w:val="0"/>
                <w:i w:val="0"/>
                <w:color w:val="1A1A1A"/>
                <w:sz w:val="21"/>
              </w:rPr>
            </w:r>
          </w:p>
        </w:tc>
        <w:tc>
          <w:tcPr>
            <w:tcW w:type="dxa" w:w="3061"/>
          </w:tcPr>
          <w:p>
            <w:pPr>
              <w:jc w:val="center"/>
            </w:pPr>
            <w:r/>
            <w:r>
              <w:rPr>
                <w:rFonts w:ascii="Times New Roman" w:hAnsi="Times New Roman"/>
                <w:b w:val="0"/>
                <w:i w:val="0"/>
                <w:color w:val="1A1A1A"/>
                <w:sz w:val="21"/>
              </w:rPr>
              <w:t>40 ans et plus</w:t>
            </w:r>
          </w:p>
        </w:tc>
        <w:tc>
          <w:tcPr>
            <w:tcW w:type="dxa" w:w="2835"/>
          </w:tcPr>
          <w:p>
            <w:pPr>
              <w:jc w:val="center"/>
            </w:pPr>
            <w:r/>
            <w:r>
              <w:rPr>
                <w:rFonts w:ascii="Times New Roman" w:hAnsi="Times New Roman"/>
                <w:b w:val="0"/>
                <w:i w:val="0"/>
                <w:color w:val="1A1A1A"/>
                <w:sz w:val="21"/>
              </w:rPr>
              <w:t>9%</w:t>
            </w:r>
          </w:p>
        </w:tc>
      </w:tr>
    </w:tbl>
    <w:p>
      <w:pPr>
        <w:spacing w:after="80"/>
      </w:pPr>
    </w:p>
    <w:p>
      <w:pPr>
        <w:spacing w:before="240" w:after="120"/>
      </w:pPr>
      <w:r>
        <w:rPr>
          <w:rFonts w:ascii="Times New Roman" w:hAnsi="Times New Roman"/>
          <w:b/>
          <w:i w:val="0"/>
          <w:color w:val="1F4E79"/>
          <w:sz w:val="28"/>
        </w:rPr>
        <w:t>4.4  Outils de collecte et d'analyse des donnees</w:t>
      </w:r>
    </w:p>
    <w:p>
      <w:pPr>
        <w:spacing w:after="120"/>
        <w:jc w:val="both"/>
      </w:pPr>
      <w:r>
        <w:rPr>
          <w:rFonts w:ascii="Times New Roman" w:hAnsi="Times New Roman"/>
          <w:b w:val="0"/>
          <w:i w:val="0"/>
          <w:color w:val="1A1A1A"/>
          <w:sz w:val="24"/>
        </w:rPr>
        <w:t>Le questionnaire a ete concu et administre via Google Forms. Les donnees collectees ont ete exportees vers le logiciel SPSS pour les traitements statistiques, incluant des analyses descriptives (frequences, moyennes, ecarts-types) et des analyses bivariees (croisements, tests du khi-deux) visant a identifier des associations entre les variables d'interet.</w:t>
      </w:r>
    </w:p>
    <w:p>
      <w:pPr>
        <w:spacing w:after="120"/>
        <w:jc w:val="both"/>
      </w:pPr>
      <w:r>
        <w:rPr>
          <w:rFonts w:ascii="Times New Roman" w:hAnsi="Times New Roman"/>
          <w:b w:val="0"/>
          <w:i w:val="0"/>
          <w:color w:val="1A1A1A"/>
          <w:sz w:val="24"/>
        </w:rPr>
        <w:t>L'analyse qualitative des entretiens et de la campagne Varcadia a repose sur une grille d'analyse thematique construite a partir de nos hypotheses de recherche et affinee au fil des lectures. Les themes retenus couvrent les motivations d'adoption de l'IA, les freins rencontres, les indicateurs de performance utilises et la perception du contenu genere par IA par les professionnels et par les consommateurs.</w:t>
      </w:r>
    </w:p>
    <w:p>
      <w:r>
        <w:br w:type="page"/>
      </w:r>
    </w:p>
    <w:p>
      <w:pPr>
        <w:spacing w:before="120" w:after="280"/>
        <w:jc w:val="left"/>
        <w:pBdr>
          <w:bottom w:val="single" w:sz="6" w:space="6" w:color="1F4E79"/>
        </w:pBdr>
      </w:pPr>
      <w:r>
        <w:rPr>
          <w:rFonts w:ascii="Times New Roman" w:hAnsi="Times New Roman"/>
          <w:b/>
          <w:i w:val="0"/>
          <w:color w:val="2E75B6"/>
          <w:sz w:val="26"/>
        </w:rPr>
        <w:t>Chapitre 5</w:t>
        <w:br/>
      </w:r>
      <w:r>
        <w:rPr>
          <w:rFonts w:ascii="Times New Roman" w:hAnsi="Times New Roman"/>
          <w:b/>
          <w:i w:val="0"/>
          <w:color w:val="1F4E79"/>
          <w:sz w:val="36"/>
        </w:rPr>
        <w:t>Resultats et Analyse</w:t>
      </w:r>
    </w:p>
    <w:p>
      <w:pPr>
        <w:spacing w:before="240" w:after="120"/>
      </w:pPr>
      <w:r>
        <w:rPr>
          <w:rFonts w:ascii="Times New Roman" w:hAnsi="Times New Roman"/>
          <w:b/>
          <w:i w:val="0"/>
          <w:color w:val="1F4E79"/>
          <w:sz w:val="28"/>
        </w:rPr>
        <w:t>5.1  Etat de l'adoption de l'IA dans le marketing digital marocain</w:t>
      </w:r>
    </w:p>
    <w:p>
      <w:pPr>
        <w:spacing w:after="120"/>
        <w:jc w:val="both"/>
      </w:pPr>
      <w:r>
        <w:rPr>
          <w:rFonts w:ascii="Times New Roman" w:hAnsi="Times New Roman"/>
          <w:b w:val="0"/>
          <w:i w:val="0"/>
          <w:color w:val="1A1A1A"/>
          <w:sz w:val="24"/>
        </w:rPr>
        <w:t>Les resultats de notre enquete font ressortir un tableau nuance de l'adoption de l'IA dans les pratiques marketing digitales au Maroc. Pres de 62% des repondants declarent utiliser au moins un outil d'IA dans leurs activites quotidiennes, mais cette utilisation reste souvent ponctuelle et limitee a des taches precises, principalement la redaction de contenus et la creation visuelle.</w:t>
      </w:r>
    </w:p>
    <w:p>
      <w:pPr>
        <w:jc w:val="center"/>
      </w:pPr>
      <w:r>
        <w:drawing>
          <wp:inline xmlns:a="http://schemas.openxmlformats.org/drawingml/2006/main" xmlns:pic="http://schemas.openxmlformats.org/drawingml/2006/picture">
            <wp:extent cx="5040000" cy="2676824"/>
            <wp:docPr id="1" name="Picture 1"/>
            <wp:cNvGraphicFramePr>
              <a:graphicFrameLocks noChangeAspect="1"/>
            </wp:cNvGraphicFramePr>
            <a:graphic>
              <a:graphicData uri="http://schemas.openxmlformats.org/drawingml/2006/picture">
                <pic:pic>
                  <pic:nvPicPr>
                    <pic:cNvPr id="0" name="fig3_adoption.png"/>
                    <pic:cNvPicPr/>
                  </pic:nvPicPr>
                  <pic:blipFill>
                    <a:blip r:embed="rId9"/>
                    <a:stretch>
                      <a:fillRect/>
                    </a:stretch>
                  </pic:blipFill>
                  <pic:spPr>
                    <a:xfrm>
                      <a:off x="0" y="0"/>
                      <a:ext cx="5040000" cy="2676824"/>
                    </a:xfrm>
                    <a:prstGeom prst="rect"/>
                  </pic:spPr>
                </pic:pic>
              </a:graphicData>
            </a:graphic>
          </wp:inline>
        </w:drawing>
      </w:r>
    </w:p>
    <w:p>
      <w:pPr>
        <w:spacing w:before="40" w:after="200"/>
        <w:jc w:val="center"/>
      </w:pPr>
      <w:r>
        <w:rPr>
          <w:rFonts w:ascii="Times New Roman" w:hAnsi="Times New Roman"/>
          <w:b w:val="0"/>
          <w:i/>
          <w:color w:val="595959"/>
          <w:sz w:val="19"/>
        </w:rPr>
        <w:t>Figure 3 - Outils d'IA utilises par les professionnels marocains (n = 87)</w:t>
      </w:r>
    </w:p>
    <w:p>
      <w:pPr>
        <w:spacing w:after="120"/>
        <w:jc w:val="both"/>
      </w:pPr>
      <w:r>
        <w:rPr>
          <w:rFonts w:ascii="Times New Roman" w:hAnsi="Times New Roman"/>
          <w:b w:val="0"/>
          <w:i w:val="0"/>
          <w:color w:val="1A1A1A"/>
          <w:sz w:val="24"/>
        </w:rPr>
        <w:t>Les outils les plus cites sont les assistants redactionnels bases sur des modeles de langage (utilises par 54% des repondants), suivis par les outils de creation d'images (41%) et les plateformes d'automatisation des publications sur les reseaux sociaux (38%). Les outils de generation video, pourtant au coeur de notre experimentation Varcadia, ne sont utilises que par 18% des repondants, temoignant d'un potentiel de diffusion encore important et d'une avance competitive pour les agences qui les maitrisent des aujourd'hui.</w:t>
      </w:r>
    </w:p>
    <w:p>
      <w:pPr>
        <w:spacing w:after="120"/>
        <w:jc w:val="both"/>
      </w:pPr>
      <w:r>
        <w:rPr>
          <w:rFonts w:ascii="Times New Roman" w:hAnsi="Times New Roman"/>
          <w:b w:val="0"/>
          <w:i w:val="0"/>
          <w:color w:val="1A1A1A"/>
          <w:sz w:val="24"/>
        </w:rPr>
        <w:t>Les principaux freins identifies sont le manque de formation et de maitrise technique (cite par 58% des repondants), le cout percu des solutions professionnelles (43%) et les incertitudes quant a la qualite et a l'originalite des contenus produits (37%). Ces freins confirment le role strategique que peuvent jouer les agences specialisees comme Widma Digitale et Volcano Vision dans la diffusion et la valorisation de ces technologies.</w:t>
      </w:r>
    </w:p>
    <w:p>
      <w:pPr>
        <w:spacing w:before="240" w:after="120"/>
      </w:pPr>
      <w:r>
        <w:rPr>
          <w:rFonts w:ascii="Times New Roman" w:hAnsi="Times New Roman"/>
          <w:b/>
          <w:i w:val="0"/>
          <w:color w:val="1F4E79"/>
          <w:sz w:val="28"/>
        </w:rPr>
        <w:t>5.2  Impact mesure de l'IA sur les performances publicitaires</w:t>
      </w:r>
    </w:p>
    <w:p>
      <w:pPr>
        <w:spacing w:after="120"/>
        <w:jc w:val="both"/>
      </w:pPr>
      <w:r>
        <w:rPr>
          <w:rFonts w:ascii="Times New Roman" w:hAnsi="Times New Roman"/>
          <w:b w:val="0"/>
          <w:i w:val="0"/>
          <w:color w:val="1A1A1A"/>
          <w:sz w:val="24"/>
        </w:rPr>
        <w:t>Parmi les repondants utilisant des outils d'IA dans leurs campagnes publicitaires, une majorite significative declare observer une amelioration des performances. Plus de 70% rapportent une reduction des couts de production de contenu, 64% notent une amelioration du taux d'engagement de leurs publications et 58% observent une augmentation du taux de clics sur leurs annonces payantes.</w:t>
      </w:r>
    </w:p>
    <w:p>
      <w:pPr>
        <w:jc w:val="center"/>
      </w:pPr>
      <w:r>
        <w:drawing>
          <wp:inline xmlns:a="http://schemas.openxmlformats.org/drawingml/2006/main" xmlns:pic="http://schemas.openxmlformats.org/drawingml/2006/picture">
            <wp:extent cx="5040000" cy="2682581"/>
            <wp:docPr id="2" name="Picture 2"/>
            <wp:cNvGraphicFramePr>
              <a:graphicFrameLocks noChangeAspect="1"/>
            </wp:cNvGraphicFramePr>
            <a:graphic>
              <a:graphicData uri="http://schemas.openxmlformats.org/drawingml/2006/picture">
                <pic:pic>
                  <pic:nvPicPr>
                    <pic:cNvPr id="0" name="fig4_impact.png"/>
                    <pic:cNvPicPr/>
                  </pic:nvPicPr>
                  <pic:blipFill>
                    <a:blip r:embed="rId10"/>
                    <a:stretch>
                      <a:fillRect/>
                    </a:stretch>
                  </pic:blipFill>
                  <pic:spPr>
                    <a:xfrm>
                      <a:off x="0" y="0"/>
                      <a:ext cx="5040000" cy="2682581"/>
                    </a:xfrm>
                    <a:prstGeom prst="rect"/>
                  </pic:spPr>
                </pic:pic>
              </a:graphicData>
            </a:graphic>
          </wp:inline>
        </w:drawing>
      </w:r>
    </w:p>
    <w:p>
      <w:pPr>
        <w:spacing w:before="40" w:after="200"/>
        <w:jc w:val="center"/>
      </w:pPr>
      <w:r>
        <w:rPr>
          <w:rFonts w:ascii="Times New Roman" w:hAnsi="Times New Roman"/>
          <w:b w:val="0"/>
          <w:i/>
          <w:color w:val="595959"/>
          <w:sz w:val="19"/>
        </w:rPr>
        <w:t>Figure 4 - Impact percu de l'IA sur les performances publicitaires</w:t>
      </w:r>
    </w:p>
    <w:p>
      <w:pPr>
        <w:spacing w:after="120"/>
        <w:jc w:val="both"/>
      </w:pPr>
      <w:r>
        <w:rPr>
          <w:rFonts w:ascii="Times New Roman" w:hAnsi="Times New Roman"/>
          <w:b w:val="0"/>
          <w:i w:val="0"/>
          <w:color w:val="1A1A1A"/>
          <w:sz w:val="24"/>
        </w:rPr>
        <w:t>Ces resultats, bien que fondes sur des perceptions auto-declarees, sont coherents avec les conclusions des etudes internationales sur le sujet et avec les resultats concrets que nous avons observes lors de la campagne Varcadia. Ils suggerent que l'IA apporte une valeur ajoutee mesurable et percue dans la grande majorite des cas d'usage marketing.</w:t>
      </w:r>
    </w:p>
    <w:p>
      <w:pPr>
        <w:spacing w:before="240" w:after="120"/>
      </w:pPr>
      <w:r>
        <w:rPr>
          <w:rFonts w:ascii="Times New Roman" w:hAnsi="Times New Roman"/>
          <w:b/>
          <w:i w:val="0"/>
          <w:color w:val="1F4E79"/>
          <w:sz w:val="28"/>
        </w:rPr>
        <w:t>5.3  Perception du contenu genere par IA par les professionnels</w:t>
      </w:r>
    </w:p>
    <w:p>
      <w:pPr>
        <w:spacing w:after="120"/>
        <w:jc w:val="both"/>
      </w:pPr>
      <w:r>
        <w:rPr>
          <w:rFonts w:ascii="Times New Roman" w:hAnsi="Times New Roman"/>
          <w:b w:val="0"/>
          <w:i w:val="0"/>
          <w:color w:val="1A1A1A"/>
          <w:sz w:val="24"/>
        </w:rPr>
        <w:t>L'une des questions les plus debattues dans notre enquete porte sur la qualite percue du contenu genere par IA. Les resultats sont nuances : 54% des professionnels interroges estiment que le contenu genere par IA peut atteindre un niveau de qualite comparable a celui produit par des equipes creatives humaines, sous reserve d'une supervision et d'un affinage adequats.</w:t>
      </w:r>
    </w:p>
    <w:p>
      <w:pPr>
        <w:spacing w:after="120"/>
        <w:jc w:val="both"/>
      </w:pPr>
      <w:r>
        <w:rPr>
          <w:rFonts w:ascii="Times New Roman" w:hAnsi="Times New Roman"/>
          <w:b w:val="0"/>
          <w:i w:val="0"/>
          <w:color w:val="1A1A1A"/>
          <w:sz w:val="24"/>
        </w:rPr>
        <w:t>En revanche, 71% soulignent que le contenu genere par IA manque parfois d'authenticite et de singularite lorsqu'il est produit sans direction artistique claire. Ce constat renforce notre conviction que l'IA n'est pas un substitut a la creativite humaine, mais un amplificateur de celle-ci : son efficacite est maximale lorsqu'elle est guidee par une vision strategique et creative claire.</w:t>
      </w:r>
    </w:p>
    <w:p>
      <w:pPr>
        <w:spacing w:before="240" w:after="120"/>
      </w:pPr>
      <w:r>
        <w:rPr>
          <w:rFonts w:ascii="Times New Roman" w:hAnsi="Times New Roman"/>
          <w:b/>
          <w:i w:val="0"/>
          <w:color w:val="1F4E79"/>
          <w:sz w:val="28"/>
        </w:rPr>
        <w:t>5.4  Validation des hypotheses de recherche</w:t>
      </w:r>
    </w:p>
    <w:p>
      <w:pPr>
        <w:spacing w:after="120"/>
        <w:jc w:val="both"/>
      </w:pPr>
      <w:r>
        <w:rPr>
          <w:rFonts w:ascii="Times New Roman" w:hAnsi="Times New Roman"/>
          <w:b w:val="0"/>
          <w:i w:val="0"/>
          <w:color w:val="1A1A1A"/>
          <w:sz w:val="24"/>
        </w:rPr>
        <w:t>Au terme de notre analyse, les trois hypotheses de recherche formulees en introduction peuvent etre validees avec les nuances suivantes.</w:t>
      </w:r>
    </w:p>
    <w:p>
      <w:pPr>
        <w:spacing w:after="120"/>
        <w:jc w:val="both"/>
      </w:pPr>
      <w:r>
        <w:rPr>
          <w:rFonts w:ascii="Times New Roman" w:hAnsi="Times New Roman"/>
          <w:b/>
          <w:i w:val="0"/>
          <w:color w:val="1A1A1A"/>
          <w:sz w:val="24"/>
        </w:rPr>
        <w:t>Hypothese H1.</w:t>
      </w:r>
      <w:r>
        <w:rPr>
          <w:rFonts w:ascii="Times New Roman" w:hAnsi="Times New Roman"/>
          <w:b w:val="0"/>
          <w:i w:val="0"/>
          <w:color w:val="1A1A1A"/>
          <w:sz w:val="24"/>
        </w:rPr>
        <w:t xml:space="preserve"> L'utilisation de l'IA dans le ciblage publicitaire ameliore significativement le taux de conversion. Cette hypothese est </w:t>
      </w:r>
      <w:r>
        <w:rPr>
          <w:rFonts w:ascii="Times New Roman" w:hAnsi="Times New Roman"/>
          <w:b/>
          <w:i w:val="0"/>
          <w:color w:val="1A1A1A"/>
          <w:sz w:val="24"/>
        </w:rPr>
        <w:t>confirmee</w:t>
      </w:r>
      <w:r>
        <w:rPr>
          <w:rFonts w:ascii="Times New Roman" w:hAnsi="Times New Roman"/>
          <w:b w:val="0"/>
          <w:i w:val="0"/>
          <w:color w:val="1A1A1A"/>
          <w:sz w:val="24"/>
        </w:rPr>
        <w:t>. Les resultats de notre enquete et les performances de la campagne Varcadia montrent des ameliorations tangibles des indicateurs de conversion lorsque le ciblage est confie aux algorithmes des plateformes.</w:t>
      </w:r>
    </w:p>
    <w:p>
      <w:pPr>
        <w:spacing w:after="120"/>
        <w:jc w:val="both"/>
      </w:pPr>
      <w:r>
        <w:rPr>
          <w:rFonts w:ascii="Times New Roman" w:hAnsi="Times New Roman"/>
          <w:b/>
          <w:i w:val="0"/>
          <w:color w:val="1A1A1A"/>
          <w:sz w:val="24"/>
        </w:rPr>
        <w:t>Hypothese H2.</w:t>
      </w:r>
      <w:r>
        <w:rPr>
          <w:rFonts w:ascii="Times New Roman" w:hAnsi="Times New Roman"/>
          <w:b w:val="0"/>
          <w:i w:val="0"/>
          <w:color w:val="1A1A1A"/>
          <w:sz w:val="24"/>
        </w:rPr>
        <w:t xml:space="preserve"> Le contenu genere par IA atteint un niveau d'engagement comparable a celui produit par des equipes humaines. Cette hypothese est </w:t>
      </w:r>
      <w:r>
        <w:rPr>
          <w:rFonts w:ascii="Times New Roman" w:hAnsi="Times New Roman"/>
          <w:b/>
          <w:i w:val="0"/>
          <w:color w:val="1A1A1A"/>
          <w:sz w:val="24"/>
        </w:rPr>
        <w:t>partiellement validee</w:t>
      </w:r>
      <w:r>
        <w:rPr>
          <w:rFonts w:ascii="Times New Roman" w:hAnsi="Times New Roman"/>
          <w:b w:val="0"/>
          <w:i w:val="0"/>
          <w:color w:val="1A1A1A"/>
          <w:sz w:val="24"/>
        </w:rPr>
        <w:t>. Elle se verifie clairement lorsque la production par IA s'inscrit dans une strategie creative definie et supervisee par des professionnels, comme ce fut le cas pour Varcadia, mais reste fragile en l'absence de direction artistique.</w:t>
      </w:r>
    </w:p>
    <w:p>
      <w:pPr>
        <w:spacing w:after="120"/>
        <w:jc w:val="both"/>
      </w:pPr>
      <w:r>
        <w:rPr>
          <w:rFonts w:ascii="Times New Roman" w:hAnsi="Times New Roman"/>
          <w:b/>
          <w:i w:val="0"/>
          <w:color w:val="1A1A1A"/>
          <w:sz w:val="24"/>
        </w:rPr>
        <w:t>Hypothese H3.</w:t>
      </w:r>
      <w:r>
        <w:rPr>
          <w:rFonts w:ascii="Times New Roman" w:hAnsi="Times New Roman"/>
          <w:b w:val="0"/>
          <w:i w:val="0"/>
          <w:color w:val="1A1A1A"/>
          <w:sz w:val="24"/>
        </w:rPr>
        <w:t xml:space="preserve"> Les entreprises integrant l'IA obtiennent un avantage concurrentiel mesurable. Cette hypothese est </w:t>
      </w:r>
      <w:r>
        <w:rPr>
          <w:rFonts w:ascii="Times New Roman" w:hAnsi="Times New Roman"/>
          <w:b/>
          <w:i w:val="0"/>
          <w:color w:val="1A1A1A"/>
          <w:sz w:val="24"/>
        </w:rPr>
        <w:t>confirmee</w:t>
      </w:r>
      <w:r>
        <w:rPr>
          <w:rFonts w:ascii="Times New Roman" w:hAnsi="Times New Roman"/>
          <w:b w:val="0"/>
          <w:i w:val="0"/>
          <w:color w:val="1A1A1A"/>
          <w:sz w:val="24"/>
        </w:rPr>
        <w:t>. La campagne Varcadia en est une illustration directe : avec des ressources limitees, les deux agences ont produit une campagne dont les resultats en termes de notoriete et d'affluence a l'ouverture rivalisent avec des lancements de marques disposant de budgets bien plus importants.</w:t>
      </w:r>
    </w:p>
    <w:p>
      <w:pPr>
        <w:spacing w:before="160" w:after="40"/>
        <w:jc w:val="left"/>
      </w:pPr>
      <w:r>
        <w:rPr>
          <w:rFonts w:ascii="Times New Roman" w:hAnsi="Times New Roman"/>
          <w:b/>
          <w:i/>
          <w:color w:val="1F4E79"/>
          <w:sz w:val="20"/>
        </w:rPr>
        <w:t>Tableau 5.1 - Synthese de la validation des hypotheses</w:t>
      </w:r>
    </w:p>
    <w:tbl>
      <w:tblPr>
        <w:tblStyle w:val="LightGrid-Accent1"/>
        <w:tblW w:type="auto" w:w="0"/>
        <w:jc w:val="center"/>
        <w:tblLook w:firstColumn="1" w:firstRow="1" w:lastColumn="0" w:lastRow="0" w:noHBand="0" w:noVBand="1" w:val="04A0"/>
      </w:tblPr>
      <w:tblGrid>
        <w:gridCol w:w="3041"/>
        <w:gridCol w:w="3041"/>
        <w:gridCol w:w="3041"/>
      </w:tblGrid>
      <w:tr>
        <w:tc>
          <w:tcPr>
            <w:tcW w:type="dxa" w:w="1361"/>
            <w:shd w:val="clear" w:fill="1F4E79"/>
          </w:tcPr>
          <w:p>
            <w:pPr>
              <w:jc w:val="center"/>
            </w:pPr>
            <w:r/>
            <w:r>
              <w:rPr>
                <w:rFonts w:ascii="Times New Roman" w:hAnsi="Times New Roman"/>
                <w:b/>
                <w:i w:val="0"/>
                <w:color w:val="FFFFFF"/>
                <w:sz w:val="21"/>
              </w:rPr>
              <w:t>Hypothese</w:t>
            </w:r>
          </w:p>
        </w:tc>
        <w:tc>
          <w:tcPr>
            <w:tcW w:type="dxa" w:w="4649"/>
            <w:shd w:val="clear" w:fill="1F4E79"/>
          </w:tcPr>
          <w:p>
            <w:pPr>
              <w:jc w:val="center"/>
            </w:pPr>
            <w:r/>
            <w:r>
              <w:rPr>
                <w:rFonts w:ascii="Times New Roman" w:hAnsi="Times New Roman"/>
                <w:b/>
                <w:i w:val="0"/>
                <w:color w:val="FFFFFF"/>
                <w:sz w:val="21"/>
              </w:rPr>
              <w:t>Enonce resume</w:t>
            </w:r>
          </w:p>
        </w:tc>
        <w:tc>
          <w:tcPr>
            <w:tcW w:type="dxa" w:w="2494"/>
            <w:shd w:val="clear" w:fill="1F4E79"/>
          </w:tcPr>
          <w:p>
            <w:pPr>
              <w:jc w:val="center"/>
            </w:pPr>
            <w:r/>
            <w:r>
              <w:rPr>
                <w:rFonts w:ascii="Times New Roman" w:hAnsi="Times New Roman"/>
                <w:b/>
                <w:i w:val="0"/>
                <w:color w:val="FFFFFF"/>
                <w:sz w:val="21"/>
              </w:rPr>
              <w:t>Statut</w:t>
            </w:r>
          </w:p>
        </w:tc>
      </w:tr>
      <w:tr>
        <w:tc>
          <w:tcPr>
            <w:tcW w:type="dxa" w:w="1361"/>
          </w:tcPr>
          <w:p>
            <w:pPr>
              <w:jc w:val="left"/>
            </w:pPr>
            <w:r/>
            <w:r>
              <w:rPr>
                <w:rFonts w:ascii="Times New Roman" w:hAnsi="Times New Roman"/>
                <w:b w:val="0"/>
                <w:i w:val="0"/>
                <w:color w:val="1A1A1A"/>
                <w:sz w:val="21"/>
              </w:rPr>
              <w:t>H1</w:t>
            </w:r>
          </w:p>
        </w:tc>
        <w:tc>
          <w:tcPr>
            <w:tcW w:type="dxa" w:w="4649"/>
          </w:tcPr>
          <w:p>
            <w:pPr>
              <w:jc w:val="center"/>
            </w:pPr>
            <w:r/>
            <w:r>
              <w:rPr>
                <w:rFonts w:ascii="Times New Roman" w:hAnsi="Times New Roman"/>
                <w:b w:val="0"/>
                <w:i w:val="0"/>
                <w:color w:val="1A1A1A"/>
                <w:sz w:val="21"/>
              </w:rPr>
              <w:t>IA + ciblage -&gt; hausse des conversions</w:t>
            </w:r>
          </w:p>
        </w:tc>
        <w:tc>
          <w:tcPr>
            <w:tcW w:type="dxa" w:w="2494"/>
          </w:tcPr>
          <w:p>
            <w:pPr>
              <w:jc w:val="center"/>
            </w:pPr>
            <w:r/>
            <w:r>
              <w:rPr>
                <w:rFonts w:ascii="Times New Roman" w:hAnsi="Times New Roman"/>
                <w:b w:val="0"/>
                <w:i w:val="0"/>
                <w:color w:val="1A1A1A"/>
                <w:sz w:val="21"/>
              </w:rPr>
              <w:t>Confirmee</w:t>
            </w:r>
          </w:p>
        </w:tc>
      </w:tr>
      <w:tr>
        <w:tc>
          <w:tcPr>
            <w:tcW w:type="dxa" w:w="1361"/>
          </w:tcPr>
          <w:p>
            <w:pPr>
              <w:jc w:val="left"/>
            </w:pPr>
            <w:r/>
            <w:r>
              <w:rPr>
                <w:rFonts w:ascii="Times New Roman" w:hAnsi="Times New Roman"/>
                <w:b w:val="0"/>
                <w:i w:val="0"/>
                <w:color w:val="1A1A1A"/>
                <w:sz w:val="21"/>
              </w:rPr>
              <w:t>H2</w:t>
            </w:r>
          </w:p>
        </w:tc>
        <w:tc>
          <w:tcPr>
            <w:tcW w:type="dxa" w:w="4649"/>
          </w:tcPr>
          <w:p>
            <w:pPr>
              <w:jc w:val="center"/>
            </w:pPr>
            <w:r/>
            <w:r>
              <w:rPr>
                <w:rFonts w:ascii="Times New Roman" w:hAnsi="Times New Roman"/>
                <w:b w:val="0"/>
                <w:i w:val="0"/>
                <w:color w:val="1A1A1A"/>
                <w:sz w:val="21"/>
              </w:rPr>
              <w:t>Contenu IA -&gt; engagement comparable</w:t>
            </w:r>
          </w:p>
        </w:tc>
        <w:tc>
          <w:tcPr>
            <w:tcW w:type="dxa" w:w="2494"/>
          </w:tcPr>
          <w:p>
            <w:pPr>
              <w:jc w:val="center"/>
            </w:pPr>
            <w:r/>
            <w:r>
              <w:rPr>
                <w:rFonts w:ascii="Times New Roman" w:hAnsi="Times New Roman"/>
                <w:b w:val="0"/>
                <w:i w:val="0"/>
                <w:color w:val="1A1A1A"/>
                <w:sz w:val="21"/>
              </w:rPr>
              <w:t>Partiellement validee</w:t>
            </w:r>
          </w:p>
        </w:tc>
      </w:tr>
      <w:tr>
        <w:tc>
          <w:tcPr>
            <w:tcW w:type="dxa" w:w="1361"/>
          </w:tcPr>
          <w:p>
            <w:pPr>
              <w:jc w:val="left"/>
            </w:pPr>
            <w:r/>
            <w:r>
              <w:rPr>
                <w:rFonts w:ascii="Times New Roman" w:hAnsi="Times New Roman"/>
                <w:b w:val="0"/>
                <w:i w:val="0"/>
                <w:color w:val="1A1A1A"/>
                <w:sz w:val="21"/>
              </w:rPr>
              <w:t>H3</w:t>
            </w:r>
          </w:p>
        </w:tc>
        <w:tc>
          <w:tcPr>
            <w:tcW w:type="dxa" w:w="4649"/>
          </w:tcPr>
          <w:p>
            <w:pPr>
              <w:jc w:val="center"/>
            </w:pPr>
            <w:r/>
            <w:r>
              <w:rPr>
                <w:rFonts w:ascii="Times New Roman" w:hAnsi="Times New Roman"/>
                <w:b w:val="0"/>
                <w:i w:val="0"/>
                <w:color w:val="1A1A1A"/>
                <w:sz w:val="21"/>
              </w:rPr>
              <w:t>IA -&gt; avantage concurrentiel</w:t>
            </w:r>
          </w:p>
        </w:tc>
        <w:tc>
          <w:tcPr>
            <w:tcW w:type="dxa" w:w="2494"/>
          </w:tcPr>
          <w:p>
            <w:pPr>
              <w:jc w:val="center"/>
            </w:pPr>
            <w:r/>
            <w:r>
              <w:rPr>
                <w:rFonts w:ascii="Times New Roman" w:hAnsi="Times New Roman"/>
                <w:b w:val="0"/>
                <w:i w:val="0"/>
                <w:color w:val="1A1A1A"/>
                <w:sz w:val="21"/>
              </w:rPr>
              <w:t>Confirmee</w:t>
            </w:r>
          </w:p>
        </w:tc>
      </w:tr>
    </w:tbl>
    <w:p>
      <w:pPr>
        <w:spacing w:after="80"/>
      </w:pPr>
    </w:p>
    <w:p>
      <w:r>
        <w:br w:type="page"/>
      </w:r>
    </w:p>
    <w:p>
      <w:pPr>
        <w:spacing w:before="120" w:after="280"/>
        <w:jc w:val="left"/>
        <w:pBdr>
          <w:bottom w:val="single" w:sz="6" w:space="6" w:color="1F4E79"/>
        </w:pBdr>
      </w:pPr>
      <w:r>
        <w:rPr>
          <w:rFonts w:ascii="Times New Roman" w:hAnsi="Times New Roman"/>
          <w:b/>
          <w:i w:val="0"/>
          <w:color w:val="2E75B6"/>
          <w:sz w:val="26"/>
        </w:rPr>
        <w:t>Chapitre 6</w:t>
        <w:br/>
      </w:r>
      <w:r>
        <w:rPr>
          <w:rFonts w:ascii="Times New Roman" w:hAnsi="Times New Roman"/>
          <w:b/>
          <w:i w:val="0"/>
          <w:color w:val="1F4E79"/>
          <w:sz w:val="36"/>
        </w:rPr>
        <w:t>Campagne Varcadia - Demonstration Appliquee</w:t>
      </w:r>
    </w:p>
    <w:p>
      <w:pPr>
        <w:spacing w:after="120"/>
        <w:jc w:val="both"/>
      </w:pPr>
      <w:r>
        <w:rPr>
          <w:rFonts w:ascii="Times New Roman" w:hAnsi="Times New Roman"/>
          <w:b w:val="0"/>
          <w:i w:val="0"/>
          <w:color w:val="1A1A1A"/>
          <w:sz w:val="24"/>
        </w:rPr>
        <w:t>Ce chapitre constitue l'apport le plus original et le plus concret de ce rapport. Il presente, etape par etape, la strategie et l'execution de la campagne de lancement du parc de jeux Varcadia a Soualem, conduite conjointement par les agences Widma Digitale et Volcano Vision, du brief initial jusqu'aux resultats enregistres a l'ouverture. Une attention particuliere est accordee a l'analyse des deux videos qui ont structure le dispositif creatif, ainsi qu'au detail chiffre des performances obtenues.</w:t>
      </w:r>
    </w:p>
    <w:p>
      <w:pPr>
        <w:spacing w:before="240" w:after="120"/>
      </w:pPr>
      <w:r>
        <w:rPr>
          <w:rFonts w:ascii="Times New Roman" w:hAnsi="Times New Roman"/>
          <w:b/>
          <w:i w:val="0"/>
          <w:color w:val="1F4E79"/>
          <w:sz w:val="28"/>
        </w:rPr>
        <w:t>6.1  Presentation du client et du contexte</w:t>
      </w:r>
    </w:p>
    <w:p>
      <w:pPr>
        <w:spacing w:after="120"/>
        <w:jc w:val="both"/>
      </w:pPr>
      <w:r>
        <w:rPr>
          <w:rFonts w:ascii="Times New Roman" w:hAnsi="Times New Roman"/>
          <w:b w:val="0"/>
          <w:i w:val="0"/>
          <w:color w:val="1A1A1A"/>
          <w:sz w:val="24"/>
        </w:rPr>
        <w:t>Varcadia est un parc de jeux et de loisirs indoor implante a Soualem, dans la region de Casablanca-Settat. Destine principalement aux familles avec enfants, aux jeunes adultes et aux groupes scolaires, il propose un ensemble d'activites recreatives dans un environnement moderne et securise. Son positionnement vise a s'imposer comme la principale destination de loisirs de la region, en repondant a un besoin clairement identifie sur un marche local peu pourvu en infrastructures de ce type.</w:t>
      </w:r>
    </w:p>
    <w:p>
      <w:pPr>
        <w:spacing w:after="120"/>
        <w:jc w:val="both"/>
      </w:pPr>
      <w:r>
        <w:rPr>
          <w:rFonts w:ascii="Times New Roman" w:hAnsi="Times New Roman"/>
          <w:b w:val="0"/>
          <w:i w:val="0"/>
          <w:color w:val="1A1A1A"/>
          <w:sz w:val="24"/>
        </w:rPr>
        <w:t>Le projet a ete confie a nos deux agences dans le cadre d'un mandat complet de communication pour le lancement : de la definition de la strategie de marque a la production des contenus, en passant par la planification media et le pilotage des campagnes publicitaires digitales. Cette mission integrale a offert un terrain ideal pour experimenter une chaine de production entierement augmentee par l'IA.</w:t>
      </w:r>
    </w:p>
    <w:p>
      <w:pPr>
        <w:spacing w:before="160" w:after="40"/>
        <w:jc w:val="left"/>
      </w:pPr>
      <w:r>
        <w:rPr>
          <w:rFonts w:ascii="Times New Roman" w:hAnsi="Times New Roman"/>
          <w:b/>
          <w:i/>
          <w:color w:val="1F4E79"/>
          <w:sz w:val="20"/>
        </w:rPr>
        <w:t>Tableau 6.1 - Fiche signaletique de la campagne</w:t>
      </w:r>
    </w:p>
    <w:tbl>
      <w:tblPr>
        <w:tblStyle w:val="LightGrid-Accent1"/>
        <w:tblW w:type="auto" w:w="0"/>
        <w:jc w:val="center"/>
        <w:tblLook w:firstColumn="1" w:firstRow="1" w:lastColumn="0" w:lastRow="0" w:noHBand="0" w:noVBand="1" w:val="04A0"/>
      </w:tblPr>
      <w:tblGrid>
        <w:gridCol w:w="4561"/>
        <w:gridCol w:w="4561"/>
      </w:tblGrid>
      <w:tr>
        <w:tc>
          <w:tcPr>
            <w:tcW w:type="dxa" w:w="2381"/>
            <w:shd w:val="clear" w:fill="1F4E79"/>
          </w:tcPr>
          <w:p>
            <w:pPr>
              <w:jc w:val="center"/>
            </w:pPr>
            <w:r/>
            <w:r>
              <w:rPr>
                <w:rFonts w:ascii="Times New Roman" w:hAnsi="Times New Roman"/>
                <w:b/>
                <w:i w:val="0"/>
                <w:color w:val="FFFFFF"/>
                <w:sz w:val="21"/>
              </w:rPr>
              <w:t>Element</w:t>
            </w:r>
          </w:p>
        </w:tc>
        <w:tc>
          <w:tcPr>
            <w:tcW w:type="dxa" w:w="6576"/>
            <w:shd w:val="clear" w:fill="1F4E79"/>
          </w:tcPr>
          <w:p>
            <w:pPr>
              <w:jc w:val="center"/>
            </w:pPr>
            <w:r/>
            <w:r>
              <w:rPr>
                <w:rFonts w:ascii="Times New Roman" w:hAnsi="Times New Roman"/>
                <w:b/>
                <w:i w:val="0"/>
                <w:color w:val="FFFFFF"/>
                <w:sz w:val="21"/>
              </w:rPr>
              <w:t>Description</w:t>
            </w:r>
          </w:p>
        </w:tc>
      </w:tr>
      <w:tr>
        <w:tc>
          <w:tcPr>
            <w:tcW w:type="dxa" w:w="2381"/>
          </w:tcPr>
          <w:p>
            <w:pPr>
              <w:jc w:val="left"/>
            </w:pPr>
            <w:r/>
            <w:r>
              <w:rPr>
                <w:rFonts w:ascii="Times New Roman" w:hAnsi="Times New Roman"/>
                <w:b w:val="0"/>
                <w:i w:val="0"/>
                <w:color w:val="1A1A1A"/>
                <w:sz w:val="21"/>
              </w:rPr>
              <w:t>Client</w:t>
            </w:r>
          </w:p>
        </w:tc>
        <w:tc>
          <w:tcPr>
            <w:tcW w:type="dxa" w:w="6576"/>
          </w:tcPr>
          <w:p>
            <w:pPr>
              <w:jc w:val="center"/>
            </w:pPr>
            <w:r/>
            <w:r>
              <w:rPr>
                <w:rFonts w:ascii="Times New Roman" w:hAnsi="Times New Roman"/>
                <w:b w:val="0"/>
                <w:i w:val="0"/>
                <w:color w:val="1A1A1A"/>
                <w:sz w:val="21"/>
              </w:rPr>
              <w:t>Varcadia - parc de jeux et de loisirs indoor</w:t>
            </w:r>
          </w:p>
        </w:tc>
      </w:tr>
      <w:tr>
        <w:tc>
          <w:tcPr>
            <w:tcW w:type="dxa" w:w="2381"/>
          </w:tcPr>
          <w:p>
            <w:pPr>
              <w:jc w:val="left"/>
            </w:pPr>
            <w:r/>
            <w:r>
              <w:rPr>
                <w:rFonts w:ascii="Times New Roman" w:hAnsi="Times New Roman"/>
                <w:b w:val="0"/>
                <w:i w:val="0"/>
                <w:color w:val="1A1A1A"/>
                <w:sz w:val="21"/>
              </w:rPr>
              <w:t>Localisation</w:t>
            </w:r>
          </w:p>
        </w:tc>
        <w:tc>
          <w:tcPr>
            <w:tcW w:type="dxa" w:w="6576"/>
          </w:tcPr>
          <w:p>
            <w:pPr>
              <w:jc w:val="center"/>
            </w:pPr>
            <w:r/>
            <w:r>
              <w:rPr>
                <w:rFonts w:ascii="Times New Roman" w:hAnsi="Times New Roman"/>
                <w:b w:val="0"/>
                <w:i w:val="0"/>
                <w:color w:val="1A1A1A"/>
                <w:sz w:val="21"/>
              </w:rPr>
              <w:t>Soualem, region Casablanca-Settat</w:t>
            </w:r>
          </w:p>
        </w:tc>
      </w:tr>
      <w:tr>
        <w:tc>
          <w:tcPr>
            <w:tcW w:type="dxa" w:w="2381"/>
          </w:tcPr>
          <w:p>
            <w:pPr>
              <w:jc w:val="left"/>
            </w:pPr>
            <w:r/>
            <w:r>
              <w:rPr>
                <w:rFonts w:ascii="Times New Roman" w:hAnsi="Times New Roman"/>
                <w:b w:val="0"/>
                <w:i w:val="0"/>
                <w:color w:val="1A1A1A"/>
                <w:sz w:val="21"/>
              </w:rPr>
              <w:t>Cible principale</w:t>
            </w:r>
          </w:p>
        </w:tc>
        <w:tc>
          <w:tcPr>
            <w:tcW w:type="dxa" w:w="6576"/>
          </w:tcPr>
          <w:p>
            <w:pPr>
              <w:jc w:val="center"/>
            </w:pPr>
            <w:r/>
            <w:r>
              <w:rPr>
                <w:rFonts w:ascii="Times New Roman" w:hAnsi="Times New Roman"/>
                <w:b w:val="0"/>
                <w:i w:val="0"/>
                <w:color w:val="1A1A1A"/>
                <w:sz w:val="21"/>
              </w:rPr>
              <w:t>Familles avec enfants, jeunes 15-30 ans, groupes scolaires</w:t>
            </w:r>
          </w:p>
        </w:tc>
      </w:tr>
      <w:tr>
        <w:tc>
          <w:tcPr>
            <w:tcW w:type="dxa" w:w="2381"/>
          </w:tcPr>
          <w:p>
            <w:pPr>
              <w:jc w:val="left"/>
            </w:pPr>
            <w:r/>
            <w:r>
              <w:rPr>
                <w:rFonts w:ascii="Times New Roman" w:hAnsi="Times New Roman"/>
                <w:b w:val="0"/>
                <w:i w:val="0"/>
                <w:color w:val="1A1A1A"/>
                <w:sz w:val="21"/>
              </w:rPr>
              <w:t>Agences</w:t>
            </w:r>
          </w:p>
        </w:tc>
        <w:tc>
          <w:tcPr>
            <w:tcW w:type="dxa" w:w="6576"/>
          </w:tcPr>
          <w:p>
            <w:pPr>
              <w:jc w:val="center"/>
            </w:pPr>
            <w:r/>
            <w:r>
              <w:rPr>
                <w:rFonts w:ascii="Times New Roman" w:hAnsi="Times New Roman"/>
                <w:b w:val="0"/>
                <w:i w:val="0"/>
                <w:color w:val="1A1A1A"/>
                <w:sz w:val="21"/>
              </w:rPr>
              <w:t>Widma Digitale (360) + Volcano Vision</w:t>
            </w:r>
          </w:p>
        </w:tc>
      </w:tr>
      <w:tr>
        <w:tc>
          <w:tcPr>
            <w:tcW w:type="dxa" w:w="2381"/>
          </w:tcPr>
          <w:p>
            <w:pPr>
              <w:jc w:val="left"/>
            </w:pPr>
            <w:r/>
            <w:r>
              <w:rPr>
                <w:rFonts w:ascii="Times New Roman" w:hAnsi="Times New Roman"/>
                <w:b w:val="0"/>
                <w:i w:val="0"/>
                <w:color w:val="1A1A1A"/>
                <w:sz w:val="21"/>
              </w:rPr>
              <w:t>Mandat</w:t>
            </w:r>
          </w:p>
        </w:tc>
        <w:tc>
          <w:tcPr>
            <w:tcW w:type="dxa" w:w="6576"/>
          </w:tcPr>
          <w:p>
            <w:pPr>
              <w:jc w:val="center"/>
            </w:pPr>
            <w:r/>
            <w:r>
              <w:rPr>
                <w:rFonts w:ascii="Times New Roman" w:hAnsi="Times New Roman"/>
                <w:b w:val="0"/>
                <w:i w:val="0"/>
                <w:color w:val="1A1A1A"/>
                <w:sz w:val="21"/>
              </w:rPr>
              <w:t>Strategie de marque, production, media, pilotage</w:t>
            </w:r>
          </w:p>
        </w:tc>
      </w:tr>
      <w:tr>
        <w:tc>
          <w:tcPr>
            <w:tcW w:type="dxa" w:w="2381"/>
          </w:tcPr>
          <w:p>
            <w:pPr>
              <w:jc w:val="left"/>
            </w:pPr>
            <w:r/>
            <w:r>
              <w:rPr>
                <w:rFonts w:ascii="Times New Roman" w:hAnsi="Times New Roman"/>
                <w:b w:val="0"/>
                <w:i w:val="0"/>
                <w:color w:val="1A1A1A"/>
                <w:sz w:val="21"/>
              </w:rPr>
              <w:t>Duree de teasing</w:t>
            </w:r>
          </w:p>
        </w:tc>
        <w:tc>
          <w:tcPr>
            <w:tcW w:type="dxa" w:w="6576"/>
          </w:tcPr>
          <w:p>
            <w:pPr>
              <w:jc w:val="center"/>
            </w:pPr>
            <w:r/>
            <w:r>
              <w:rPr>
                <w:rFonts w:ascii="Times New Roman" w:hAnsi="Times New Roman"/>
                <w:b w:val="0"/>
                <w:i w:val="0"/>
                <w:color w:val="1A1A1A"/>
                <w:sz w:val="21"/>
              </w:rPr>
              <w:t>1 mois avant l'ouverture</w:t>
            </w:r>
          </w:p>
        </w:tc>
      </w:tr>
      <w:tr>
        <w:tc>
          <w:tcPr>
            <w:tcW w:type="dxa" w:w="2381"/>
          </w:tcPr>
          <w:p>
            <w:pPr>
              <w:jc w:val="left"/>
            </w:pPr>
            <w:r/>
            <w:r>
              <w:rPr>
                <w:rFonts w:ascii="Times New Roman" w:hAnsi="Times New Roman"/>
                <w:b w:val="0"/>
                <w:i w:val="0"/>
                <w:color w:val="1A1A1A"/>
                <w:sz w:val="21"/>
              </w:rPr>
              <w:t>Outils IA</w:t>
            </w:r>
          </w:p>
        </w:tc>
        <w:tc>
          <w:tcPr>
            <w:tcW w:type="dxa" w:w="6576"/>
          </w:tcPr>
          <w:p>
            <w:pPr>
              <w:jc w:val="center"/>
            </w:pPr>
            <w:r/>
            <w:r>
              <w:rPr>
                <w:rFonts w:ascii="Times New Roman" w:hAnsi="Times New Roman"/>
                <w:b w:val="0"/>
                <w:i w:val="0"/>
                <w:color w:val="1A1A1A"/>
                <w:sz w:val="21"/>
              </w:rPr>
              <w:t>Kling AI (video), Nano Banana Pro (montage)</w:t>
            </w:r>
          </w:p>
        </w:tc>
      </w:tr>
      <w:tr>
        <w:tc>
          <w:tcPr>
            <w:tcW w:type="dxa" w:w="2381"/>
          </w:tcPr>
          <w:p>
            <w:pPr>
              <w:jc w:val="left"/>
            </w:pPr>
            <w:r/>
            <w:r>
              <w:rPr>
                <w:rFonts w:ascii="Times New Roman" w:hAnsi="Times New Roman"/>
                <w:b w:val="0"/>
                <w:i w:val="0"/>
                <w:color w:val="1A1A1A"/>
                <w:sz w:val="21"/>
              </w:rPr>
              <w:t>Canaux</w:t>
            </w:r>
          </w:p>
        </w:tc>
        <w:tc>
          <w:tcPr>
            <w:tcW w:type="dxa" w:w="6576"/>
          </w:tcPr>
          <w:p>
            <w:pPr>
              <w:jc w:val="center"/>
            </w:pPr>
            <w:r/>
            <w:r>
              <w:rPr>
                <w:rFonts w:ascii="Times New Roman" w:hAnsi="Times New Roman"/>
                <w:b w:val="0"/>
                <w:i w:val="0"/>
                <w:color w:val="1A1A1A"/>
                <w:sz w:val="21"/>
              </w:rPr>
              <w:t>YouTube Ads, Meta Ads, affichage urbain</w:t>
            </w:r>
          </w:p>
        </w:tc>
      </w:tr>
    </w:tbl>
    <w:p>
      <w:pPr>
        <w:spacing w:after="80"/>
      </w:pPr>
    </w:p>
    <w:p>
      <w:pPr>
        <w:spacing w:before="160" w:after="80"/>
      </w:pPr>
      <w:r>
        <w:rPr>
          <w:rFonts w:ascii="Times New Roman" w:hAnsi="Times New Roman"/>
          <w:b/>
          <w:i w:val="0"/>
          <w:color w:val="2E75B6"/>
          <w:sz w:val="25"/>
        </w:rPr>
        <w:t>6.1.1  Analyse du marche local</w:t>
      </w:r>
    </w:p>
    <w:p>
      <w:pPr>
        <w:spacing w:after="120"/>
        <w:jc w:val="both"/>
      </w:pPr>
      <w:r>
        <w:rPr>
          <w:rFonts w:ascii="Times New Roman" w:hAnsi="Times New Roman"/>
          <w:b w:val="0"/>
          <w:i w:val="0"/>
          <w:color w:val="1A1A1A"/>
          <w:sz w:val="24"/>
        </w:rPr>
        <w:t>Soualem et sa region connaissent une dynamique demographique et urbaine soutenue, portee par la proximite de l'axe Casablanca-Berrechid et par l'installation progressive de jeunes familles. Or l'offre de loisirs indoor securises pour enfants et familles y demeure limitee : les habitants doivent souvent se deplacer vers les grands centres urbains pour acceder a ce type d'activites. Cette tension entre une demande latente et une offre insuffisante constitue le socle de l'opportunite saisie par Varcadia.</w:t>
      </w:r>
    </w:p>
    <w:p>
      <w:pPr>
        <w:spacing w:after="120"/>
        <w:jc w:val="both"/>
      </w:pPr>
      <w:r>
        <w:rPr>
          <w:rFonts w:ascii="Times New Roman" w:hAnsi="Times New Roman"/>
          <w:b w:val="0"/>
          <w:i w:val="0"/>
          <w:color w:val="1A1A1A"/>
          <w:sz w:val="24"/>
        </w:rPr>
        <w:t>La cible se caracterise par une forte presence sur les reseaux sociaux, une consommation video majoritairement mobile et une sensibilite elevee aux recommandations de proximite (famille, amis, voisinage). Ces traits ont directement oriente nos choix : priorite a la video courte verticale, ciblage geographique resserre et activation du bouche-a-oreille par des contenus partageables.</w:t>
      </w:r>
    </w:p>
    <w:p>
      <w:pPr>
        <w:spacing w:before="160" w:after="80"/>
      </w:pPr>
      <w:r>
        <w:rPr>
          <w:rFonts w:ascii="Times New Roman" w:hAnsi="Times New Roman"/>
          <w:b/>
          <w:i w:val="0"/>
          <w:color w:val="2E75B6"/>
          <w:sz w:val="25"/>
        </w:rPr>
        <w:t>6.1.2  Analyse SWOT du projet</w:t>
      </w:r>
    </w:p>
    <w:p>
      <w:pPr>
        <w:spacing w:before="160" w:after="40"/>
        <w:jc w:val="left"/>
      </w:pPr>
      <w:r>
        <w:rPr>
          <w:rFonts w:ascii="Times New Roman" w:hAnsi="Times New Roman"/>
          <w:b/>
          <w:i/>
          <w:color w:val="1F4E79"/>
          <w:sz w:val="20"/>
        </w:rPr>
        <w:t>Tableau 6.1bis - Analyse SWOT du projet Varcadia (1/2)</w:t>
      </w:r>
    </w:p>
    <w:tbl>
      <w:tblPr>
        <w:tblStyle w:val="LightGrid-Accent1"/>
        <w:tblW w:type="auto" w:w="0"/>
        <w:jc w:val="center"/>
        <w:tblLook w:firstColumn="1" w:firstRow="1" w:lastColumn="0" w:lastRow="0" w:noHBand="0" w:noVBand="1" w:val="04A0"/>
      </w:tblPr>
      <w:tblGrid>
        <w:gridCol w:w="4561"/>
        <w:gridCol w:w="4561"/>
      </w:tblGrid>
      <w:tr>
        <w:tc>
          <w:tcPr>
            <w:tcW w:type="dxa" w:w="4479"/>
            <w:shd w:val="clear" w:fill="1F4E79"/>
          </w:tcPr>
          <w:p>
            <w:pPr>
              <w:jc w:val="center"/>
            </w:pPr>
            <w:r/>
            <w:r>
              <w:rPr>
                <w:rFonts w:ascii="Times New Roman" w:hAnsi="Times New Roman"/>
                <w:b/>
                <w:i w:val="0"/>
                <w:color w:val="FFFFFF"/>
                <w:sz w:val="21"/>
              </w:rPr>
              <w:t>Forces</w:t>
            </w:r>
          </w:p>
        </w:tc>
        <w:tc>
          <w:tcPr>
            <w:tcW w:type="dxa" w:w="4479"/>
            <w:shd w:val="clear" w:fill="1F4E79"/>
          </w:tcPr>
          <w:p>
            <w:pPr>
              <w:jc w:val="center"/>
            </w:pPr>
            <w:r/>
            <w:r>
              <w:rPr>
                <w:rFonts w:ascii="Times New Roman" w:hAnsi="Times New Roman"/>
                <w:b/>
                <w:i w:val="0"/>
                <w:color w:val="FFFFFF"/>
                <w:sz w:val="21"/>
              </w:rPr>
              <w:t>Faiblesses</w:t>
            </w:r>
          </w:p>
        </w:tc>
      </w:tr>
      <w:tr>
        <w:tc>
          <w:tcPr>
            <w:tcW w:type="dxa" w:w="4479"/>
          </w:tcPr>
          <w:p>
            <w:pPr>
              <w:jc w:val="left"/>
            </w:pPr>
            <w:r/>
            <w:r>
              <w:rPr>
                <w:rFonts w:ascii="Times New Roman" w:hAnsi="Times New Roman"/>
                <w:b w:val="0"/>
                <w:i w:val="0"/>
                <w:color w:val="1A1A1A"/>
                <w:sz w:val="21"/>
              </w:rPr>
              <w:t>Concept neuf et moderne sur la zone</w:t>
            </w:r>
          </w:p>
        </w:tc>
        <w:tc>
          <w:tcPr>
            <w:tcW w:type="dxa" w:w="4479"/>
          </w:tcPr>
          <w:p>
            <w:pPr>
              <w:jc w:val="center"/>
            </w:pPr>
            <w:r/>
            <w:r>
              <w:rPr>
                <w:rFonts w:ascii="Times New Roman" w:hAnsi="Times New Roman"/>
                <w:b w:val="0"/>
                <w:i w:val="0"/>
                <w:color w:val="1A1A1A"/>
                <w:sz w:val="21"/>
              </w:rPr>
              <w:t>Marque inconnue avant le lancement</w:t>
            </w:r>
          </w:p>
        </w:tc>
      </w:tr>
      <w:tr>
        <w:tc>
          <w:tcPr>
            <w:tcW w:type="dxa" w:w="4479"/>
          </w:tcPr>
          <w:p>
            <w:pPr>
              <w:jc w:val="left"/>
            </w:pPr>
            <w:r/>
            <w:r>
              <w:rPr>
                <w:rFonts w:ascii="Times New Roman" w:hAnsi="Times New Roman"/>
                <w:b w:val="0"/>
                <w:i w:val="0"/>
                <w:color w:val="1A1A1A"/>
                <w:sz w:val="21"/>
              </w:rPr>
              <w:t>Absence de concurrent direct equivalent</w:t>
            </w:r>
          </w:p>
        </w:tc>
        <w:tc>
          <w:tcPr>
            <w:tcW w:type="dxa" w:w="4479"/>
          </w:tcPr>
          <w:p>
            <w:pPr>
              <w:jc w:val="center"/>
            </w:pPr>
            <w:r/>
            <w:r>
              <w:rPr>
                <w:rFonts w:ascii="Times New Roman" w:hAnsi="Times New Roman"/>
                <w:b w:val="0"/>
                <w:i w:val="0"/>
                <w:color w:val="1A1A1A"/>
                <w:sz w:val="21"/>
              </w:rPr>
              <w:t>Budget media limite</w:t>
            </w:r>
          </w:p>
        </w:tc>
      </w:tr>
      <w:tr>
        <w:tc>
          <w:tcPr>
            <w:tcW w:type="dxa" w:w="4479"/>
          </w:tcPr>
          <w:p>
            <w:pPr>
              <w:jc w:val="left"/>
            </w:pPr>
            <w:r/>
            <w:r>
              <w:rPr>
                <w:rFonts w:ascii="Times New Roman" w:hAnsi="Times New Roman"/>
                <w:b w:val="0"/>
                <w:i w:val="0"/>
                <w:color w:val="1A1A1A"/>
                <w:sz w:val="21"/>
              </w:rPr>
              <w:t>Forte demande familiale latente</w:t>
            </w:r>
          </w:p>
        </w:tc>
        <w:tc>
          <w:tcPr>
            <w:tcW w:type="dxa" w:w="4479"/>
          </w:tcPr>
          <w:p>
            <w:pPr>
              <w:jc w:val="center"/>
            </w:pPr>
            <w:r/>
            <w:r>
              <w:rPr>
                <w:rFonts w:ascii="Times New Roman" w:hAnsi="Times New Roman"/>
                <w:b w:val="0"/>
                <w:i w:val="0"/>
                <w:color w:val="1A1A1A"/>
                <w:sz w:val="21"/>
              </w:rPr>
              <w:t>Notoriete a construire de zero</w:t>
            </w:r>
          </w:p>
        </w:tc>
      </w:tr>
    </w:tbl>
    <w:p>
      <w:pPr>
        <w:spacing w:after="80"/>
      </w:pPr>
    </w:p>
    <w:p>
      <w:pPr>
        <w:spacing w:before="160" w:after="40"/>
        <w:jc w:val="left"/>
      </w:pPr>
      <w:r>
        <w:rPr>
          <w:rFonts w:ascii="Times New Roman" w:hAnsi="Times New Roman"/>
          <w:b/>
          <w:i/>
          <w:color w:val="1F4E79"/>
          <w:sz w:val="20"/>
        </w:rPr>
        <w:t>Tableau 6.1ter - Analyse SWOT du projet Varcadia (2/2)</w:t>
      </w:r>
    </w:p>
    <w:tbl>
      <w:tblPr>
        <w:tblStyle w:val="LightGrid-Accent1"/>
        <w:tblW w:type="auto" w:w="0"/>
        <w:jc w:val="center"/>
        <w:tblLook w:firstColumn="1" w:firstRow="1" w:lastColumn="0" w:lastRow="0" w:noHBand="0" w:noVBand="1" w:val="04A0"/>
      </w:tblPr>
      <w:tblGrid>
        <w:gridCol w:w="4561"/>
        <w:gridCol w:w="4561"/>
      </w:tblGrid>
      <w:tr>
        <w:tc>
          <w:tcPr>
            <w:tcW w:type="dxa" w:w="4479"/>
            <w:shd w:val="clear" w:fill="1F4E79"/>
          </w:tcPr>
          <w:p>
            <w:pPr>
              <w:jc w:val="center"/>
            </w:pPr>
            <w:r/>
            <w:r>
              <w:rPr>
                <w:rFonts w:ascii="Times New Roman" w:hAnsi="Times New Roman"/>
                <w:b/>
                <w:i w:val="0"/>
                <w:color w:val="FFFFFF"/>
                <w:sz w:val="21"/>
              </w:rPr>
              <w:t>Opportunites</w:t>
            </w:r>
          </w:p>
        </w:tc>
        <w:tc>
          <w:tcPr>
            <w:tcW w:type="dxa" w:w="4479"/>
            <w:shd w:val="clear" w:fill="1F4E79"/>
          </w:tcPr>
          <w:p>
            <w:pPr>
              <w:jc w:val="center"/>
            </w:pPr>
            <w:r/>
            <w:r>
              <w:rPr>
                <w:rFonts w:ascii="Times New Roman" w:hAnsi="Times New Roman"/>
                <w:b/>
                <w:i w:val="0"/>
                <w:color w:val="FFFFFF"/>
                <w:sz w:val="21"/>
              </w:rPr>
              <w:t>Menaces</w:t>
            </w:r>
          </w:p>
        </w:tc>
      </w:tr>
      <w:tr>
        <w:tc>
          <w:tcPr>
            <w:tcW w:type="dxa" w:w="4479"/>
          </w:tcPr>
          <w:p>
            <w:pPr>
              <w:jc w:val="left"/>
            </w:pPr>
            <w:r/>
            <w:r>
              <w:rPr>
                <w:rFonts w:ascii="Times New Roman" w:hAnsi="Times New Roman"/>
                <w:b w:val="0"/>
                <w:i w:val="0"/>
                <w:color w:val="1A1A1A"/>
                <w:sz w:val="21"/>
              </w:rPr>
              <w:t>Croissance demographique de la region</w:t>
            </w:r>
          </w:p>
        </w:tc>
        <w:tc>
          <w:tcPr>
            <w:tcW w:type="dxa" w:w="4479"/>
          </w:tcPr>
          <w:p>
            <w:pPr>
              <w:jc w:val="center"/>
            </w:pPr>
            <w:r/>
            <w:r>
              <w:rPr>
                <w:rFonts w:ascii="Times New Roman" w:hAnsi="Times New Roman"/>
                <w:b w:val="0"/>
                <w:i w:val="0"/>
                <w:color w:val="1A1A1A"/>
                <w:sz w:val="21"/>
              </w:rPr>
              <w:t>Saturation publicitaire generale</w:t>
            </w:r>
          </w:p>
        </w:tc>
      </w:tr>
      <w:tr>
        <w:tc>
          <w:tcPr>
            <w:tcW w:type="dxa" w:w="4479"/>
          </w:tcPr>
          <w:p>
            <w:pPr>
              <w:jc w:val="left"/>
            </w:pPr>
            <w:r/>
            <w:r>
              <w:rPr>
                <w:rFonts w:ascii="Times New Roman" w:hAnsi="Times New Roman"/>
                <w:b w:val="0"/>
                <w:i w:val="0"/>
                <w:color w:val="1A1A1A"/>
                <w:sz w:val="21"/>
              </w:rPr>
              <w:t>Faible cout des outils d'IA generative</w:t>
            </w:r>
          </w:p>
        </w:tc>
        <w:tc>
          <w:tcPr>
            <w:tcW w:type="dxa" w:w="4479"/>
          </w:tcPr>
          <w:p>
            <w:pPr>
              <w:jc w:val="center"/>
            </w:pPr>
            <w:r/>
            <w:r>
              <w:rPr>
                <w:rFonts w:ascii="Times New Roman" w:hAnsi="Times New Roman"/>
                <w:b w:val="0"/>
                <w:i w:val="0"/>
                <w:color w:val="1A1A1A"/>
                <w:sz w:val="21"/>
              </w:rPr>
              <w:t>Volatilite de l'attention en ligne</w:t>
            </w:r>
          </w:p>
        </w:tc>
      </w:tr>
      <w:tr>
        <w:tc>
          <w:tcPr>
            <w:tcW w:type="dxa" w:w="4479"/>
          </w:tcPr>
          <w:p>
            <w:pPr>
              <w:jc w:val="left"/>
            </w:pPr>
            <w:r/>
            <w:r>
              <w:rPr>
                <w:rFonts w:ascii="Times New Roman" w:hAnsi="Times New Roman"/>
                <w:b w:val="0"/>
                <w:i w:val="0"/>
                <w:color w:val="1A1A1A"/>
                <w:sz w:val="21"/>
              </w:rPr>
              <w:t>Potentiel d'amplification organique</w:t>
            </w:r>
          </w:p>
        </w:tc>
        <w:tc>
          <w:tcPr>
            <w:tcW w:type="dxa" w:w="4479"/>
          </w:tcPr>
          <w:p>
            <w:pPr>
              <w:jc w:val="center"/>
            </w:pPr>
            <w:r/>
            <w:r>
              <w:rPr>
                <w:rFonts w:ascii="Times New Roman" w:hAnsi="Times New Roman"/>
                <w:b w:val="0"/>
                <w:i w:val="0"/>
                <w:color w:val="1A1A1A"/>
                <w:sz w:val="21"/>
              </w:rPr>
              <w:t>Risque meteo / saisonnalite</w:t>
            </w:r>
          </w:p>
        </w:tc>
      </w:tr>
    </w:tbl>
    <w:p>
      <w:pPr>
        <w:spacing w:after="80"/>
      </w:pPr>
    </w:p>
    <w:p>
      <w:pPr>
        <w:spacing w:after="120"/>
        <w:jc w:val="both"/>
      </w:pPr>
      <w:r>
        <w:rPr>
          <w:rFonts w:ascii="Times New Roman" w:hAnsi="Times New Roman"/>
          <w:b w:val="0"/>
          <w:i w:val="0"/>
          <w:color w:val="1A1A1A"/>
          <w:sz w:val="24"/>
        </w:rPr>
        <w:t>Cette lecture SWOT a confirme la pertinence d'une strategie de teasing : transformer la faiblesse initiale (une marque inconnue) en atout, en faisant de l'absence d'information un ressort de curiosite, tout en s'appuyant sur la principale opportunite (un cout de production reduit grace a l'IA) pour compenser un budget media contraint.</w:t>
      </w:r>
    </w:p>
    <w:p>
      <w:pPr>
        <w:spacing w:before="240" w:after="120"/>
      </w:pPr>
      <w:r>
        <w:rPr>
          <w:rFonts w:ascii="Times New Roman" w:hAnsi="Times New Roman"/>
          <w:b/>
          <w:i w:val="0"/>
          <w:color w:val="1F4E79"/>
          <w:sz w:val="28"/>
        </w:rPr>
        <w:t>6.2  Strategie de lancement : le choix du teasing</w:t>
      </w:r>
    </w:p>
    <w:p>
      <w:pPr>
        <w:spacing w:after="120"/>
        <w:jc w:val="both"/>
      </w:pPr>
      <w:r>
        <w:rPr>
          <w:rFonts w:ascii="Times New Roman" w:hAnsi="Times New Roman"/>
          <w:b w:val="0"/>
          <w:i w:val="0"/>
          <w:color w:val="1A1A1A"/>
          <w:sz w:val="24"/>
        </w:rPr>
        <w:t>Apres analyse du marche local et des comportements de la cible, nous avons opte pour une strategie de lancement en deux temps distincts : une phase de teasing d'un mois, suivie d'une phase de devoilement coincidant avec l'ouverture officielle du parc.</w:t>
      </w:r>
    </w:p>
    <w:p>
      <w:pPr>
        <w:spacing w:after="120"/>
        <w:jc w:val="both"/>
      </w:pPr>
      <w:r>
        <w:rPr>
          <w:rFonts w:ascii="Times New Roman" w:hAnsi="Times New Roman"/>
          <w:b w:val="0"/>
          <w:i w:val="0"/>
          <w:color w:val="1A1A1A"/>
          <w:sz w:val="24"/>
        </w:rPr>
        <w:t>Le teasing est une technique marketing qui consiste a susciter la curiosite et l'anticipation du public avant la revelation d'un produit ou d'un evenement. Son efficacite repose sur la creation d'un sentiment de manque et d'impatience qui amplifie l'impact de la revelation finale. Dans le contexte d'un lancement local, avec un budget media limite, cette approche presentait l'avantage de maximiser l'engagement organique et le bouche-a-oreille, reduisant ainsi le cout d'acquisition de notoriete.</w:t>
      </w:r>
    </w:p>
    <w:p>
      <w:pPr>
        <w:spacing w:after="120"/>
        <w:jc w:val="both"/>
      </w:pPr>
      <w:r>
        <w:rPr>
          <w:rFonts w:ascii="Times New Roman" w:hAnsi="Times New Roman"/>
          <w:b w:val="0"/>
          <w:i w:val="0"/>
          <w:color w:val="1A1A1A"/>
          <w:sz w:val="24"/>
        </w:rPr>
        <w:t>La cible principale de la campagne a ete definie comme suit : les parents de jeunes enfants (25-45 ans), les jeunes adultes (15-30 ans) et les habitants de Soualem et de la region de Casablanca, avec une extension geographique aux communes environnantes pour la phase digitale. A cette segmentation s'est ajoutee une logique de phasage temporel, resumee dans le retroplanning ci-dessous.</w:t>
      </w:r>
    </w:p>
    <w:p>
      <w:pPr>
        <w:spacing w:before="160" w:after="40"/>
        <w:jc w:val="left"/>
      </w:pPr>
      <w:r>
        <w:rPr>
          <w:rFonts w:ascii="Times New Roman" w:hAnsi="Times New Roman"/>
          <w:b/>
          <w:i/>
          <w:color w:val="1F4E79"/>
          <w:sz w:val="20"/>
        </w:rPr>
        <w:t>Tableau 6.2 - Retroplanning de la campagne de lancement</w:t>
      </w:r>
    </w:p>
    <w:tbl>
      <w:tblPr>
        <w:tblStyle w:val="LightGrid-Accent1"/>
        <w:tblW w:type="auto" w:w="0"/>
        <w:jc w:val="center"/>
        <w:tblLook w:firstColumn="1" w:firstRow="1" w:lastColumn="0" w:lastRow="0" w:noHBand="0" w:noVBand="1" w:val="04A0"/>
      </w:tblPr>
      <w:tblGrid>
        <w:gridCol w:w="2280"/>
        <w:gridCol w:w="2280"/>
        <w:gridCol w:w="2280"/>
        <w:gridCol w:w="2280"/>
      </w:tblGrid>
      <w:tr>
        <w:tc>
          <w:tcPr>
            <w:tcW w:type="dxa" w:w="2041"/>
            <w:shd w:val="clear" w:fill="1F4E79"/>
          </w:tcPr>
          <w:p>
            <w:pPr>
              <w:jc w:val="center"/>
            </w:pPr>
            <w:r/>
            <w:r>
              <w:rPr>
                <w:rFonts w:ascii="Times New Roman" w:hAnsi="Times New Roman"/>
                <w:b/>
                <w:i w:val="0"/>
                <w:color w:val="FFFFFF"/>
                <w:sz w:val="21"/>
              </w:rPr>
              <w:t>Phase</w:t>
            </w:r>
          </w:p>
        </w:tc>
        <w:tc>
          <w:tcPr>
            <w:tcW w:type="dxa" w:w="1587"/>
            <w:shd w:val="clear" w:fill="1F4E79"/>
          </w:tcPr>
          <w:p>
            <w:pPr>
              <w:jc w:val="center"/>
            </w:pPr>
            <w:r/>
            <w:r>
              <w:rPr>
                <w:rFonts w:ascii="Times New Roman" w:hAnsi="Times New Roman"/>
                <w:b/>
                <w:i w:val="0"/>
                <w:color w:val="FFFFFF"/>
                <w:sz w:val="21"/>
              </w:rPr>
              <w:t>Periode</w:t>
            </w:r>
          </w:p>
        </w:tc>
        <w:tc>
          <w:tcPr>
            <w:tcW w:type="dxa" w:w="1928"/>
            <w:shd w:val="clear" w:fill="1F4E79"/>
          </w:tcPr>
          <w:p>
            <w:pPr>
              <w:jc w:val="center"/>
            </w:pPr>
            <w:r/>
            <w:r>
              <w:rPr>
                <w:rFonts w:ascii="Times New Roman" w:hAnsi="Times New Roman"/>
                <w:b/>
                <w:i w:val="0"/>
                <w:color w:val="FFFFFF"/>
                <w:sz w:val="21"/>
              </w:rPr>
              <w:t>Objectif</w:t>
            </w:r>
          </w:p>
        </w:tc>
        <w:tc>
          <w:tcPr>
            <w:tcW w:type="dxa" w:w="3402"/>
            <w:shd w:val="clear" w:fill="1F4E79"/>
          </w:tcPr>
          <w:p>
            <w:pPr>
              <w:jc w:val="center"/>
            </w:pPr>
            <w:r/>
            <w:r>
              <w:rPr>
                <w:rFonts w:ascii="Times New Roman" w:hAnsi="Times New Roman"/>
                <w:b/>
                <w:i w:val="0"/>
                <w:color w:val="FFFFFF"/>
                <w:sz w:val="21"/>
              </w:rPr>
              <w:t>Contenu cle</w:t>
            </w:r>
          </w:p>
        </w:tc>
      </w:tr>
      <w:tr>
        <w:tc>
          <w:tcPr>
            <w:tcW w:type="dxa" w:w="2041"/>
          </w:tcPr>
          <w:p>
            <w:pPr>
              <w:jc w:val="left"/>
            </w:pPr>
            <w:r/>
            <w:r>
              <w:rPr>
                <w:rFonts w:ascii="Times New Roman" w:hAnsi="Times New Roman"/>
                <w:b w:val="0"/>
                <w:i w:val="0"/>
                <w:color w:val="1A1A1A"/>
                <w:sz w:val="21"/>
              </w:rPr>
              <w:t>Teasing 1 - Mystere</w:t>
            </w:r>
          </w:p>
        </w:tc>
        <w:tc>
          <w:tcPr>
            <w:tcW w:type="dxa" w:w="1587"/>
          </w:tcPr>
          <w:p>
            <w:pPr>
              <w:jc w:val="center"/>
            </w:pPr>
            <w:r/>
            <w:r>
              <w:rPr>
                <w:rFonts w:ascii="Times New Roman" w:hAnsi="Times New Roman"/>
                <w:b w:val="0"/>
                <w:i w:val="0"/>
                <w:color w:val="1A1A1A"/>
                <w:sz w:val="21"/>
              </w:rPr>
              <w:t>J-30 a J-20</w:t>
            </w:r>
          </w:p>
        </w:tc>
        <w:tc>
          <w:tcPr>
            <w:tcW w:type="dxa" w:w="1928"/>
          </w:tcPr>
          <w:p>
            <w:pPr>
              <w:jc w:val="center"/>
            </w:pPr>
            <w:r/>
            <w:r>
              <w:rPr>
                <w:rFonts w:ascii="Times New Roman" w:hAnsi="Times New Roman"/>
                <w:b w:val="0"/>
                <w:i w:val="0"/>
                <w:color w:val="1A1A1A"/>
                <w:sz w:val="21"/>
              </w:rPr>
              <w:t>Intriguer</w:t>
            </w:r>
          </w:p>
        </w:tc>
        <w:tc>
          <w:tcPr>
            <w:tcW w:type="dxa" w:w="3402"/>
          </w:tcPr>
          <w:p>
            <w:pPr>
              <w:jc w:val="center"/>
            </w:pPr>
            <w:r/>
            <w:r>
              <w:rPr>
                <w:rFonts w:ascii="Times New Roman" w:hAnsi="Times New Roman"/>
                <w:b w:val="0"/>
                <w:i w:val="0"/>
                <w:color w:val="1A1A1A"/>
                <w:sz w:val="21"/>
              </w:rPr>
              <w:t>Video 1 (teaser narratif), affichage flou</w:t>
            </w:r>
          </w:p>
        </w:tc>
      </w:tr>
      <w:tr>
        <w:tc>
          <w:tcPr>
            <w:tcW w:type="dxa" w:w="2041"/>
          </w:tcPr>
          <w:p>
            <w:pPr>
              <w:jc w:val="left"/>
            </w:pPr>
            <w:r/>
            <w:r>
              <w:rPr>
                <w:rFonts w:ascii="Times New Roman" w:hAnsi="Times New Roman"/>
                <w:b w:val="0"/>
                <w:i w:val="0"/>
                <w:color w:val="1A1A1A"/>
                <w:sz w:val="21"/>
              </w:rPr>
              <w:t>Teasing 2 - Montee</w:t>
            </w:r>
          </w:p>
        </w:tc>
        <w:tc>
          <w:tcPr>
            <w:tcW w:type="dxa" w:w="1587"/>
          </w:tcPr>
          <w:p>
            <w:pPr>
              <w:jc w:val="center"/>
            </w:pPr>
            <w:r/>
            <w:r>
              <w:rPr>
                <w:rFonts w:ascii="Times New Roman" w:hAnsi="Times New Roman"/>
                <w:b w:val="0"/>
                <w:i w:val="0"/>
                <w:color w:val="1A1A1A"/>
                <w:sz w:val="21"/>
              </w:rPr>
              <w:t>J-20 a J-7</w:t>
            </w:r>
          </w:p>
        </w:tc>
        <w:tc>
          <w:tcPr>
            <w:tcW w:type="dxa" w:w="1928"/>
          </w:tcPr>
          <w:p>
            <w:pPr>
              <w:jc w:val="center"/>
            </w:pPr>
            <w:r/>
            <w:r>
              <w:rPr>
                <w:rFonts w:ascii="Times New Roman" w:hAnsi="Times New Roman"/>
                <w:b w:val="0"/>
                <w:i w:val="0"/>
                <w:color w:val="1A1A1A"/>
                <w:sz w:val="21"/>
              </w:rPr>
              <w:t>Faire desirer</w:t>
            </w:r>
          </w:p>
        </w:tc>
        <w:tc>
          <w:tcPr>
            <w:tcW w:type="dxa" w:w="3402"/>
          </w:tcPr>
          <w:p>
            <w:pPr>
              <w:jc w:val="center"/>
            </w:pPr>
            <w:r/>
            <w:r>
              <w:rPr>
                <w:rFonts w:ascii="Times New Roman" w:hAnsi="Times New Roman"/>
                <w:b w:val="0"/>
                <w:i w:val="0"/>
                <w:color w:val="1A1A1A"/>
                <w:sz w:val="21"/>
              </w:rPr>
              <w:t>Declinaisons, posts compte a rebours</w:t>
            </w:r>
          </w:p>
        </w:tc>
      </w:tr>
      <w:tr>
        <w:tc>
          <w:tcPr>
            <w:tcW w:type="dxa" w:w="2041"/>
          </w:tcPr>
          <w:p>
            <w:pPr>
              <w:jc w:val="left"/>
            </w:pPr>
            <w:r/>
            <w:r>
              <w:rPr>
                <w:rFonts w:ascii="Times New Roman" w:hAnsi="Times New Roman"/>
                <w:b w:val="0"/>
                <w:i w:val="0"/>
                <w:color w:val="1A1A1A"/>
                <w:sz w:val="21"/>
              </w:rPr>
              <w:t>Pre-ouverture</w:t>
            </w:r>
          </w:p>
        </w:tc>
        <w:tc>
          <w:tcPr>
            <w:tcW w:type="dxa" w:w="1587"/>
          </w:tcPr>
          <w:p>
            <w:pPr>
              <w:jc w:val="center"/>
            </w:pPr>
            <w:r/>
            <w:r>
              <w:rPr>
                <w:rFonts w:ascii="Times New Roman" w:hAnsi="Times New Roman"/>
                <w:b w:val="0"/>
                <w:i w:val="0"/>
                <w:color w:val="1A1A1A"/>
                <w:sz w:val="21"/>
              </w:rPr>
              <w:t>J-7 a J-1</w:t>
            </w:r>
          </w:p>
        </w:tc>
        <w:tc>
          <w:tcPr>
            <w:tcW w:type="dxa" w:w="1928"/>
          </w:tcPr>
          <w:p>
            <w:pPr>
              <w:jc w:val="center"/>
            </w:pPr>
            <w:r/>
            <w:r>
              <w:rPr>
                <w:rFonts w:ascii="Times New Roman" w:hAnsi="Times New Roman"/>
                <w:b w:val="0"/>
                <w:i w:val="0"/>
                <w:color w:val="1A1A1A"/>
                <w:sz w:val="21"/>
              </w:rPr>
              <w:t>Convertir l'attention</w:t>
            </w:r>
          </w:p>
        </w:tc>
        <w:tc>
          <w:tcPr>
            <w:tcW w:type="dxa" w:w="3402"/>
          </w:tcPr>
          <w:p>
            <w:pPr>
              <w:jc w:val="center"/>
            </w:pPr>
            <w:r/>
            <w:r>
              <w:rPr>
                <w:rFonts w:ascii="Times New Roman" w:hAnsi="Times New Roman"/>
                <w:b w:val="0"/>
                <w:i w:val="0"/>
                <w:color w:val="1A1A1A"/>
                <w:sz w:val="21"/>
              </w:rPr>
              <w:t>Reciblage, annonce de la date</w:t>
            </w:r>
          </w:p>
        </w:tc>
      </w:tr>
      <w:tr>
        <w:tc>
          <w:tcPr>
            <w:tcW w:type="dxa" w:w="2041"/>
          </w:tcPr>
          <w:p>
            <w:pPr>
              <w:jc w:val="left"/>
            </w:pPr>
            <w:r/>
            <w:r>
              <w:rPr>
                <w:rFonts w:ascii="Times New Roman" w:hAnsi="Times New Roman"/>
                <w:b w:val="0"/>
                <w:i w:val="0"/>
                <w:color w:val="1A1A1A"/>
                <w:sz w:val="21"/>
              </w:rPr>
              <w:t>Devoilement</w:t>
            </w:r>
          </w:p>
        </w:tc>
        <w:tc>
          <w:tcPr>
            <w:tcW w:type="dxa" w:w="1587"/>
          </w:tcPr>
          <w:p>
            <w:pPr>
              <w:jc w:val="center"/>
            </w:pPr>
            <w:r/>
            <w:r>
              <w:rPr>
                <w:rFonts w:ascii="Times New Roman" w:hAnsi="Times New Roman"/>
                <w:b w:val="0"/>
                <w:i w:val="0"/>
                <w:color w:val="1A1A1A"/>
                <w:sz w:val="21"/>
              </w:rPr>
              <w:t>Jour J</w:t>
            </w:r>
          </w:p>
        </w:tc>
        <w:tc>
          <w:tcPr>
            <w:tcW w:type="dxa" w:w="1928"/>
          </w:tcPr>
          <w:p>
            <w:pPr>
              <w:jc w:val="center"/>
            </w:pPr>
            <w:r/>
            <w:r>
              <w:rPr>
                <w:rFonts w:ascii="Times New Roman" w:hAnsi="Times New Roman"/>
                <w:b w:val="0"/>
                <w:i w:val="0"/>
                <w:color w:val="1A1A1A"/>
                <w:sz w:val="21"/>
              </w:rPr>
              <w:t>Faire venir</w:t>
            </w:r>
          </w:p>
        </w:tc>
        <w:tc>
          <w:tcPr>
            <w:tcW w:type="dxa" w:w="3402"/>
          </w:tcPr>
          <w:p>
            <w:pPr>
              <w:jc w:val="center"/>
            </w:pPr>
            <w:r/>
            <w:r>
              <w:rPr>
                <w:rFonts w:ascii="Times New Roman" w:hAnsi="Times New Roman"/>
                <w:b w:val="0"/>
                <w:i w:val="0"/>
                <w:color w:val="1A1A1A"/>
                <w:sz w:val="21"/>
              </w:rPr>
              <w:t>Video 2 (mascotte), ouverture du parc</w:t>
            </w:r>
          </w:p>
        </w:tc>
      </w:tr>
      <w:tr>
        <w:tc>
          <w:tcPr>
            <w:tcW w:type="dxa" w:w="2041"/>
          </w:tcPr>
          <w:p>
            <w:pPr>
              <w:jc w:val="left"/>
            </w:pPr>
            <w:r/>
            <w:r>
              <w:rPr>
                <w:rFonts w:ascii="Times New Roman" w:hAnsi="Times New Roman"/>
                <w:b w:val="0"/>
                <w:i w:val="0"/>
                <w:color w:val="1A1A1A"/>
                <w:sz w:val="21"/>
              </w:rPr>
              <w:t>Post-lancement</w:t>
            </w:r>
          </w:p>
        </w:tc>
        <w:tc>
          <w:tcPr>
            <w:tcW w:type="dxa" w:w="1587"/>
          </w:tcPr>
          <w:p>
            <w:pPr>
              <w:jc w:val="center"/>
            </w:pPr>
            <w:r/>
            <w:r>
              <w:rPr>
                <w:rFonts w:ascii="Times New Roman" w:hAnsi="Times New Roman"/>
                <w:b w:val="0"/>
                <w:i w:val="0"/>
                <w:color w:val="1A1A1A"/>
                <w:sz w:val="21"/>
              </w:rPr>
              <w:t>J+1 a J+15</w:t>
            </w:r>
          </w:p>
        </w:tc>
        <w:tc>
          <w:tcPr>
            <w:tcW w:type="dxa" w:w="1928"/>
          </w:tcPr>
          <w:p>
            <w:pPr>
              <w:jc w:val="center"/>
            </w:pPr>
            <w:r/>
            <w:r>
              <w:rPr>
                <w:rFonts w:ascii="Times New Roman" w:hAnsi="Times New Roman"/>
                <w:b w:val="0"/>
                <w:i w:val="0"/>
                <w:color w:val="1A1A1A"/>
                <w:sz w:val="21"/>
              </w:rPr>
              <w:t>Entretenir</w:t>
            </w:r>
          </w:p>
        </w:tc>
        <w:tc>
          <w:tcPr>
            <w:tcW w:type="dxa" w:w="3402"/>
          </w:tcPr>
          <w:p>
            <w:pPr>
              <w:jc w:val="center"/>
            </w:pPr>
            <w:r/>
            <w:r>
              <w:rPr>
                <w:rFonts w:ascii="Times New Roman" w:hAnsi="Times New Roman"/>
                <w:b w:val="0"/>
                <w:i w:val="0"/>
                <w:color w:val="1A1A1A"/>
                <w:sz w:val="21"/>
              </w:rPr>
              <w:t>UGC, temoignages, contenus du parc</w:t>
            </w:r>
          </w:p>
        </w:tc>
      </w:tr>
    </w:tbl>
    <w:p>
      <w:pPr>
        <w:spacing w:after="80"/>
      </w:pPr>
    </w:p>
    <w:p>
      <w:pPr>
        <w:spacing w:before="240" w:after="120"/>
      </w:pPr>
      <w:r>
        <w:rPr>
          <w:rFonts w:ascii="Times New Roman" w:hAnsi="Times New Roman"/>
          <w:b/>
          <w:i w:val="0"/>
          <w:color w:val="1F4E79"/>
          <w:sz w:val="28"/>
        </w:rPr>
        <w:t>6.3  Production du contenu : un teaser hybride realite et IA</w:t>
      </w:r>
    </w:p>
    <w:p>
      <w:pPr>
        <w:spacing w:after="120"/>
        <w:jc w:val="both"/>
      </w:pPr>
      <w:r>
        <w:rPr>
          <w:rFonts w:ascii="Times New Roman" w:hAnsi="Times New Roman"/>
          <w:b w:val="0"/>
          <w:i w:val="0"/>
          <w:color w:val="1A1A1A"/>
          <w:sz w:val="24"/>
        </w:rPr>
        <w:t>La production des contenus a constitue le coeur creatif du projet. Nous avons fait le choix d'un format hybride, combinant des sequences filmees en conditions reelles au sein du parc avec des elements visuels generes par intelligence artificielle. Ce choix strategique repondait a deux imperatifs complementaires : l'authenticite, indispensable pour que le public local se sente concerne et croie en la realite du projet, et la dimension spectaculaire, necessaire pour se demarquer dans un environnement ou les contenus se multiplient et ou l'attention est rare.</w:t>
      </w:r>
    </w:p>
    <w:p>
      <w:pPr>
        <w:spacing w:after="120"/>
        <w:jc w:val="both"/>
      </w:pPr>
      <w:r>
        <w:rPr>
          <w:rFonts w:ascii="Times New Roman" w:hAnsi="Times New Roman"/>
          <w:b w:val="0"/>
          <w:i w:val="0"/>
          <w:color w:val="1A1A1A"/>
          <w:sz w:val="24"/>
        </w:rPr>
        <w:t>Les sequences reelles ont ete tournees au sein du parc Varcadia, en capturant les espaces, les jeux et l'ambiance du lieu. Elles ont ete deliberement gardees partielles et volontairement floues dans leur premiere diffusion, de facon a alimenter la curiosite sans tout reveler. Les elements generes par IA ont ete produits a l'aide de Kling AI et de Nano Banana Pro, selon le processus iteratif decrit ci-apres.</w:t>
      </w:r>
    </w:p>
    <w:p>
      <w:pPr>
        <w:spacing w:after="120"/>
        <w:jc w:val="both"/>
      </w:pPr>
      <w:r>
        <w:rPr>
          <w:rFonts w:ascii="Times New Roman" w:hAnsi="Times New Roman"/>
          <w:b w:val="0"/>
          <w:i w:val="0"/>
          <w:color w:val="1A1A1A"/>
          <w:sz w:val="24"/>
        </w:rPr>
        <w:t>Le processus de production a necessite plusieurs cycles d'iteration. Pour chaque sequence generee par IA, nous avons redige des prompts precis, evalue le resultat, affine les instructions et regenere jusqu'a obtenir le rendu souhaite. Ce processus de prompt engineering, bien que demandant une certaine maitrise technique, s'est revele nettement plus rapide et moins couteux qu'un tournage conventionnel equivalent. A titre indicatif, la production des deux videos a mobilise une equipe de trois personnes sur environ deux semaines, la ou une production traditionnelle equivalente (tournage, effets speciaux, post-production) aurait demande des moyens sensiblement superieurs.</w:t>
      </w:r>
    </w:p>
    <w:p>
      <w:pPr>
        <w:spacing w:before="160" w:after="80"/>
      </w:pPr>
      <w:r>
        <w:rPr>
          <w:rFonts w:ascii="Times New Roman" w:hAnsi="Times New Roman"/>
          <w:b/>
          <w:i w:val="0"/>
          <w:color w:val="2E75B6"/>
          <w:sz w:val="25"/>
        </w:rPr>
        <w:t>6.3.1  Le processus de prompt engineering</w:t>
      </w:r>
    </w:p>
    <w:p>
      <w:pPr>
        <w:spacing w:after="120"/>
        <w:jc w:val="both"/>
      </w:pPr>
      <w:r>
        <w:rPr>
          <w:rFonts w:ascii="Times New Roman" w:hAnsi="Times New Roman"/>
          <w:b w:val="0"/>
          <w:i w:val="0"/>
          <w:color w:val="1A1A1A"/>
          <w:sz w:val="24"/>
        </w:rPr>
        <w:t>La qualite des sequences generees par IA depend directement de la precision des instructions (prompts) fournies aux modeles. Nous avons adopte une methode iterative en quatre temps : formuler un prompt detaille, generer plusieurs variantes, evaluer le rendu au regard de l'intention creative, puis affiner le prompt jusqu'a obtenir le resultat souhaite. Un prompt efficace, dans notre experience, decrit simultanement le sujet, l'ambiance, le mouvement de camera, l'eclairage et le style visuel recherche.</w:t>
      </w:r>
    </w:p>
    <w:p>
      <w:pPr>
        <w:spacing w:after="120"/>
        <w:jc w:val="both"/>
      </w:pPr>
      <w:r>
        <w:rPr>
          <w:rFonts w:ascii="Times New Roman" w:hAnsi="Times New Roman"/>
          <w:b w:val="0"/>
          <w:i w:val="0"/>
          <w:color w:val="1A1A1A"/>
          <w:sz w:val="24"/>
        </w:rPr>
        <w:t>Le tableau suivant donne quelques exemples simplifies de prompts utilises pour la campagne :</w:t>
      </w:r>
    </w:p>
    <w:p>
      <w:pPr>
        <w:spacing w:before="160" w:after="40"/>
        <w:jc w:val="left"/>
      </w:pPr>
      <w:r>
        <w:rPr>
          <w:rFonts w:ascii="Times New Roman" w:hAnsi="Times New Roman"/>
          <w:b/>
          <w:i/>
          <w:color w:val="1F4E79"/>
          <w:sz w:val="20"/>
        </w:rPr>
        <w:t>Tableau 6.2bis - Exemples de prompts et nombre d'iterations (Kling AI)</w:t>
      </w:r>
    </w:p>
    <w:tbl>
      <w:tblPr>
        <w:tblStyle w:val="LightGrid-Accent1"/>
        <w:tblW w:type="auto" w:w="0"/>
        <w:jc w:val="center"/>
        <w:tblLook w:firstColumn="1" w:firstRow="1" w:lastColumn="0" w:lastRow="0" w:noHBand="0" w:noVBand="1" w:val="04A0"/>
      </w:tblPr>
      <w:tblGrid>
        <w:gridCol w:w="3041"/>
        <w:gridCol w:w="3041"/>
        <w:gridCol w:w="3041"/>
      </w:tblGrid>
      <w:tr>
        <w:tc>
          <w:tcPr>
            <w:tcW w:type="dxa" w:w="2268"/>
            <w:shd w:val="clear" w:fill="1F4E79"/>
          </w:tcPr>
          <w:p>
            <w:pPr>
              <w:jc w:val="center"/>
            </w:pPr>
            <w:r/>
            <w:r>
              <w:rPr>
                <w:rFonts w:ascii="Times New Roman" w:hAnsi="Times New Roman"/>
                <w:b/>
                <w:i w:val="0"/>
                <w:color w:val="FFFFFF"/>
                <w:sz w:val="21"/>
              </w:rPr>
              <w:t>Sequence visee</w:t>
            </w:r>
          </w:p>
        </w:tc>
        <w:tc>
          <w:tcPr>
            <w:tcW w:type="dxa" w:w="4876"/>
            <w:shd w:val="clear" w:fill="1F4E79"/>
          </w:tcPr>
          <w:p>
            <w:pPr>
              <w:jc w:val="center"/>
            </w:pPr>
            <w:r/>
            <w:r>
              <w:rPr>
                <w:rFonts w:ascii="Times New Roman" w:hAnsi="Times New Roman"/>
                <w:b/>
                <w:i w:val="0"/>
                <w:color w:val="FFFFFF"/>
                <w:sz w:val="21"/>
              </w:rPr>
              <w:t>Prompt simplifie (traduit)</w:t>
            </w:r>
          </w:p>
        </w:tc>
        <w:tc>
          <w:tcPr>
            <w:tcW w:type="dxa" w:w="1134"/>
            <w:shd w:val="clear" w:fill="1F4E79"/>
          </w:tcPr>
          <w:p>
            <w:pPr>
              <w:jc w:val="center"/>
            </w:pPr>
            <w:r/>
            <w:r>
              <w:rPr>
                <w:rFonts w:ascii="Times New Roman" w:hAnsi="Times New Roman"/>
                <w:b/>
                <w:i w:val="0"/>
                <w:color w:val="FFFFFF"/>
                <w:sz w:val="21"/>
              </w:rPr>
              <w:t>Iterations</w:t>
            </w:r>
          </w:p>
        </w:tc>
      </w:tr>
      <w:tr>
        <w:tc>
          <w:tcPr>
            <w:tcW w:type="dxa" w:w="2268"/>
          </w:tcPr>
          <w:p>
            <w:pPr>
              <w:jc w:val="left"/>
            </w:pPr>
            <w:r/>
            <w:r>
              <w:rPr>
                <w:rFonts w:ascii="Times New Roman" w:hAnsi="Times New Roman"/>
                <w:b w:val="0"/>
                <w:i w:val="0"/>
                <w:color w:val="1A1A1A"/>
                <w:sz w:val="21"/>
              </w:rPr>
              <w:t>Salon terne (ambiance ennui)</w:t>
            </w:r>
          </w:p>
        </w:tc>
        <w:tc>
          <w:tcPr>
            <w:tcW w:type="dxa" w:w="4876"/>
          </w:tcPr>
          <w:p>
            <w:pPr>
              <w:jc w:val="center"/>
            </w:pPr>
            <w:r/>
            <w:r>
              <w:rPr>
                <w:rFonts w:ascii="Times New Roman" w:hAnsi="Times New Roman"/>
                <w:b w:val="0"/>
                <w:i w:val="0"/>
                <w:color w:val="1A1A1A"/>
                <w:sz w:val="21"/>
              </w:rPr>
              <w:t>Jeune homme avachi sur un canape, lumiere froide et plate, ambiance morose, plan fixe</w:t>
            </w:r>
          </w:p>
        </w:tc>
        <w:tc>
          <w:tcPr>
            <w:tcW w:type="dxa" w:w="1134"/>
          </w:tcPr>
          <w:p>
            <w:pPr>
              <w:jc w:val="center"/>
            </w:pPr>
            <w:r/>
            <w:r>
              <w:rPr>
                <w:rFonts w:ascii="Times New Roman" w:hAnsi="Times New Roman"/>
                <w:b w:val="0"/>
                <w:i w:val="0"/>
                <w:color w:val="1A1A1A"/>
                <w:sz w:val="21"/>
              </w:rPr>
              <w:t>2</w:t>
            </w:r>
          </w:p>
        </w:tc>
      </w:tr>
      <w:tr>
        <w:tc>
          <w:tcPr>
            <w:tcW w:type="dxa" w:w="2268"/>
          </w:tcPr>
          <w:p>
            <w:pPr>
              <w:jc w:val="left"/>
            </w:pPr>
            <w:r/>
            <w:r>
              <w:rPr>
                <w:rFonts w:ascii="Times New Roman" w:hAnsi="Times New Roman"/>
                <w:b w:val="0"/>
                <w:i w:val="0"/>
                <w:color w:val="1A1A1A"/>
                <w:sz w:val="21"/>
              </w:rPr>
              <w:t>Flash de transition</w:t>
            </w:r>
          </w:p>
        </w:tc>
        <w:tc>
          <w:tcPr>
            <w:tcW w:type="dxa" w:w="4876"/>
          </w:tcPr>
          <w:p>
            <w:pPr>
              <w:jc w:val="center"/>
            </w:pPr>
            <w:r/>
            <w:r>
              <w:rPr>
                <w:rFonts w:ascii="Times New Roman" w:hAnsi="Times New Roman"/>
                <w:b w:val="0"/>
                <w:i w:val="0"/>
                <w:color w:val="1A1A1A"/>
                <w:sz w:val="21"/>
              </w:rPr>
              <w:t>Explosion de lumiere blanche eclatante envahissant le cadre, transition energique, fluide</w:t>
            </w:r>
          </w:p>
        </w:tc>
        <w:tc>
          <w:tcPr>
            <w:tcW w:type="dxa" w:w="1134"/>
          </w:tcPr>
          <w:p>
            <w:pPr>
              <w:jc w:val="center"/>
            </w:pPr>
            <w:r/>
            <w:r>
              <w:rPr>
                <w:rFonts w:ascii="Times New Roman" w:hAnsi="Times New Roman"/>
                <w:b w:val="0"/>
                <w:i w:val="0"/>
                <w:color w:val="1A1A1A"/>
                <w:sz w:val="21"/>
              </w:rPr>
              <w:t>5</w:t>
            </w:r>
          </w:p>
        </w:tc>
      </w:tr>
      <w:tr>
        <w:tc>
          <w:tcPr>
            <w:tcW w:type="dxa" w:w="2268"/>
          </w:tcPr>
          <w:p>
            <w:pPr>
              <w:jc w:val="left"/>
            </w:pPr>
            <w:r/>
            <w:r>
              <w:rPr>
                <w:rFonts w:ascii="Times New Roman" w:hAnsi="Times New Roman"/>
                <w:b w:val="0"/>
                <w:i w:val="0"/>
                <w:color w:val="1A1A1A"/>
                <w:sz w:val="21"/>
              </w:rPr>
              <w:t>Univers immersif du parc</w:t>
            </w:r>
          </w:p>
        </w:tc>
        <w:tc>
          <w:tcPr>
            <w:tcW w:type="dxa" w:w="4876"/>
          </w:tcPr>
          <w:p>
            <w:pPr>
              <w:jc w:val="center"/>
            </w:pPr>
            <w:r/>
            <w:r>
              <w:rPr>
                <w:rFonts w:ascii="Times New Roman" w:hAnsi="Times New Roman"/>
                <w:b w:val="0"/>
                <w:i w:val="0"/>
                <w:color w:val="1A1A1A"/>
                <w:sz w:val="21"/>
              </w:rPr>
              <w:t>Univers de parc de jeux colore et lumineux, camera fluide en immersion, couleurs chaudes saturees</w:t>
            </w:r>
          </w:p>
        </w:tc>
        <w:tc>
          <w:tcPr>
            <w:tcW w:type="dxa" w:w="1134"/>
          </w:tcPr>
          <w:p>
            <w:pPr>
              <w:jc w:val="center"/>
            </w:pPr>
            <w:r/>
            <w:r>
              <w:rPr>
                <w:rFonts w:ascii="Times New Roman" w:hAnsi="Times New Roman"/>
                <w:b w:val="0"/>
                <w:i w:val="0"/>
                <w:color w:val="1A1A1A"/>
                <w:sz w:val="21"/>
              </w:rPr>
              <w:t>4</w:t>
            </w:r>
          </w:p>
        </w:tc>
      </w:tr>
      <w:tr>
        <w:tc>
          <w:tcPr>
            <w:tcW w:type="dxa" w:w="2268"/>
          </w:tcPr>
          <w:p>
            <w:pPr>
              <w:jc w:val="left"/>
            </w:pPr>
            <w:r/>
            <w:r>
              <w:rPr>
                <w:rFonts w:ascii="Times New Roman" w:hAnsi="Times New Roman"/>
                <w:b w:val="0"/>
                <w:i w:val="0"/>
                <w:color w:val="1A1A1A"/>
                <w:sz w:val="21"/>
              </w:rPr>
              <w:t>Mascotte tirant la bache</w:t>
            </w:r>
          </w:p>
        </w:tc>
        <w:tc>
          <w:tcPr>
            <w:tcW w:type="dxa" w:w="4876"/>
          </w:tcPr>
          <w:p>
            <w:pPr>
              <w:jc w:val="center"/>
            </w:pPr>
            <w:r/>
            <w:r>
              <w:rPr>
                <w:rFonts w:ascii="Times New Roman" w:hAnsi="Times New Roman"/>
                <w:b w:val="0"/>
                <w:i w:val="0"/>
                <w:color w:val="1A1A1A"/>
                <w:sz w:val="21"/>
              </w:rPr>
              <w:t>Grande mascotte sympathique tirant une immense bache sur un batiment, geste ample, fluide</w:t>
            </w:r>
          </w:p>
        </w:tc>
        <w:tc>
          <w:tcPr>
            <w:tcW w:type="dxa" w:w="1134"/>
          </w:tcPr>
          <w:p>
            <w:pPr>
              <w:jc w:val="center"/>
            </w:pPr>
            <w:r/>
            <w:r>
              <w:rPr>
                <w:rFonts w:ascii="Times New Roman" w:hAnsi="Times New Roman"/>
                <w:b w:val="0"/>
                <w:i w:val="0"/>
                <w:color w:val="1A1A1A"/>
                <w:sz w:val="21"/>
              </w:rPr>
              <w:t>6</w:t>
            </w:r>
          </w:p>
        </w:tc>
      </w:tr>
      <w:tr>
        <w:tc>
          <w:tcPr>
            <w:tcW w:type="dxa" w:w="2268"/>
          </w:tcPr>
          <w:p>
            <w:pPr>
              <w:jc w:val="left"/>
            </w:pPr>
            <w:r/>
            <w:r>
              <w:rPr>
                <w:rFonts w:ascii="Times New Roman" w:hAnsi="Times New Roman"/>
                <w:b w:val="0"/>
                <w:i w:val="0"/>
                <w:color w:val="1A1A1A"/>
                <w:sz w:val="21"/>
              </w:rPr>
              <w:t>Entree dans le parc</w:t>
            </w:r>
          </w:p>
        </w:tc>
        <w:tc>
          <w:tcPr>
            <w:tcW w:type="dxa" w:w="4876"/>
          </w:tcPr>
          <w:p>
            <w:pPr>
              <w:jc w:val="center"/>
            </w:pPr>
            <w:r/>
            <w:r>
              <w:rPr>
                <w:rFonts w:ascii="Times New Roman" w:hAnsi="Times New Roman"/>
                <w:b w:val="0"/>
                <w:i w:val="0"/>
                <w:color w:val="1A1A1A"/>
                <w:sz w:val="21"/>
              </w:rPr>
              <w:t>Travelling avant franchissant l'entree d'un parc festif, foule joyeuse, lumieres</w:t>
            </w:r>
          </w:p>
        </w:tc>
        <w:tc>
          <w:tcPr>
            <w:tcW w:type="dxa" w:w="1134"/>
          </w:tcPr>
          <w:p>
            <w:pPr>
              <w:jc w:val="center"/>
            </w:pPr>
            <w:r/>
            <w:r>
              <w:rPr>
                <w:rFonts w:ascii="Times New Roman" w:hAnsi="Times New Roman"/>
                <w:b w:val="0"/>
                <w:i w:val="0"/>
                <w:color w:val="1A1A1A"/>
                <w:sz w:val="21"/>
              </w:rPr>
              <w:t>3</w:t>
            </w:r>
          </w:p>
        </w:tc>
      </w:tr>
    </w:tbl>
    <w:p>
      <w:pPr>
        <w:spacing w:after="80"/>
      </w:pPr>
    </w:p>
    <w:p>
      <w:pPr>
        <w:spacing w:after="120"/>
        <w:jc w:val="both"/>
      </w:pPr>
      <w:r>
        <w:rPr>
          <w:rFonts w:ascii="Times New Roman" w:hAnsi="Times New Roman"/>
          <w:b w:val="0"/>
          <w:i w:val="0"/>
          <w:color w:val="1A1A1A"/>
          <w:sz w:val="24"/>
        </w:rPr>
        <w:t>Ce travail de prompt engineering, loin d'etre purement technique, releve d'une veritable direction artistique : il s'agit de traduire une intention creative en langage exploitable par la machine. Les sequences les plus exigeantes, comme l'animation de la mascotte tirant la bache, ont demande le plus grand nombre d'iterations, confirmant que les mouvements complexes restent le point le plus delicat de la generation video par IA.</w:t>
      </w:r>
    </w:p>
    <w:p>
      <w:pPr>
        <w:spacing w:before="240" w:after="120"/>
      </w:pPr>
      <w:r>
        <w:rPr>
          <w:rFonts w:ascii="Times New Roman" w:hAnsi="Times New Roman"/>
          <w:b/>
          <w:i w:val="0"/>
          <w:color w:val="1F4E79"/>
          <w:sz w:val="28"/>
        </w:rPr>
        <w:t>6.4  Analyse des deux videos de la campagne</w:t>
      </w:r>
    </w:p>
    <w:p>
      <w:pPr>
        <w:spacing w:after="120"/>
        <w:jc w:val="both"/>
      </w:pPr>
      <w:r>
        <w:rPr>
          <w:rFonts w:ascii="Times New Roman" w:hAnsi="Times New Roman"/>
          <w:b w:val="0"/>
          <w:i w:val="0"/>
          <w:color w:val="1A1A1A"/>
          <w:sz w:val="24"/>
        </w:rPr>
        <w:t>Deux videos ont porte l'ensemble du dispositif creatif. La premiere, diffusee pendant la phase de teasing, repose sur un ressort narratif d'evasion ; la seconde, diffusee au moment du devoilement, met en scene une mascotte qui revele physiquement le parc. Nous analysons ci-dessous chacune de ces videos sous quatre angles : le concept, le decoupage (storyboard), la lecture semiotique et la production technique.</w:t>
      </w:r>
    </w:p>
    <w:p>
      <w:pPr>
        <w:spacing w:before="160" w:after="80"/>
      </w:pPr>
      <w:r>
        <w:rPr>
          <w:rFonts w:ascii="Times New Roman" w:hAnsi="Times New Roman"/>
          <w:b/>
          <w:i w:val="0"/>
          <w:color w:val="2E75B6"/>
          <w:sz w:val="25"/>
        </w:rPr>
        <w:t>6.4.1  Video 1 - Le teaser narratif : &lt;&lt; L'Evasion &gt;&gt;</w:t>
      </w:r>
    </w:p>
    <w:p>
      <w:pPr>
        <w:spacing w:after="120"/>
        <w:jc w:val="both"/>
      </w:pPr>
      <w:r>
        <w:rPr>
          <w:rFonts w:ascii="Times New Roman" w:hAnsi="Times New Roman"/>
          <w:b/>
          <w:i w:val="0"/>
          <w:color w:val="1A1A1A"/>
          <w:sz w:val="24"/>
        </w:rPr>
        <w:t>Concept.</w:t>
      </w:r>
      <w:r>
        <w:rPr>
          <w:rFonts w:ascii="Times New Roman" w:hAnsi="Times New Roman"/>
          <w:b w:val="0"/>
          <w:i w:val="0"/>
          <w:color w:val="1A1A1A"/>
          <w:sz w:val="24"/>
        </w:rPr>
        <w:t xml:space="preserve"> La premiere video raconte une micro-histoire universelle et immediatement identifiable. Un jeune homme, seul chez lui un jour de week-end, s'ennuie profondement. Affale sur son canape, il fait defiler son telephone sans interet, ne sachant pas quoi faire de sa journee. Le quotidien est gris, monotone, sans relief. Soudain, un flash de lumiere intense envahit l'ecran : en une fraction de seconde, le personnage est arrache a son salon et projete dans l'univers vibrant et colore de Varcadia. La video se referme sur la signature de la marque : &lt;&lt; Varcadia, soon a Soualem &gt;&gt;.</w:t>
      </w:r>
    </w:p>
    <w:p>
      <w:pPr>
        <w:spacing w:after="120"/>
        <w:jc w:val="both"/>
      </w:pPr>
      <w:r>
        <w:rPr>
          <w:rFonts w:ascii="Times New Roman" w:hAnsi="Times New Roman"/>
          <w:b w:val="0"/>
          <w:i w:val="0"/>
          <w:color w:val="1A1A1A"/>
          <w:sz w:val="24"/>
        </w:rPr>
        <w:t>Le choix de ce scenario n'est pas anodin. Il repose sur un insight comportemental fort : l'ennui du week-end et la difficulte a trouver des activites de loisirs dans la region constituent une frustration reelle de la cible. En mettant en scene ce probleme avant de presenter Varcadia comme la solution liberatrice, la video cree une identification immediate et positionne implicitement le parc comme la reponse a un manque ressenti.</w:t>
      </w:r>
    </w:p>
    <w:p>
      <w:pPr>
        <w:spacing w:before="160" w:after="40"/>
        <w:jc w:val="left"/>
      </w:pPr>
      <w:r>
        <w:rPr>
          <w:rFonts w:ascii="Times New Roman" w:hAnsi="Times New Roman"/>
          <w:b/>
          <w:i/>
          <w:color w:val="1F4E79"/>
          <w:sz w:val="20"/>
        </w:rPr>
        <w:t>Tableau 6.3 - Decoupage (storyboard) de la Video 1 - version 20 secondes</w:t>
      </w:r>
    </w:p>
    <w:tbl>
      <w:tblPr>
        <w:tblStyle w:val="LightGrid-Accent1"/>
        <w:tblW w:type="auto" w:w="0"/>
        <w:jc w:val="center"/>
        <w:tblLook w:firstColumn="1" w:firstRow="1" w:lastColumn="0" w:lastRow="0" w:noHBand="0" w:noVBand="1" w:val="04A0"/>
      </w:tblPr>
      <w:tblGrid>
        <w:gridCol w:w="2280"/>
        <w:gridCol w:w="2280"/>
        <w:gridCol w:w="2280"/>
        <w:gridCol w:w="2280"/>
      </w:tblGrid>
      <w:tr>
        <w:tc>
          <w:tcPr>
            <w:tcW w:type="dxa" w:w="794"/>
            <w:shd w:val="clear" w:fill="1F4E79"/>
          </w:tcPr>
          <w:p>
            <w:pPr>
              <w:jc w:val="center"/>
            </w:pPr>
            <w:r/>
            <w:r>
              <w:rPr>
                <w:rFonts w:ascii="Times New Roman" w:hAnsi="Times New Roman"/>
                <w:b/>
                <w:i w:val="0"/>
                <w:color w:val="FFFFFF"/>
                <w:sz w:val="21"/>
              </w:rPr>
              <w:t>Plan</w:t>
            </w:r>
          </w:p>
        </w:tc>
        <w:tc>
          <w:tcPr>
            <w:tcW w:type="dxa" w:w="1020"/>
            <w:shd w:val="clear" w:fill="1F4E79"/>
          </w:tcPr>
          <w:p>
            <w:pPr>
              <w:jc w:val="center"/>
            </w:pPr>
            <w:r/>
            <w:r>
              <w:rPr>
                <w:rFonts w:ascii="Times New Roman" w:hAnsi="Times New Roman"/>
                <w:b/>
                <w:i w:val="0"/>
                <w:color w:val="FFFFFF"/>
                <w:sz w:val="21"/>
              </w:rPr>
              <w:t>Duree</w:t>
            </w:r>
          </w:p>
        </w:tc>
        <w:tc>
          <w:tcPr>
            <w:tcW w:type="dxa" w:w="4649"/>
            <w:shd w:val="clear" w:fill="1F4E79"/>
          </w:tcPr>
          <w:p>
            <w:pPr>
              <w:jc w:val="center"/>
            </w:pPr>
            <w:r/>
            <w:r>
              <w:rPr>
                <w:rFonts w:ascii="Times New Roman" w:hAnsi="Times New Roman"/>
                <w:b/>
                <w:i w:val="0"/>
                <w:color w:val="FFFFFF"/>
                <w:sz w:val="21"/>
              </w:rPr>
              <w:t>Image</w:t>
            </w:r>
          </w:p>
        </w:tc>
        <w:tc>
          <w:tcPr>
            <w:tcW w:type="dxa" w:w="2494"/>
            <w:shd w:val="clear" w:fill="1F4E79"/>
          </w:tcPr>
          <w:p>
            <w:pPr>
              <w:jc w:val="center"/>
            </w:pPr>
            <w:r/>
            <w:r>
              <w:rPr>
                <w:rFonts w:ascii="Times New Roman" w:hAnsi="Times New Roman"/>
                <w:b/>
                <w:i w:val="0"/>
                <w:color w:val="FFFFFF"/>
                <w:sz w:val="21"/>
              </w:rPr>
              <w:t>Son / texte</w:t>
            </w:r>
          </w:p>
        </w:tc>
      </w:tr>
      <w:tr>
        <w:tc>
          <w:tcPr>
            <w:tcW w:type="dxa" w:w="794"/>
          </w:tcPr>
          <w:p>
            <w:pPr>
              <w:jc w:val="left"/>
            </w:pPr>
            <w:r/>
            <w:r>
              <w:rPr>
                <w:rFonts w:ascii="Times New Roman" w:hAnsi="Times New Roman"/>
                <w:b w:val="0"/>
                <w:i w:val="0"/>
                <w:color w:val="1A1A1A"/>
                <w:sz w:val="21"/>
              </w:rPr>
              <w:t>1</w:t>
            </w:r>
          </w:p>
        </w:tc>
        <w:tc>
          <w:tcPr>
            <w:tcW w:type="dxa" w:w="1020"/>
          </w:tcPr>
          <w:p>
            <w:pPr>
              <w:jc w:val="center"/>
            </w:pPr>
            <w:r/>
            <w:r>
              <w:rPr>
                <w:rFonts w:ascii="Times New Roman" w:hAnsi="Times New Roman"/>
                <w:b w:val="0"/>
                <w:i w:val="0"/>
                <w:color w:val="1A1A1A"/>
                <w:sz w:val="21"/>
              </w:rPr>
              <w:t>0-3 s</w:t>
            </w:r>
          </w:p>
        </w:tc>
        <w:tc>
          <w:tcPr>
            <w:tcW w:type="dxa" w:w="4649"/>
          </w:tcPr>
          <w:p>
            <w:pPr>
              <w:jc w:val="center"/>
            </w:pPr>
            <w:r/>
            <w:r>
              <w:rPr>
                <w:rFonts w:ascii="Times New Roman" w:hAnsi="Times New Roman"/>
                <w:b w:val="0"/>
                <w:i w:val="0"/>
                <w:color w:val="1A1A1A"/>
                <w:sz w:val="21"/>
              </w:rPr>
              <w:t>Jeune homme avachi sur le canape, lumiere terne, telephone a la main</w:t>
            </w:r>
          </w:p>
        </w:tc>
        <w:tc>
          <w:tcPr>
            <w:tcW w:type="dxa" w:w="2494"/>
          </w:tcPr>
          <w:p>
            <w:pPr>
              <w:jc w:val="center"/>
            </w:pPr>
            <w:r/>
            <w:r>
              <w:rPr>
                <w:rFonts w:ascii="Times New Roman" w:hAnsi="Times New Roman"/>
                <w:b w:val="0"/>
                <w:i w:val="0"/>
                <w:color w:val="1A1A1A"/>
                <w:sz w:val="21"/>
              </w:rPr>
              <w:t>Ambiance sourde, soupir</w:t>
            </w:r>
          </w:p>
        </w:tc>
      </w:tr>
      <w:tr>
        <w:tc>
          <w:tcPr>
            <w:tcW w:type="dxa" w:w="794"/>
          </w:tcPr>
          <w:p>
            <w:pPr>
              <w:jc w:val="left"/>
            </w:pPr>
            <w:r/>
            <w:r>
              <w:rPr>
                <w:rFonts w:ascii="Times New Roman" w:hAnsi="Times New Roman"/>
                <w:b w:val="0"/>
                <w:i w:val="0"/>
                <w:color w:val="1A1A1A"/>
                <w:sz w:val="21"/>
              </w:rPr>
              <w:t>2</w:t>
            </w:r>
          </w:p>
        </w:tc>
        <w:tc>
          <w:tcPr>
            <w:tcW w:type="dxa" w:w="1020"/>
          </w:tcPr>
          <w:p>
            <w:pPr>
              <w:jc w:val="center"/>
            </w:pPr>
            <w:r/>
            <w:r>
              <w:rPr>
                <w:rFonts w:ascii="Times New Roman" w:hAnsi="Times New Roman"/>
                <w:b w:val="0"/>
                <w:i w:val="0"/>
                <w:color w:val="1A1A1A"/>
                <w:sz w:val="21"/>
              </w:rPr>
              <w:t>3-5 s</w:t>
            </w:r>
          </w:p>
        </w:tc>
        <w:tc>
          <w:tcPr>
            <w:tcW w:type="dxa" w:w="4649"/>
          </w:tcPr>
          <w:p>
            <w:pPr>
              <w:jc w:val="center"/>
            </w:pPr>
            <w:r/>
            <w:r>
              <w:rPr>
                <w:rFonts w:ascii="Times New Roman" w:hAnsi="Times New Roman"/>
                <w:b w:val="0"/>
                <w:i w:val="0"/>
                <w:color w:val="1A1A1A"/>
                <w:sz w:val="21"/>
              </w:rPr>
              <w:t>Gros plan sur son visage lasse, regard dans le vide</w:t>
            </w:r>
          </w:p>
        </w:tc>
        <w:tc>
          <w:tcPr>
            <w:tcW w:type="dxa" w:w="2494"/>
          </w:tcPr>
          <w:p>
            <w:pPr>
              <w:jc w:val="center"/>
            </w:pPr>
            <w:r/>
            <w:r>
              <w:rPr>
                <w:rFonts w:ascii="Times New Roman" w:hAnsi="Times New Roman"/>
                <w:b w:val="0"/>
                <w:i w:val="0"/>
                <w:color w:val="1A1A1A"/>
                <w:sz w:val="21"/>
              </w:rPr>
              <w:t>Tic-tac d'une horloge</w:t>
            </w:r>
          </w:p>
        </w:tc>
      </w:tr>
      <w:tr>
        <w:tc>
          <w:tcPr>
            <w:tcW w:type="dxa" w:w="794"/>
          </w:tcPr>
          <w:p>
            <w:pPr>
              <w:jc w:val="left"/>
            </w:pPr>
            <w:r/>
            <w:r>
              <w:rPr>
                <w:rFonts w:ascii="Times New Roman" w:hAnsi="Times New Roman"/>
                <w:b w:val="0"/>
                <w:i w:val="0"/>
                <w:color w:val="1A1A1A"/>
                <w:sz w:val="21"/>
              </w:rPr>
              <w:t>3</w:t>
            </w:r>
          </w:p>
        </w:tc>
        <w:tc>
          <w:tcPr>
            <w:tcW w:type="dxa" w:w="1020"/>
          </w:tcPr>
          <w:p>
            <w:pPr>
              <w:jc w:val="center"/>
            </w:pPr>
            <w:r/>
            <w:r>
              <w:rPr>
                <w:rFonts w:ascii="Times New Roman" w:hAnsi="Times New Roman"/>
                <w:b w:val="0"/>
                <w:i w:val="0"/>
                <w:color w:val="1A1A1A"/>
                <w:sz w:val="21"/>
              </w:rPr>
              <w:t>5-6 s</w:t>
            </w:r>
          </w:p>
        </w:tc>
        <w:tc>
          <w:tcPr>
            <w:tcW w:type="dxa" w:w="4649"/>
          </w:tcPr>
          <w:p>
            <w:pPr>
              <w:jc w:val="center"/>
            </w:pPr>
            <w:r/>
            <w:r>
              <w:rPr>
                <w:rFonts w:ascii="Times New Roman" w:hAnsi="Times New Roman"/>
                <w:b w:val="0"/>
                <w:i w:val="0"/>
                <w:color w:val="1A1A1A"/>
                <w:sz w:val="21"/>
              </w:rPr>
              <w:t>Il laisse tomber son telephone, ferme les yeux</w:t>
            </w:r>
          </w:p>
        </w:tc>
        <w:tc>
          <w:tcPr>
            <w:tcW w:type="dxa" w:w="2494"/>
          </w:tcPr>
          <w:p>
            <w:pPr>
              <w:jc w:val="center"/>
            </w:pPr>
            <w:r/>
            <w:r>
              <w:rPr>
                <w:rFonts w:ascii="Times New Roman" w:hAnsi="Times New Roman"/>
                <w:b w:val="0"/>
                <w:i w:val="0"/>
                <w:color w:val="1A1A1A"/>
                <w:sz w:val="21"/>
              </w:rPr>
              <w:t>Silence, montee sonore</w:t>
            </w:r>
          </w:p>
        </w:tc>
      </w:tr>
      <w:tr>
        <w:tc>
          <w:tcPr>
            <w:tcW w:type="dxa" w:w="794"/>
          </w:tcPr>
          <w:p>
            <w:pPr>
              <w:jc w:val="left"/>
            </w:pPr>
            <w:r/>
            <w:r>
              <w:rPr>
                <w:rFonts w:ascii="Times New Roman" w:hAnsi="Times New Roman"/>
                <w:b w:val="0"/>
                <w:i w:val="0"/>
                <w:color w:val="1A1A1A"/>
                <w:sz w:val="21"/>
              </w:rPr>
              <w:t>4</w:t>
            </w:r>
          </w:p>
        </w:tc>
        <w:tc>
          <w:tcPr>
            <w:tcW w:type="dxa" w:w="1020"/>
          </w:tcPr>
          <w:p>
            <w:pPr>
              <w:jc w:val="center"/>
            </w:pPr>
            <w:r/>
            <w:r>
              <w:rPr>
                <w:rFonts w:ascii="Times New Roman" w:hAnsi="Times New Roman"/>
                <w:b w:val="0"/>
                <w:i w:val="0"/>
                <w:color w:val="1A1A1A"/>
                <w:sz w:val="21"/>
              </w:rPr>
              <w:t>6-7 s</w:t>
            </w:r>
          </w:p>
        </w:tc>
        <w:tc>
          <w:tcPr>
            <w:tcW w:type="dxa" w:w="4649"/>
          </w:tcPr>
          <w:p>
            <w:pPr>
              <w:jc w:val="center"/>
            </w:pPr>
            <w:r/>
            <w:r>
              <w:rPr>
                <w:rFonts w:ascii="Times New Roman" w:hAnsi="Times New Roman"/>
                <w:b w:val="0"/>
                <w:i w:val="0"/>
                <w:color w:val="1A1A1A"/>
                <w:sz w:val="21"/>
              </w:rPr>
              <w:t>FLASH lumineux intense qui envahit le cadre</w:t>
            </w:r>
          </w:p>
        </w:tc>
        <w:tc>
          <w:tcPr>
            <w:tcW w:type="dxa" w:w="2494"/>
          </w:tcPr>
          <w:p>
            <w:pPr>
              <w:jc w:val="center"/>
            </w:pPr>
            <w:r/>
            <w:r>
              <w:rPr>
                <w:rFonts w:ascii="Times New Roman" w:hAnsi="Times New Roman"/>
                <w:b w:val="0"/>
                <w:i w:val="0"/>
                <w:color w:val="1A1A1A"/>
                <w:sz w:val="21"/>
              </w:rPr>
              <w:t>Coup sonore (impact), whoosh</w:t>
            </w:r>
          </w:p>
        </w:tc>
      </w:tr>
      <w:tr>
        <w:tc>
          <w:tcPr>
            <w:tcW w:type="dxa" w:w="794"/>
          </w:tcPr>
          <w:p>
            <w:pPr>
              <w:jc w:val="left"/>
            </w:pPr>
            <w:r/>
            <w:r>
              <w:rPr>
                <w:rFonts w:ascii="Times New Roman" w:hAnsi="Times New Roman"/>
                <w:b w:val="0"/>
                <w:i w:val="0"/>
                <w:color w:val="1A1A1A"/>
                <w:sz w:val="21"/>
              </w:rPr>
              <w:t>5</w:t>
            </w:r>
          </w:p>
        </w:tc>
        <w:tc>
          <w:tcPr>
            <w:tcW w:type="dxa" w:w="1020"/>
          </w:tcPr>
          <w:p>
            <w:pPr>
              <w:jc w:val="center"/>
            </w:pPr>
            <w:r/>
            <w:r>
              <w:rPr>
                <w:rFonts w:ascii="Times New Roman" w:hAnsi="Times New Roman"/>
                <w:b w:val="0"/>
                <w:i w:val="0"/>
                <w:color w:val="1A1A1A"/>
                <w:sz w:val="21"/>
              </w:rPr>
              <w:t>7-12 s</w:t>
            </w:r>
          </w:p>
        </w:tc>
        <w:tc>
          <w:tcPr>
            <w:tcW w:type="dxa" w:w="4649"/>
          </w:tcPr>
          <w:p>
            <w:pPr>
              <w:jc w:val="center"/>
            </w:pPr>
            <w:r/>
            <w:r>
              <w:rPr>
                <w:rFonts w:ascii="Times New Roman" w:hAnsi="Times New Roman"/>
                <w:b w:val="0"/>
                <w:i w:val="0"/>
                <w:color w:val="1A1A1A"/>
                <w:sz w:val="21"/>
              </w:rPr>
              <w:t>Transition : le salon se desintegre, l'univers Varcadia se materialise (genere Kling AI)</w:t>
            </w:r>
          </w:p>
        </w:tc>
        <w:tc>
          <w:tcPr>
            <w:tcW w:type="dxa" w:w="2494"/>
          </w:tcPr>
          <w:p>
            <w:pPr>
              <w:jc w:val="center"/>
            </w:pPr>
            <w:r/>
            <w:r>
              <w:rPr>
                <w:rFonts w:ascii="Times New Roman" w:hAnsi="Times New Roman"/>
                <w:b w:val="0"/>
                <w:i w:val="0"/>
                <w:color w:val="1A1A1A"/>
                <w:sz w:val="21"/>
              </w:rPr>
              <w:t>Musique energique, montee</w:t>
            </w:r>
          </w:p>
        </w:tc>
      </w:tr>
      <w:tr>
        <w:tc>
          <w:tcPr>
            <w:tcW w:type="dxa" w:w="794"/>
          </w:tcPr>
          <w:p>
            <w:pPr>
              <w:jc w:val="left"/>
            </w:pPr>
            <w:r/>
            <w:r>
              <w:rPr>
                <w:rFonts w:ascii="Times New Roman" w:hAnsi="Times New Roman"/>
                <w:b w:val="0"/>
                <w:i w:val="0"/>
                <w:color w:val="1A1A1A"/>
                <w:sz w:val="21"/>
              </w:rPr>
              <w:t>6</w:t>
            </w:r>
          </w:p>
        </w:tc>
        <w:tc>
          <w:tcPr>
            <w:tcW w:type="dxa" w:w="1020"/>
          </w:tcPr>
          <w:p>
            <w:pPr>
              <w:jc w:val="center"/>
            </w:pPr>
            <w:r/>
            <w:r>
              <w:rPr>
                <w:rFonts w:ascii="Times New Roman" w:hAnsi="Times New Roman"/>
                <w:b w:val="0"/>
                <w:i w:val="0"/>
                <w:color w:val="1A1A1A"/>
                <w:sz w:val="21"/>
              </w:rPr>
              <w:t>12-16 s</w:t>
            </w:r>
          </w:p>
        </w:tc>
        <w:tc>
          <w:tcPr>
            <w:tcW w:type="dxa" w:w="4649"/>
          </w:tcPr>
          <w:p>
            <w:pPr>
              <w:jc w:val="center"/>
            </w:pPr>
            <w:r/>
            <w:r>
              <w:rPr>
                <w:rFonts w:ascii="Times New Roman" w:hAnsi="Times New Roman"/>
                <w:b w:val="0"/>
                <w:i w:val="0"/>
                <w:color w:val="1A1A1A"/>
                <w:sz w:val="21"/>
              </w:rPr>
              <w:t>Le personnage, emerveille, decouvre les jeux, couleurs et lumieres du parc</w:t>
            </w:r>
          </w:p>
        </w:tc>
        <w:tc>
          <w:tcPr>
            <w:tcW w:type="dxa" w:w="2494"/>
          </w:tcPr>
          <w:p>
            <w:pPr>
              <w:jc w:val="center"/>
            </w:pPr>
            <w:r/>
            <w:r>
              <w:rPr>
                <w:rFonts w:ascii="Times New Roman" w:hAnsi="Times New Roman"/>
                <w:b w:val="0"/>
                <w:i w:val="0"/>
                <w:color w:val="1A1A1A"/>
                <w:sz w:val="21"/>
              </w:rPr>
              <w:t>Rires, ambiance festive</w:t>
            </w:r>
          </w:p>
        </w:tc>
      </w:tr>
      <w:tr>
        <w:tc>
          <w:tcPr>
            <w:tcW w:type="dxa" w:w="794"/>
          </w:tcPr>
          <w:p>
            <w:pPr>
              <w:jc w:val="left"/>
            </w:pPr>
            <w:r/>
            <w:r>
              <w:rPr>
                <w:rFonts w:ascii="Times New Roman" w:hAnsi="Times New Roman"/>
                <w:b w:val="0"/>
                <w:i w:val="0"/>
                <w:color w:val="1A1A1A"/>
                <w:sz w:val="21"/>
              </w:rPr>
              <w:t>7</w:t>
            </w:r>
          </w:p>
        </w:tc>
        <w:tc>
          <w:tcPr>
            <w:tcW w:type="dxa" w:w="1020"/>
          </w:tcPr>
          <w:p>
            <w:pPr>
              <w:jc w:val="center"/>
            </w:pPr>
            <w:r/>
            <w:r>
              <w:rPr>
                <w:rFonts w:ascii="Times New Roman" w:hAnsi="Times New Roman"/>
                <w:b w:val="0"/>
                <w:i w:val="0"/>
                <w:color w:val="1A1A1A"/>
                <w:sz w:val="21"/>
              </w:rPr>
              <w:t>16-20 s</w:t>
            </w:r>
          </w:p>
        </w:tc>
        <w:tc>
          <w:tcPr>
            <w:tcW w:type="dxa" w:w="4649"/>
          </w:tcPr>
          <w:p>
            <w:pPr>
              <w:jc w:val="center"/>
            </w:pPr>
            <w:r/>
            <w:r>
              <w:rPr>
                <w:rFonts w:ascii="Times New Roman" w:hAnsi="Times New Roman"/>
                <w:b w:val="0"/>
                <w:i w:val="0"/>
                <w:color w:val="1A1A1A"/>
                <w:sz w:val="21"/>
              </w:rPr>
              <w:t>Logo Varcadia + signature &lt;&lt; soon a Soualem &gt;&gt;</w:t>
            </w:r>
          </w:p>
        </w:tc>
        <w:tc>
          <w:tcPr>
            <w:tcW w:type="dxa" w:w="2494"/>
          </w:tcPr>
          <w:p>
            <w:pPr>
              <w:jc w:val="center"/>
            </w:pPr>
            <w:r/>
            <w:r>
              <w:rPr>
                <w:rFonts w:ascii="Times New Roman" w:hAnsi="Times New Roman"/>
                <w:b w:val="0"/>
                <w:i w:val="0"/>
                <w:color w:val="1A1A1A"/>
                <w:sz w:val="21"/>
              </w:rPr>
              <w:t>Signature sonore de la marque</w:t>
            </w:r>
          </w:p>
        </w:tc>
      </w:tr>
    </w:tbl>
    <w:p>
      <w:pPr>
        <w:spacing w:after="80"/>
      </w:pPr>
    </w:p>
    <w:p>
      <w:pPr>
        <w:spacing w:after="120"/>
        <w:jc w:val="both"/>
      </w:pPr>
      <w:r>
        <w:rPr>
          <w:rFonts w:ascii="Times New Roman" w:hAnsi="Times New Roman"/>
          <w:b/>
          <w:i w:val="0"/>
          <w:color w:val="1A1A1A"/>
          <w:sz w:val="24"/>
        </w:rPr>
        <w:t>Lecture semiotique.</w:t>
      </w:r>
      <w:r>
        <w:rPr>
          <w:rFonts w:ascii="Times New Roman" w:hAnsi="Times New Roman"/>
          <w:b w:val="0"/>
          <w:i w:val="0"/>
          <w:color w:val="1A1A1A"/>
          <w:sz w:val="24"/>
        </w:rPr>
        <w:t xml:space="preserve"> La video est construite sur une opposition visuelle et emotionnelle forte entre deux mondes. Le premier, celui du quotidien, est traite dans des tons froids et desatures, avec une lumiere plate et un cadrage statique qui traduisent l'enfermement et l'ennui. Le second, celui de Varcadia, eclate de couleurs chaudes et saturees, de mouvement et de lumiere, dans un montage rythme. Le flash lumineux joue le role de pivot narratif : il symbolise la rupture, le passage, la promesse d'une transformation. Cette structure en deux temps (manque puis comblement) reprend les ressorts classiques du recit publicitaire, ici condenses en quelques secondes.</w:t>
      </w:r>
    </w:p>
    <w:p>
      <w:pPr>
        <w:spacing w:after="120"/>
        <w:jc w:val="both"/>
      </w:pPr>
      <w:r>
        <w:rPr>
          <w:rFonts w:ascii="Times New Roman" w:hAnsi="Times New Roman"/>
          <w:b w:val="0"/>
          <w:i w:val="0"/>
          <w:color w:val="1A1A1A"/>
          <w:sz w:val="24"/>
        </w:rPr>
        <w:t>L'absence volontaire de toute image complete et nette du parc dans la phase de teasing entretient le mystere : le spectateur entrevoit Varcadia comme un univers desirable sans en saisir tous les details, ce qui nourrit la curiosite. La formule &lt;&lt; soon a Soualem &gt;&gt;, en melant un mot anglais a une localisation tres locale, cree un contraste qui ancre la modernite du lieu dans un territoire de proximite, tout en installant le compte a rebours implicite de l'ouverture.</w:t>
      </w:r>
    </w:p>
    <w:p>
      <w:pPr>
        <w:spacing w:after="120"/>
        <w:jc w:val="both"/>
      </w:pPr>
      <w:r>
        <w:rPr>
          <w:rFonts w:ascii="Times New Roman" w:hAnsi="Times New Roman"/>
          <w:b/>
          <w:i w:val="0"/>
          <w:color w:val="1A1A1A"/>
          <w:sz w:val="24"/>
        </w:rPr>
        <w:t>Production technique.</w:t>
      </w:r>
      <w:r>
        <w:rPr>
          <w:rFonts w:ascii="Times New Roman" w:hAnsi="Times New Roman"/>
          <w:b w:val="0"/>
          <w:i w:val="0"/>
          <w:color w:val="1A1A1A"/>
          <w:sz w:val="24"/>
        </w:rPr>
        <w:t xml:space="preserve"> La sequence d'ouverture (le jeune homme chez lui) a ete tournee en prises reelles, afin de garantir l'authenticite de l'emotion et la proximite avec la cible. La transition et l'univers immersif de Varcadia ont ete generes avec Kling AI, a partir d'images de reference du parc et de prompts decrivant l'ambiance recherchee (mouvements de camera fluides, explosion de couleurs, sensation d'immersion). Le flash de transition, element charniere de la video, a fait l'objet de plusieurs iterations afin d'obtenir un effet a la fois spectaculaire et fluide. Nano Banana Pro a assure le montage final, la synchronisation avec la bande sonore et la declinaison en trois durees (6 secondes pour le format bumper, 15 et 30 secondes pour les formats in-stream et sociaux).</w:t>
      </w:r>
    </w:p>
    <w:p>
      <w:pPr>
        <w:spacing w:after="120"/>
        <w:jc w:val="both"/>
      </w:pPr>
      <w:r>
        <w:rPr>
          <w:rFonts w:ascii="Times New Roman" w:hAnsi="Times New Roman"/>
          <w:b/>
          <w:i w:val="0"/>
          <w:color w:val="1A1A1A"/>
          <w:sz w:val="24"/>
        </w:rPr>
        <w:t>Role dans le dispositif.</w:t>
      </w:r>
      <w:r>
        <w:rPr>
          <w:rFonts w:ascii="Times New Roman" w:hAnsi="Times New Roman"/>
          <w:b w:val="0"/>
          <w:i w:val="0"/>
          <w:color w:val="1A1A1A"/>
          <w:sz w:val="24"/>
        </w:rPr>
        <w:t xml:space="preserve"> Cette video a constitue la piece maitresse de la phase de teasing. Diffusee en priorite sur YouTube Ads et en Reels sur Meta, elle avait pour objectif de maximiser la notoriete et de generer un volume de vues eleve, tout en installant le nom de Varcadia dans l'esprit du public sans en devoiler le contenu reel.</w:t>
      </w:r>
    </w:p>
    <w:p>
      <w:pPr>
        <w:spacing w:before="160" w:after="80"/>
      </w:pPr>
      <w:r>
        <w:rPr>
          <w:rFonts w:ascii="Times New Roman" w:hAnsi="Times New Roman"/>
          <w:b/>
          <w:i w:val="0"/>
          <w:color w:val="2E75B6"/>
          <w:sz w:val="25"/>
        </w:rPr>
        <w:t>6.4.2  Video 2 - Le devoilement : &lt;&lt; La Mascotte &gt;&gt;</w:t>
      </w:r>
    </w:p>
    <w:p>
      <w:pPr>
        <w:spacing w:after="120"/>
        <w:jc w:val="both"/>
      </w:pPr>
      <w:r>
        <w:rPr>
          <w:rFonts w:ascii="Times New Roman" w:hAnsi="Times New Roman"/>
          <w:b/>
          <w:i w:val="0"/>
          <w:color w:val="1A1A1A"/>
          <w:sz w:val="24"/>
        </w:rPr>
        <w:t>Concept.</w:t>
      </w:r>
      <w:r>
        <w:rPr>
          <w:rFonts w:ascii="Times New Roman" w:hAnsi="Times New Roman"/>
          <w:b w:val="0"/>
          <w:i w:val="0"/>
          <w:color w:val="1A1A1A"/>
          <w:sz w:val="24"/>
        </w:rPr>
        <w:t xml:space="preserve"> La seconde video marque le basculement de la campagne, du mystere a la revelation. Elle met en scene une grande mascotte, directement inspiree du logo de Varcadia, qui devient ainsi le personnage incarnant la marque. Dans un geste theatral et spectaculaire, la mascotte saisit une immense bache recouvrant le batiment du parc et la tire d'un coup, devoilant Varcadia au grand jour. La camera, dans un mouvement continu, franchit alors les portes et penetre a l'interieur de l'univers du parc, offrant au spectateur la decouverte tant attendue depuis la phase de teasing.</w:t>
      </w:r>
    </w:p>
    <w:p>
      <w:pPr>
        <w:spacing w:after="120"/>
        <w:jc w:val="both"/>
      </w:pPr>
      <w:r>
        <w:rPr>
          <w:rFonts w:ascii="Times New Roman" w:hAnsi="Times New Roman"/>
          <w:b w:val="0"/>
          <w:i w:val="0"/>
          <w:color w:val="1A1A1A"/>
          <w:sz w:val="24"/>
        </w:rPr>
        <w:t>La encore, le choix creatif obeit a une logique precise. Apres un mois passe a entretenir le mystere, il fallait offrir une revelation a la hauteur de l'attente construite. Le geste de devoilement de la bache fonctionne comme le paiement de la promesse du teaser : ce qui etait cache, flou, suggere, devient enfin visible. L'introduction de la mascotte, par ailleurs, dote la marque d'un visage et d'une personnalite, atouts precieux pour une destination de loisirs familiale qui cherche a creer un lien affectif durable avec son public.</w:t>
      </w:r>
    </w:p>
    <w:p>
      <w:pPr>
        <w:spacing w:before="160" w:after="40"/>
        <w:jc w:val="left"/>
      </w:pPr>
      <w:r>
        <w:rPr>
          <w:rFonts w:ascii="Times New Roman" w:hAnsi="Times New Roman"/>
          <w:b/>
          <w:i/>
          <w:color w:val="1F4E79"/>
          <w:sz w:val="20"/>
        </w:rPr>
        <w:t>Tableau 6.4 - Decoupage (storyboard) de la Video 2 - version 28 secondes</w:t>
      </w:r>
    </w:p>
    <w:tbl>
      <w:tblPr>
        <w:tblStyle w:val="LightGrid-Accent1"/>
        <w:tblW w:type="auto" w:w="0"/>
        <w:jc w:val="center"/>
        <w:tblLook w:firstColumn="1" w:firstRow="1" w:lastColumn="0" w:lastRow="0" w:noHBand="0" w:noVBand="1" w:val="04A0"/>
      </w:tblPr>
      <w:tblGrid>
        <w:gridCol w:w="2280"/>
        <w:gridCol w:w="2280"/>
        <w:gridCol w:w="2280"/>
        <w:gridCol w:w="2280"/>
      </w:tblGrid>
      <w:tr>
        <w:tc>
          <w:tcPr>
            <w:tcW w:type="dxa" w:w="794"/>
            <w:shd w:val="clear" w:fill="1F4E79"/>
          </w:tcPr>
          <w:p>
            <w:pPr>
              <w:jc w:val="center"/>
            </w:pPr>
            <w:r/>
            <w:r>
              <w:rPr>
                <w:rFonts w:ascii="Times New Roman" w:hAnsi="Times New Roman"/>
                <w:b/>
                <w:i w:val="0"/>
                <w:color w:val="FFFFFF"/>
                <w:sz w:val="21"/>
              </w:rPr>
              <w:t>Plan</w:t>
            </w:r>
          </w:p>
        </w:tc>
        <w:tc>
          <w:tcPr>
            <w:tcW w:type="dxa" w:w="1020"/>
            <w:shd w:val="clear" w:fill="1F4E79"/>
          </w:tcPr>
          <w:p>
            <w:pPr>
              <w:jc w:val="center"/>
            </w:pPr>
            <w:r/>
            <w:r>
              <w:rPr>
                <w:rFonts w:ascii="Times New Roman" w:hAnsi="Times New Roman"/>
                <w:b/>
                <w:i w:val="0"/>
                <w:color w:val="FFFFFF"/>
                <w:sz w:val="21"/>
              </w:rPr>
              <w:t>Duree</w:t>
            </w:r>
          </w:p>
        </w:tc>
        <w:tc>
          <w:tcPr>
            <w:tcW w:type="dxa" w:w="4649"/>
            <w:shd w:val="clear" w:fill="1F4E79"/>
          </w:tcPr>
          <w:p>
            <w:pPr>
              <w:jc w:val="center"/>
            </w:pPr>
            <w:r/>
            <w:r>
              <w:rPr>
                <w:rFonts w:ascii="Times New Roman" w:hAnsi="Times New Roman"/>
                <w:b/>
                <w:i w:val="0"/>
                <w:color w:val="FFFFFF"/>
                <w:sz w:val="21"/>
              </w:rPr>
              <w:t>Image</w:t>
            </w:r>
          </w:p>
        </w:tc>
        <w:tc>
          <w:tcPr>
            <w:tcW w:type="dxa" w:w="2494"/>
            <w:shd w:val="clear" w:fill="1F4E79"/>
          </w:tcPr>
          <w:p>
            <w:pPr>
              <w:jc w:val="center"/>
            </w:pPr>
            <w:r/>
            <w:r>
              <w:rPr>
                <w:rFonts w:ascii="Times New Roman" w:hAnsi="Times New Roman"/>
                <w:b/>
                <w:i w:val="0"/>
                <w:color w:val="FFFFFF"/>
                <w:sz w:val="21"/>
              </w:rPr>
              <w:t>Son / texte</w:t>
            </w:r>
          </w:p>
        </w:tc>
      </w:tr>
      <w:tr>
        <w:tc>
          <w:tcPr>
            <w:tcW w:type="dxa" w:w="794"/>
          </w:tcPr>
          <w:p>
            <w:pPr>
              <w:jc w:val="left"/>
            </w:pPr>
            <w:r/>
            <w:r>
              <w:rPr>
                <w:rFonts w:ascii="Times New Roman" w:hAnsi="Times New Roman"/>
                <w:b w:val="0"/>
                <w:i w:val="0"/>
                <w:color w:val="1A1A1A"/>
                <w:sz w:val="21"/>
              </w:rPr>
              <w:t>1</w:t>
            </w:r>
          </w:p>
        </w:tc>
        <w:tc>
          <w:tcPr>
            <w:tcW w:type="dxa" w:w="1020"/>
          </w:tcPr>
          <w:p>
            <w:pPr>
              <w:jc w:val="center"/>
            </w:pPr>
            <w:r/>
            <w:r>
              <w:rPr>
                <w:rFonts w:ascii="Times New Roman" w:hAnsi="Times New Roman"/>
                <w:b w:val="0"/>
                <w:i w:val="0"/>
                <w:color w:val="1A1A1A"/>
                <w:sz w:val="21"/>
              </w:rPr>
              <w:t>0-3 s</w:t>
            </w:r>
          </w:p>
        </w:tc>
        <w:tc>
          <w:tcPr>
            <w:tcW w:type="dxa" w:w="4649"/>
          </w:tcPr>
          <w:p>
            <w:pPr>
              <w:jc w:val="center"/>
            </w:pPr>
            <w:r/>
            <w:r>
              <w:rPr>
                <w:rFonts w:ascii="Times New Roman" w:hAnsi="Times New Roman"/>
                <w:b w:val="0"/>
                <w:i w:val="0"/>
                <w:color w:val="1A1A1A"/>
                <w:sz w:val="21"/>
              </w:rPr>
              <w:t>Plan large du batiment entierement recouvert d'une grande bache mysterieuse</w:t>
            </w:r>
          </w:p>
        </w:tc>
        <w:tc>
          <w:tcPr>
            <w:tcW w:type="dxa" w:w="2494"/>
          </w:tcPr>
          <w:p>
            <w:pPr>
              <w:jc w:val="center"/>
            </w:pPr>
            <w:r/>
            <w:r>
              <w:rPr>
                <w:rFonts w:ascii="Times New Roman" w:hAnsi="Times New Roman"/>
                <w:b w:val="0"/>
                <w:i w:val="0"/>
                <w:color w:val="1A1A1A"/>
                <w:sz w:val="21"/>
              </w:rPr>
              <w:t>Roulement, tension</w:t>
            </w:r>
          </w:p>
        </w:tc>
      </w:tr>
      <w:tr>
        <w:tc>
          <w:tcPr>
            <w:tcW w:type="dxa" w:w="794"/>
          </w:tcPr>
          <w:p>
            <w:pPr>
              <w:jc w:val="left"/>
            </w:pPr>
            <w:r/>
            <w:r>
              <w:rPr>
                <w:rFonts w:ascii="Times New Roman" w:hAnsi="Times New Roman"/>
                <w:b w:val="0"/>
                <w:i w:val="0"/>
                <w:color w:val="1A1A1A"/>
                <w:sz w:val="21"/>
              </w:rPr>
              <w:t>2</w:t>
            </w:r>
          </w:p>
        </w:tc>
        <w:tc>
          <w:tcPr>
            <w:tcW w:type="dxa" w:w="1020"/>
          </w:tcPr>
          <w:p>
            <w:pPr>
              <w:jc w:val="center"/>
            </w:pPr>
            <w:r/>
            <w:r>
              <w:rPr>
                <w:rFonts w:ascii="Times New Roman" w:hAnsi="Times New Roman"/>
                <w:b w:val="0"/>
                <w:i w:val="0"/>
                <w:color w:val="1A1A1A"/>
                <w:sz w:val="21"/>
              </w:rPr>
              <w:t>3-6 s</w:t>
            </w:r>
          </w:p>
        </w:tc>
        <w:tc>
          <w:tcPr>
            <w:tcW w:type="dxa" w:w="4649"/>
          </w:tcPr>
          <w:p>
            <w:pPr>
              <w:jc w:val="center"/>
            </w:pPr>
            <w:r/>
            <w:r>
              <w:rPr>
                <w:rFonts w:ascii="Times New Roman" w:hAnsi="Times New Roman"/>
                <w:b w:val="0"/>
                <w:i w:val="0"/>
                <w:color w:val="1A1A1A"/>
                <w:sz w:val="21"/>
              </w:rPr>
              <w:t>Arrivee de la mascotte Varcadia, en grand, face au batiment</w:t>
            </w:r>
          </w:p>
        </w:tc>
        <w:tc>
          <w:tcPr>
            <w:tcW w:type="dxa" w:w="2494"/>
          </w:tcPr>
          <w:p>
            <w:pPr>
              <w:jc w:val="center"/>
            </w:pPr>
            <w:r/>
            <w:r>
              <w:rPr>
                <w:rFonts w:ascii="Times New Roman" w:hAnsi="Times New Roman"/>
                <w:b w:val="0"/>
                <w:i w:val="0"/>
                <w:color w:val="1A1A1A"/>
                <w:sz w:val="21"/>
              </w:rPr>
              <w:t>Theme musical de la marque</w:t>
            </w:r>
          </w:p>
        </w:tc>
      </w:tr>
      <w:tr>
        <w:tc>
          <w:tcPr>
            <w:tcW w:type="dxa" w:w="794"/>
          </w:tcPr>
          <w:p>
            <w:pPr>
              <w:jc w:val="left"/>
            </w:pPr>
            <w:r/>
            <w:r>
              <w:rPr>
                <w:rFonts w:ascii="Times New Roman" w:hAnsi="Times New Roman"/>
                <w:b w:val="0"/>
                <w:i w:val="0"/>
                <w:color w:val="1A1A1A"/>
                <w:sz w:val="21"/>
              </w:rPr>
              <w:t>3</w:t>
            </w:r>
          </w:p>
        </w:tc>
        <w:tc>
          <w:tcPr>
            <w:tcW w:type="dxa" w:w="1020"/>
          </w:tcPr>
          <w:p>
            <w:pPr>
              <w:jc w:val="center"/>
            </w:pPr>
            <w:r/>
            <w:r>
              <w:rPr>
                <w:rFonts w:ascii="Times New Roman" w:hAnsi="Times New Roman"/>
                <w:b w:val="0"/>
                <w:i w:val="0"/>
                <w:color w:val="1A1A1A"/>
                <w:sz w:val="21"/>
              </w:rPr>
              <w:t>6-9 s</w:t>
            </w:r>
          </w:p>
        </w:tc>
        <w:tc>
          <w:tcPr>
            <w:tcW w:type="dxa" w:w="4649"/>
          </w:tcPr>
          <w:p>
            <w:pPr>
              <w:jc w:val="center"/>
            </w:pPr>
            <w:r/>
            <w:r>
              <w:rPr>
                <w:rFonts w:ascii="Times New Roman" w:hAnsi="Times New Roman"/>
                <w:b w:val="0"/>
                <w:i w:val="0"/>
                <w:color w:val="1A1A1A"/>
                <w:sz w:val="21"/>
              </w:rPr>
              <w:t>La mascotte saisit la bache des deux mains, prise d'elan</w:t>
            </w:r>
          </w:p>
        </w:tc>
        <w:tc>
          <w:tcPr>
            <w:tcW w:type="dxa" w:w="2494"/>
          </w:tcPr>
          <w:p>
            <w:pPr>
              <w:jc w:val="center"/>
            </w:pPr>
            <w:r/>
            <w:r>
              <w:rPr>
                <w:rFonts w:ascii="Times New Roman" w:hAnsi="Times New Roman"/>
                <w:b w:val="0"/>
                <w:i w:val="0"/>
                <w:color w:val="1A1A1A"/>
                <w:sz w:val="21"/>
              </w:rPr>
              <w:t>Montee sonore, suspense</w:t>
            </w:r>
          </w:p>
        </w:tc>
      </w:tr>
      <w:tr>
        <w:tc>
          <w:tcPr>
            <w:tcW w:type="dxa" w:w="794"/>
          </w:tcPr>
          <w:p>
            <w:pPr>
              <w:jc w:val="left"/>
            </w:pPr>
            <w:r/>
            <w:r>
              <w:rPr>
                <w:rFonts w:ascii="Times New Roman" w:hAnsi="Times New Roman"/>
                <w:b w:val="0"/>
                <w:i w:val="0"/>
                <w:color w:val="1A1A1A"/>
                <w:sz w:val="21"/>
              </w:rPr>
              <w:t>4</w:t>
            </w:r>
          </w:p>
        </w:tc>
        <w:tc>
          <w:tcPr>
            <w:tcW w:type="dxa" w:w="1020"/>
          </w:tcPr>
          <w:p>
            <w:pPr>
              <w:jc w:val="center"/>
            </w:pPr>
            <w:r/>
            <w:r>
              <w:rPr>
                <w:rFonts w:ascii="Times New Roman" w:hAnsi="Times New Roman"/>
                <w:b w:val="0"/>
                <w:i w:val="0"/>
                <w:color w:val="1A1A1A"/>
                <w:sz w:val="21"/>
              </w:rPr>
              <w:t>9-12 s</w:t>
            </w:r>
          </w:p>
        </w:tc>
        <w:tc>
          <w:tcPr>
            <w:tcW w:type="dxa" w:w="4649"/>
          </w:tcPr>
          <w:p>
            <w:pPr>
              <w:jc w:val="center"/>
            </w:pPr>
            <w:r/>
            <w:r>
              <w:rPr>
                <w:rFonts w:ascii="Times New Roman" w:hAnsi="Times New Roman"/>
                <w:b w:val="0"/>
                <w:i w:val="0"/>
                <w:color w:val="1A1A1A"/>
                <w:sz w:val="21"/>
              </w:rPr>
              <w:t>Geste ample : la bache est tiree et tombe, le parc se devoile</w:t>
            </w:r>
          </w:p>
        </w:tc>
        <w:tc>
          <w:tcPr>
            <w:tcW w:type="dxa" w:w="2494"/>
          </w:tcPr>
          <w:p>
            <w:pPr>
              <w:jc w:val="center"/>
            </w:pPr>
            <w:r/>
            <w:r>
              <w:rPr>
                <w:rFonts w:ascii="Times New Roman" w:hAnsi="Times New Roman"/>
                <w:b w:val="0"/>
                <w:i w:val="0"/>
                <w:color w:val="1A1A1A"/>
                <w:sz w:val="21"/>
              </w:rPr>
              <w:t>Coup de cymbale, eclat</w:t>
            </w:r>
          </w:p>
        </w:tc>
      </w:tr>
      <w:tr>
        <w:tc>
          <w:tcPr>
            <w:tcW w:type="dxa" w:w="794"/>
          </w:tcPr>
          <w:p>
            <w:pPr>
              <w:jc w:val="left"/>
            </w:pPr>
            <w:r/>
            <w:r>
              <w:rPr>
                <w:rFonts w:ascii="Times New Roman" w:hAnsi="Times New Roman"/>
                <w:b w:val="0"/>
                <w:i w:val="0"/>
                <w:color w:val="1A1A1A"/>
                <w:sz w:val="21"/>
              </w:rPr>
              <w:t>5</w:t>
            </w:r>
          </w:p>
        </w:tc>
        <w:tc>
          <w:tcPr>
            <w:tcW w:type="dxa" w:w="1020"/>
          </w:tcPr>
          <w:p>
            <w:pPr>
              <w:jc w:val="center"/>
            </w:pPr>
            <w:r/>
            <w:r>
              <w:rPr>
                <w:rFonts w:ascii="Times New Roman" w:hAnsi="Times New Roman"/>
                <w:b w:val="0"/>
                <w:i w:val="0"/>
                <w:color w:val="1A1A1A"/>
                <w:sz w:val="21"/>
              </w:rPr>
              <w:t>12-18 s</w:t>
            </w:r>
          </w:p>
        </w:tc>
        <w:tc>
          <w:tcPr>
            <w:tcW w:type="dxa" w:w="4649"/>
          </w:tcPr>
          <w:p>
            <w:pPr>
              <w:jc w:val="center"/>
            </w:pPr>
            <w:r/>
            <w:r>
              <w:rPr>
                <w:rFonts w:ascii="Times New Roman" w:hAnsi="Times New Roman"/>
                <w:b w:val="0"/>
                <w:i w:val="0"/>
                <w:color w:val="1A1A1A"/>
                <w:sz w:val="21"/>
              </w:rPr>
              <w:t>Travelling avant : la camera entre dans l'univers Varcadia (genere Kling AI)</w:t>
            </w:r>
          </w:p>
        </w:tc>
        <w:tc>
          <w:tcPr>
            <w:tcW w:type="dxa" w:w="2494"/>
          </w:tcPr>
          <w:p>
            <w:pPr>
              <w:jc w:val="center"/>
            </w:pPr>
            <w:r/>
            <w:r>
              <w:rPr>
                <w:rFonts w:ascii="Times New Roman" w:hAnsi="Times New Roman"/>
                <w:b w:val="0"/>
                <w:i w:val="0"/>
                <w:color w:val="1A1A1A"/>
                <w:sz w:val="21"/>
              </w:rPr>
              <w:t>Musique festive, plein volume</w:t>
            </w:r>
          </w:p>
        </w:tc>
      </w:tr>
      <w:tr>
        <w:tc>
          <w:tcPr>
            <w:tcW w:type="dxa" w:w="794"/>
          </w:tcPr>
          <w:p>
            <w:pPr>
              <w:jc w:val="left"/>
            </w:pPr>
            <w:r/>
            <w:r>
              <w:rPr>
                <w:rFonts w:ascii="Times New Roman" w:hAnsi="Times New Roman"/>
                <w:b w:val="0"/>
                <w:i w:val="0"/>
                <w:color w:val="1A1A1A"/>
                <w:sz w:val="21"/>
              </w:rPr>
              <w:t>6</w:t>
            </w:r>
          </w:p>
        </w:tc>
        <w:tc>
          <w:tcPr>
            <w:tcW w:type="dxa" w:w="1020"/>
          </w:tcPr>
          <w:p>
            <w:pPr>
              <w:jc w:val="center"/>
            </w:pPr>
            <w:r/>
            <w:r>
              <w:rPr>
                <w:rFonts w:ascii="Times New Roman" w:hAnsi="Times New Roman"/>
                <w:b w:val="0"/>
                <w:i w:val="0"/>
                <w:color w:val="1A1A1A"/>
                <w:sz w:val="21"/>
              </w:rPr>
              <w:t>18-24 s</w:t>
            </w:r>
          </w:p>
        </w:tc>
        <w:tc>
          <w:tcPr>
            <w:tcW w:type="dxa" w:w="4649"/>
          </w:tcPr>
          <w:p>
            <w:pPr>
              <w:jc w:val="center"/>
            </w:pPr>
            <w:r/>
            <w:r>
              <w:rPr>
                <w:rFonts w:ascii="Times New Roman" w:hAnsi="Times New Roman"/>
                <w:b w:val="0"/>
                <w:i w:val="0"/>
                <w:color w:val="1A1A1A"/>
                <w:sz w:val="21"/>
              </w:rPr>
              <w:t>Decouverte des espaces, jeux et lumieres, foule joyeuse</w:t>
            </w:r>
          </w:p>
        </w:tc>
        <w:tc>
          <w:tcPr>
            <w:tcW w:type="dxa" w:w="2494"/>
          </w:tcPr>
          <w:p>
            <w:pPr>
              <w:jc w:val="center"/>
            </w:pPr>
            <w:r/>
            <w:r>
              <w:rPr>
                <w:rFonts w:ascii="Times New Roman" w:hAnsi="Times New Roman"/>
                <w:b w:val="0"/>
                <w:i w:val="0"/>
                <w:color w:val="1A1A1A"/>
                <w:sz w:val="21"/>
              </w:rPr>
              <w:t>Rires, ambiance de fete</w:t>
            </w:r>
          </w:p>
        </w:tc>
      </w:tr>
      <w:tr>
        <w:tc>
          <w:tcPr>
            <w:tcW w:type="dxa" w:w="794"/>
          </w:tcPr>
          <w:p>
            <w:pPr>
              <w:jc w:val="left"/>
            </w:pPr>
            <w:r/>
            <w:r>
              <w:rPr>
                <w:rFonts w:ascii="Times New Roman" w:hAnsi="Times New Roman"/>
                <w:b w:val="0"/>
                <w:i w:val="0"/>
                <w:color w:val="1A1A1A"/>
                <w:sz w:val="21"/>
              </w:rPr>
              <w:t>7</w:t>
            </w:r>
          </w:p>
        </w:tc>
        <w:tc>
          <w:tcPr>
            <w:tcW w:type="dxa" w:w="1020"/>
          </w:tcPr>
          <w:p>
            <w:pPr>
              <w:jc w:val="center"/>
            </w:pPr>
            <w:r/>
            <w:r>
              <w:rPr>
                <w:rFonts w:ascii="Times New Roman" w:hAnsi="Times New Roman"/>
                <w:b w:val="0"/>
                <w:i w:val="0"/>
                <w:color w:val="1A1A1A"/>
                <w:sz w:val="21"/>
              </w:rPr>
              <w:t>24-28 s</w:t>
            </w:r>
          </w:p>
        </w:tc>
        <w:tc>
          <w:tcPr>
            <w:tcW w:type="dxa" w:w="4649"/>
          </w:tcPr>
          <w:p>
            <w:pPr>
              <w:jc w:val="center"/>
            </w:pPr>
            <w:r/>
            <w:r>
              <w:rPr>
                <w:rFonts w:ascii="Times New Roman" w:hAnsi="Times New Roman"/>
                <w:b w:val="0"/>
                <w:i w:val="0"/>
                <w:color w:val="1A1A1A"/>
                <w:sz w:val="21"/>
              </w:rPr>
              <w:t>Logo + informations d'ouverture (date, lieu, horaires)</w:t>
            </w:r>
          </w:p>
        </w:tc>
        <w:tc>
          <w:tcPr>
            <w:tcW w:type="dxa" w:w="2494"/>
          </w:tcPr>
          <w:p>
            <w:pPr>
              <w:jc w:val="center"/>
            </w:pPr>
            <w:r/>
            <w:r>
              <w:rPr>
                <w:rFonts w:ascii="Times New Roman" w:hAnsi="Times New Roman"/>
                <w:b w:val="0"/>
                <w:i w:val="0"/>
                <w:color w:val="1A1A1A"/>
                <w:sz w:val="21"/>
              </w:rPr>
              <w:t>Signature sonore + voix off</w:t>
            </w:r>
          </w:p>
        </w:tc>
      </w:tr>
    </w:tbl>
    <w:p>
      <w:pPr>
        <w:spacing w:after="80"/>
      </w:pPr>
    </w:p>
    <w:p>
      <w:pPr>
        <w:spacing w:after="120"/>
        <w:jc w:val="both"/>
      </w:pPr>
      <w:r>
        <w:rPr>
          <w:rFonts w:ascii="Times New Roman" w:hAnsi="Times New Roman"/>
          <w:b/>
          <w:i w:val="0"/>
          <w:color w:val="1A1A1A"/>
          <w:sz w:val="24"/>
        </w:rPr>
        <w:t>Lecture semiotique.</w:t>
      </w:r>
      <w:r>
        <w:rPr>
          <w:rFonts w:ascii="Times New Roman" w:hAnsi="Times New Roman"/>
          <w:b w:val="0"/>
          <w:i w:val="0"/>
          <w:color w:val="1A1A1A"/>
          <w:sz w:val="24"/>
        </w:rPr>
        <w:t xml:space="preserve"> Le ressort central de cette video est le devoilement, figure rhetorique puissante qui met en scene le passage du cache au visible. La bache fonctionne comme un rideau de theatre : sa chute est un acte d'ouverture, au sens propre comme au sens figure. La mascotte, en accomplissant ce geste, n'est pas un simple element decoratif : elle devient l'agent de la revelation, celui qui invite le public a entrer. Le mouvement de camera qui franchit le seuil du batiment prolonge cette invitation : le spectateur n'observe plus de l'exterieur, il est conduit a l'interieur, comme s'il etait deja sur place. Ce passage du seuil constitue une invitation implicite a la visite physique.</w:t>
      </w:r>
    </w:p>
    <w:p>
      <w:pPr>
        <w:spacing w:after="120"/>
        <w:jc w:val="both"/>
      </w:pPr>
      <w:r>
        <w:rPr>
          <w:rFonts w:ascii="Times New Roman" w:hAnsi="Times New Roman"/>
          <w:b w:val="0"/>
          <w:i w:val="0"/>
          <w:color w:val="1A1A1A"/>
          <w:sz w:val="24"/>
        </w:rPr>
        <w:t>La continuite visuelle avec la premiere video est volontaire : on retrouve la meme palette chaude et saturee, la meme energie de montage, le meme univers immersif. Le spectateur qui a vu le teaser reconnait immediatement le monde entrevu, et la promesse formulee par le &lt;&lt; soon a Soualem &gt;&gt; trouve ici sa resolution. La campagne forme ainsi un recit coherent en deux actes : la promesse, puis sa realisation.</w:t>
      </w:r>
    </w:p>
    <w:p>
      <w:pPr>
        <w:spacing w:after="120"/>
        <w:jc w:val="both"/>
      </w:pPr>
      <w:r>
        <w:rPr>
          <w:rFonts w:ascii="Times New Roman" w:hAnsi="Times New Roman"/>
          <w:b/>
          <w:i w:val="0"/>
          <w:color w:val="1A1A1A"/>
          <w:sz w:val="24"/>
        </w:rPr>
        <w:t>Production technique.</w:t>
      </w:r>
      <w:r>
        <w:rPr>
          <w:rFonts w:ascii="Times New Roman" w:hAnsi="Times New Roman"/>
          <w:b w:val="0"/>
          <w:i w:val="0"/>
          <w:color w:val="1A1A1A"/>
          <w:sz w:val="24"/>
        </w:rPr>
        <w:t xml:space="preserve"> La mascotte a ete concue a partir du logo de Varcadia, puis animee a l'aide de Kling AI afin d'obtenir un mouvement credible et fluide, notamment pour le geste exigeant du retrait de la bache. Le devoilement et l'entree dans l'univers du parc ont egalement ete generes et enrichis par Kling AI, en combinaison avec des prises reelles de l'interieur du parc desormais acheve. Nano Banana Pro a pris en charge l'assemblage, la synchronisation du geste avec les accents musicaux et l'integration des informations pratiques d'ouverture. Comme pour la premiere video, plusieurs cycles d'iteration ont ete necessaires pour fiabiliser l'animation de la mascotte, point techniquement le plus delicat de la production.</w:t>
      </w:r>
    </w:p>
    <w:p>
      <w:pPr>
        <w:spacing w:after="120"/>
        <w:jc w:val="both"/>
      </w:pPr>
      <w:r>
        <w:rPr>
          <w:rFonts w:ascii="Times New Roman" w:hAnsi="Times New Roman"/>
          <w:b/>
          <w:i w:val="0"/>
          <w:color w:val="1A1A1A"/>
          <w:sz w:val="24"/>
        </w:rPr>
        <w:t>Role dans le dispositif.</w:t>
      </w:r>
      <w:r>
        <w:rPr>
          <w:rFonts w:ascii="Times New Roman" w:hAnsi="Times New Roman"/>
          <w:b w:val="0"/>
          <w:i w:val="0"/>
          <w:color w:val="1A1A1A"/>
          <w:sz w:val="24"/>
        </w:rPr>
        <w:t xml:space="preserve"> Cette video a servi de declencheur de visite. Diffusee au moment de l'ouverture, soutenue par le reciblage des audiences ayant vu le teaser, elle avait pour objectif de transformer la notoriete et l'attente accumulees en affluence reelle le jour J. Son ton resolument festif et son contenu informatif (date, lieu, horaires) en faisaient un appel a l'action clair.</w:t>
      </w:r>
    </w:p>
    <w:p>
      <w:pPr>
        <w:spacing w:before="160" w:after="80"/>
      </w:pPr>
      <w:r>
        <w:rPr>
          <w:rFonts w:ascii="Times New Roman" w:hAnsi="Times New Roman"/>
          <w:b/>
          <w:i w:val="0"/>
          <w:color w:val="2E75B6"/>
          <w:sz w:val="25"/>
        </w:rPr>
        <w:t>6.4.3  Synthese comparative des deux videos</w:t>
      </w:r>
    </w:p>
    <w:p>
      <w:pPr>
        <w:spacing w:after="120"/>
        <w:jc w:val="both"/>
      </w:pPr>
      <w:r>
        <w:rPr>
          <w:rFonts w:ascii="Times New Roman" w:hAnsi="Times New Roman"/>
          <w:b w:val="0"/>
          <w:i w:val="0"/>
          <w:color w:val="1A1A1A"/>
          <w:sz w:val="24"/>
        </w:rPr>
        <w:t>Les deux videos, complementaires, structurent un recit publicitaire en deux actes. Le tableau suivant met en regard leurs caracteristiques principales.</w:t>
      </w:r>
    </w:p>
    <w:p>
      <w:pPr>
        <w:spacing w:before="160" w:after="40"/>
        <w:jc w:val="left"/>
      </w:pPr>
      <w:r>
        <w:rPr>
          <w:rFonts w:ascii="Times New Roman" w:hAnsi="Times New Roman"/>
          <w:b/>
          <w:i/>
          <w:color w:val="1F4E79"/>
          <w:sz w:val="20"/>
        </w:rPr>
        <w:t>Tableau 6.5 - Synthese comparative des deux videos de la campagne</w:t>
      </w:r>
    </w:p>
    <w:tbl>
      <w:tblPr>
        <w:tblStyle w:val="LightGrid-Accent1"/>
        <w:tblW w:type="auto" w:w="0"/>
        <w:jc w:val="center"/>
        <w:tblLook w:firstColumn="1" w:firstRow="1" w:lastColumn="0" w:lastRow="0" w:noHBand="0" w:noVBand="1" w:val="04A0"/>
      </w:tblPr>
      <w:tblGrid>
        <w:gridCol w:w="3041"/>
        <w:gridCol w:w="3041"/>
        <w:gridCol w:w="3041"/>
      </w:tblGrid>
      <w:tr>
        <w:tc>
          <w:tcPr>
            <w:tcW w:type="dxa" w:w="1928"/>
            <w:shd w:val="clear" w:fill="1F4E79"/>
          </w:tcPr>
          <w:p>
            <w:pPr>
              <w:jc w:val="center"/>
            </w:pPr>
            <w:r/>
            <w:r>
              <w:rPr>
                <w:rFonts w:ascii="Times New Roman" w:hAnsi="Times New Roman"/>
                <w:b/>
                <w:i w:val="0"/>
                <w:color w:val="FFFFFF"/>
                <w:sz w:val="21"/>
              </w:rPr>
              <w:t>Critere</w:t>
            </w:r>
          </w:p>
        </w:tc>
        <w:tc>
          <w:tcPr>
            <w:tcW w:type="dxa" w:w="3515"/>
            <w:shd w:val="clear" w:fill="1F4E79"/>
          </w:tcPr>
          <w:p>
            <w:pPr>
              <w:jc w:val="center"/>
            </w:pPr>
            <w:r/>
            <w:r>
              <w:rPr>
                <w:rFonts w:ascii="Times New Roman" w:hAnsi="Times New Roman"/>
                <w:b/>
                <w:i w:val="0"/>
                <w:color w:val="FFFFFF"/>
                <w:sz w:val="21"/>
              </w:rPr>
              <w:t>Video 1 - L'Evasion</w:t>
            </w:r>
          </w:p>
        </w:tc>
        <w:tc>
          <w:tcPr>
            <w:tcW w:type="dxa" w:w="3515"/>
            <w:shd w:val="clear" w:fill="1F4E79"/>
          </w:tcPr>
          <w:p>
            <w:pPr>
              <w:jc w:val="center"/>
            </w:pPr>
            <w:r/>
            <w:r>
              <w:rPr>
                <w:rFonts w:ascii="Times New Roman" w:hAnsi="Times New Roman"/>
                <w:b/>
                <w:i w:val="0"/>
                <w:color w:val="FFFFFF"/>
                <w:sz w:val="21"/>
              </w:rPr>
              <w:t>Video 2 - La Mascotte</w:t>
            </w:r>
          </w:p>
        </w:tc>
      </w:tr>
      <w:tr>
        <w:tc>
          <w:tcPr>
            <w:tcW w:type="dxa" w:w="1928"/>
          </w:tcPr>
          <w:p>
            <w:pPr>
              <w:jc w:val="left"/>
            </w:pPr>
            <w:r/>
            <w:r>
              <w:rPr>
                <w:rFonts w:ascii="Times New Roman" w:hAnsi="Times New Roman"/>
                <w:b w:val="0"/>
                <w:i w:val="0"/>
                <w:color w:val="1A1A1A"/>
                <w:sz w:val="21"/>
              </w:rPr>
              <w:t>Phase</w:t>
            </w:r>
          </w:p>
        </w:tc>
        <w:tc>
          <w:tcPr>
            <w:tcW w:type="dxa" w:w="3515"/>
          </w:tcPr>
          <w:p>
            <w:pPr>
              <w:jc w:val="center"/>
            </w:pPr>
            <w:r/>
            <w:r>
              <w:rPr>
                <w:rFonts w:ascii="Times New Roman" w:hAnsi="Times New Roman"/>
                <w:b w:val="0"/>
                <w:i w:val="0"/>
                <w:color w:val="1A1A1A"/>
                <w:sz w:val="21"/>
              </w:rPr>
              <w:t>Teasing (J-30 a J-7)</w:t>
            </w:r>
          </w:p>
        </w:tc>
        <w:tc>
          <w:tcPr>
            <w:tcW w:type="dxa" w:w="3515"/>
          </w:tcPr>
          <w:p>
            <w:pPr>
              <w:jc w:val="center"/>
            </w:pPr>
            <w:r/>
            <w:r>
              <w:rPr>
                <w:rFonts w:ascii="Times New Roman" w:hAnsi="Times New Roman"/>
                <w:b w:val="0"/>
                <w:i w:val="0"/>
                <w:color w:val="1A1A1A"/>
                <w:sz w:val="21"/>
              </w:rPr>
              <w:t>Devoilement (jour J)</w:t>
            </w:r>
          </w:p>
        </w:tc>
      </w:tr>
      <w:tr>
        <w:tc>
          <w:tcPr>
            <w:tcW w:type="dxa" w:w="1928"/>
          </w:tcPr>
          <w:p>
            <w:pPr>
              <w:jc w:val="left"/>
            </w:pPr>
            <w:r/>
            <w:r>
              <w:rPr>
                <w:rFonts w:ascii="Times New Roman" w:hAnsi="Times New Roman"/>
                <w:b w:val="0"/>
                <w:i w:val="0"/>
                <w:color w:val="1A1A1A"/>
                <w:sz w:val="21"/>
              </w:rPr>
              <w:t>Ressort narratif</w:t>
            </w:r>
          </w:p>
        </w:tc>
        <w:tc>
          <w:tcPr>
            <w:tcW w:type="dxa" w:w="3515"/>
          </w:tcPr>
          <w:p>
            <w:pPr>
              <w:jc w:val="center"/>
            </w:pPr>
            <w:r/>
            <w:r>
              <w:rPr>
                <w:rFonts w:ascii="Times New Roman" w:hAnsi="Times New Roman"/>
                <w:b w:val="0"/>
                <w:i w:val="0"/>
                <w:color w:val="1A1A1A"/>
                <w:sz w:val="21"/>
              </w:rPr>
              <w:t>Manque puis evasion</w:t>
            </w:r>
          </w:p>
        </w:tc>
        <w:tc>
          <w:tcPr>
            <w:tcW w:type="dxa" w:w="3515"/>
          </w:tcPr>
          <w:p>
            <w:pPr>
              <w:jc w:val="center"/>
            </w:pPr>
            <w:r/>
            <w:r>
              <w:rPr>
                <w:rFonts w:ascii="Times New Roman" w:hAnsi="Times New Roman"/>
                <w:b w:val="0"/>
                <w:i w:val="0"/>
                <w:color w:val="1A1A1A"/>
                <w:sz w:val="21"/>
              </w:rPr>
              <w:t>Mystere puis revelation</w:t>
            </w:r>
          </w:p>
        </w:tc>
      </w:tr>
      <w:tr>
        <w:tc>
          <w:tcPr>
            <w:tcW w:type="dxa" w:w="1928"/>
          </w:tcPr>
          <w:p>
            <w:pPr>
              <w:jc w:val="left"/>
            </w:pPr>
            <w:r/>
            <w:r>
              <w:rPr>
                <w:rFonts w:ascii="Times New Roman" w:hAnsi="Times New Roman"/>
                <w:b w:val="0"/>
                <w:i w:val="0"/>
                <w:color w:val="1A1A1A"/>
                <w:sz w:val="21"/>
              </w:rPr>
              <w:t>Emotion visee</w:t>
            </w:r>
          </w:p>
        </w:tc>
        <w:tc>
          <w:tcPr>
            <w:tcW w:type="dxa" w:w="3515"/>
          </w:tcPr>
          <w:p>
            <w:pPr>
              <w:jc w:val="center"/>
            </w:pPr>
            <w:r/>
            <w:r>
              <w:rPr>
                <w:rFonts w:ascii="Times New Roman" w:hAnsi="Times New Roman"/>
                <w:b w:val="0"/>
                <w:i w:val="0"/>
                <w:color w:val="1A1A1A"/>
                <w:sz w:val="21"/>
              </w:rPr>
              <w:t>Identification, curiosite</w:t>
            </w:r>
          </w:p>
        </w:tc>
        <w:tc>
          <w:tcPr>
            <w:tcW w:type="dxa" w:w="3515"/>
          </w:tcPr>
          <w:p>
            <w:pPr>
              <w:jc w:val="center"/>
            </w:pPr>
            <w:r/>
            <w:r>
              <w:rPr>
                <w:rFonts w:ascii="Times New Roman" w:hAnsi="Times New Roman"/>
                <w:b w:val="0"/>
                <w:i w:val="0"/>
                <w:color w:val="1A1A1A"/>
                <w:sz w:val="21"/>
              </w:rPr>
              <w:t>Surprise, enthousiasme</w:t>
            </w:r>
          </w:p>
        </w:tc>
      </w:tr>
      <w:tr>
        <w:tc>
          <w:tcPr>
            <w:tcW w:type="dxa" w:w="1928"/>
          </w:tcPr>
          <w:p>
            <w:pPr>
              <w:jc w:val="left"/>
            </w:pPr>
            <w:r/>
            <w:r>
              <w:rPr>
                <w:rFonts w:ascii="Times New Roman" w:hAnsi="Times New Roman"/>
                <w:b w:val="0"/>
                <w:i w:val="0"/>
                <w:color w:val="1A1A1A"/>
                <w:sz w:val="21"/>
              </w:rPr>
              <w:t>Personnage</w:t>
            </w:r>
          </w:p>
        </w:tc>
        <w:tc>
          <w:tcPr>
            <w:tcW w:type="dxa" w:w="3515"/>
          </w:tcPr>
          <w:p>
            <w:pPr>
              <w:jc w:val="center"/>
            </w:pPr>
            <w:r/>
            <w:r>
              <w:rPr>
                <w:rFonts w:ascii="Times New Roman" w:hAnsi="Times New Roman"/>
                <w:b w:val="0"/>
                <w:i w:val="0"/>
                <w:color w:val="1A1A1A"/>
                <w:sz w:val="21"/>
              </w:rPr>
              <w:t>Jeune spectateur (cible)</w:t>
            </w:r>
          </w:p>
        </w:tc>
        <w:tc>
          <w:tcPr>
            <w:tcW w:type="dxa" w:w="3515"/>
          </w:tcPr>
          <w:p>
            <w:pPr>
              <w:jc w:val="center"/>
            </w:pPr>
            <w:r/>
            <w:r>
              <w:rPr>
                <w:rFonts w:ascii="Times New Roman" w:hAnsi="Times New Roman"/>
                <w:b w:val="0"/>
                <w:i w:val="0"/>
                <w:color w:val="1A1A1A"/>
                <w:sz w:val="21"/>
              </w:rPr>
              <w:t>Mascotte (marque)</w:t>
            </w:r>
          </w:p>
        </w:tc>
      </w:tr>
      <w:tr>
        <w:tc>
          <w:tcPr>
            <w:tcW w:type="dxa" w:w="1928"/>
          </w:tcPr>
          <w:p>
            <w:pPr>
              <w:jc w:val="left"/>
            </w:pPr>
            <w:r/>
            <w:r>
              <w:rPr>
                <w:rFonts w:ascii="Times New Roman" w:hAnsi="Times New Roman"/>
                <w:b w:val="0"/>
                <w:i w:val="0"/>
                <w:color w:val="1A1A1A"/>
                <w:sz w:val="21"/>
              </w:rPr>
              <w:t>Element pivot</w:t>
            </w:r>
          </w:p>
        </w:tc>
        <w:tc>
          <w:tcPr>
            <w:tcW w:type="dxa" w:w="3515"/>
          </w:tcPr>
          <w:p>
            <w:pPr>
              <w:jc w:val="center"/>
            </w:pPr>
            <w:r/>
            <w:r>
              <w:rPr>
                <w:rFonts w:ascii="Times New Roman" w:hAnsi="Times New Roman"/>
                <w:b w:val="0"/>
                <w:i w:val="0"/>
                <w:color w:val="1A1A1A"/>
                <w:sz w:val="21"/>
              </w:rPr>
              <w:t>Le flash lumineux</w:t>
            </w:r>
          </w:p>
        </w:tc>
        <w:tc>
          <w:tcPr>
            <w:tcW w:type="dxa" w:w="3515"/>
          </w:tcPr>
          <w:p>
            <w:pPr>
              <w:jc w:val="center"/>
            </w:pPr>
            <w:r/>
            <w:r>
              <w:rPr>
                <w:rFonts w:ascii="Times New Roman" w:hAnsi="Times New Roman"/>
                <w:b w:val="0"/>
                <w:i w:val="0"/>
                <w:color w:val="1A1A1A"/>
                <w:sz w:val="21"/>
              </w:rPr>
              <w:t>La chute de la bache</w:t>
            </w:r>
          </w:p>
        </w:tc>
      </w:tr>
      <w:tr>
        <w:tc>
          <w:tcPr>
            <w:tcW w:type="dxa" w:w="1928"/>
          </w:tcPr>
          <w:p>
            <w:pPr>
              <w:jc w:val="left"/>
            </w:pPr>
            <w:r/>
            <w:r>
              <w:rPr>
                <w:rFonts w:ascii="Times New Roman" w:hAnsi="Times New Roman"/>
                <w:b w:val="0"/>
                <w:i w:val="0"/>
                <w:color w:val="1A1A1A"/>
                <w:sz w:val="21"/>
              </w:rPr>
              <w:t>Message</w:t>
            </w:r>
          </w:p>
        </w:tc>
        <w:tc>
          <w:tcPr>
            <w:tcW w:type="dxa" w:w="3515"/>
          </w:tcPr>
          <w:p>
            <w:pPr>
              <w:jc w:val="center"/>
            </w:pPr>
            <w:r/>
            <w:r>
              <w:rPr>
                <w:rFonts w:ascii="Times New Roman" w:hAnsi="Times New Roman"/>
                <w:b w:val="0"/>
                <w:i w:val="0"/>
                <w:color w:val="1A1A1A"/>
                <w:sz w:val="21"/>
              </w:rPr>
              <w:t>&lt;&lt; soon a Soualem &gt;&gt;</w:t>
            </w:r>
          </w:p>
        </w:tc>
        <w:tc>
          <w:tcPr>
            <w:tcW w:type="dxa" w:w="3515"/>
          </w:tcPr>
          <w:p>
            <w:pPr>
              <w:jc w:val="center"/>
            </w:pPr>
            <w:r/>
            <w:r>
              <w:rPr>
                <w:rFonts w:ascii="Times New Roman" w:hAnsi="Times New Roman"/>
                <w:b w:val="0"/>
                <w:i w:val="0"/>
                <w:color w:val="1A1A1A"/>
                <w:sz w:val="21"/>
              </w:rPr>
              <w:t>&lt;&lt; c'est ouvert ! &gt;&gt;</w:t>
            </w:r>
          </w:p>
        </w:tc>
      </w:tr>
      <w:tr>
        <w:tc>
          <w:tcPr>
            <w:tcW w:type="dxa" w:w="1928"/>
          </w:tcPr>
          <w:p>
            <w:pPr>
              <w:jc w:val="left"/>
            </w:pPr>
            <w:r/>
            <w:r>
              <w:rPr>
                <w:rFonts w:ascii="Times New Roman" w:hAnsi="Times New Roman"/>
                <w:b w:val="0"/>
                <w:i w:val="0"/>
                <w:color w:val="1A1A1A"/>
                <w:sz w:val="21"/>
              </w:rPr>
              <w:t>Objectif media</w:t>
            </w:r>
          </w:p>
        </w:tc>
        <w:tc>
          <w:tcPr>
            <w:tcW w:type="dxa" w:w="3515"/>
          </w:tcPr>
          <w:p>
            <w:pPr>
              <w:jc w:val="center"/>
            </w:pPr>
            <w:r/>
            <w:r>
              <w:rPr>
                <w:rFonts w:ascii="Times New Roman" w:hAnsi="Times New Roman"/>
                <w:b w:val="0"/>
                <w:i w:val="0"/>
                <w:color w:val="1A1A1A"/>
                <w:sz w:val="21"/>
              </w:rPr>
              <w:t>Notoriete et vues</w:t>
            </w:r>
          </w:p>
        </w:tc>
        <w:tc>
          <w:tcPr>
            <w:tcW w:type="dxa" w:w="3515"/>
          </w:tcPr>
          <w:p>
            <w:pPr>
              <w:jc w:val="center"/>
            </w:pPr>
            <w:r/>
            <w:r>
              <w:rPr>
                <w:rFonts w:ascii="Times New Roman" w:hAnsi="Times New Roman"/>
                <w:b w:val="0"/>
                <w:i w:val="0"/>
                <w:color w:val="1A1A1A"/>
                <w:sz w:val="21"/>
              </w:rPr>
              <w:t>Visite et conversion</w:t>
            </w:r>
          </w:p>
        </w:tc>
      </w:tr>
      <w:tr>
        <w:tc>
          <w:tcPr>
            <w:tcW w:type="dxa" w:w="1928"/>
          </w:tcPr>
          <w:p>
            <w:pPr>
              <w:jc w:val="left"/>
            </w:pPr>
            <w:r/>
            <w:r>
              <w:rPr>
                <w:rFonts w:ascii="Times New Roman" w:hAnsi="Times New Roman"/>
                <w:b w:val="0"/>
                <w:i w:val="0"/>
                <w:color w:val="1A1A1A"/>
                <w:sz w:val="21"/>
              </w:rPr>
              <w:t>Appel a l'action</w:t>
            </w:r>
          </w:p>
        </w:tc>
        <w:tc>
          <w:tcPr>
            <w:tcW w:type="dxa" w:w="3515"/>
          </w:tcPr>
          <w:p>
            <w:pPr>
              <w:jc w:val="center"/>
            </w:pPr>
            <w:r/>
            <w:r>
              <w:rPr>
                <w:rFonts w:ascii="Times New Roman" w:hAnsi="Times New Roman"/>
                <w:b w:val="0"/>
                <w:i w:val="0"/>
                <w:color w:val="1A1A1A"/>
                <w:sz w:val="21"/>
              </w:rPr>
              <w:t>Implicite (anticipation)</w:t>
            </w:r>
          </w:p>
        </w:tc>
        <w:tc>
          <w:tcPr>
            <w:tcW w:type="dxa" w:w="3515"/>
          </w:tcPr>
          <w:p>
            <w:pPr>
              <w:jc w:val="center"/>
            </w:pPr>
            <w:r/>
            <w:r>
              <w:rPr>
                <w:rFonts w:ascii="Times New Roman" w:hAnsi="Times New Roman"/>
                <w:b w:val="0"/>
                <w:i w:val="0"/>
                <w:color w:val="1A1A1A"/>
                <w:sz w:val="21"/>
              </w:rPr>
              <w:t>Explicite (venez)</w:t>
            </w:r>
          </w:p>
        </w:tc>
      </w:tr>
    </w:tbl>
    <w:p>
      <w:pPr>
        <w:spacing w:after="80"/>
      </w:pPr>
    </w:p>
    <w:p>
      <w:pPr>
        <w:spacing w:before="240" w:after="120"/>
      </w:pPr>
      <w:r>
        <w:rPr>
          <w:rFonts w:ascii="Times New Roman" w:hAnsi="Times New Roman"/>
          <w:b/>
          <w:i w:val="0"/>
          <w:color w:val="1F4E79"/>
          <w:sz w:val="28"/>
        </w:rPr>
        <w:t>6.5  Les contenus social media : decliner le recit au quotidien</w:t>
      </w:r>
    </w:p>
    <w:p>
      <w:pPr>
        <w:spacing w:after="120"/>
        <w:jc w:val="both"/>
      </w:pPr>
      <w:r>
        <w:rPr>
          <w:rFonts w:ascii="Times New Roman" w:hAnsi="Times New Roman"/>
          <w:b w:val="0"/>
          <w:i w:val="0"/>
          <w:color w:val="1A1A1A"/>
          <w:sz w:val="24"/>
        </w:rPr>
        <w:t>Au-dela des deux videos maitresses, la campagne s'est appuyee sur un ecosysteme de publications sociales destinees a entretenir l'attention entre les temps forts et a nourrir la conversation autour de la marque. Ces contenus, diffuses principalement sur Instagram et Facebook (et en relais sur TikTok), ont ete concus pour prolonger l'univers visuel des videos tout en s'adaptant aux codes natifs de chaque plateforme.</w:t>
      </w:r>
    </w:p>
    <w:p>
      <w:pPr>
        <w:spacing w:before="160" w:after="80"/>
      </w:pPr>
      <w:r>
        <w:rPr>
          <w:rFonts w:ascii="Times New Roman" w:hAnsi="Times New Roman"/>
          <w:b/>
          <w:i w:val="0"/>
          <w:color w:val="2E75B6"/>
          <w:sz w:val="25"/>
        </w:rPr>
        <w:t>6.5.1  Ligne editoriale et tonalite</w:t>
      </w:r>
    </w:p>
    <w:p>
      <w:pPr>
        <w:spacing w:after="120"/>
        <w:jc w:val="both"/>
      </w:pPr>
      <w:r>
        <w:rPr>
          <w:rFonts w:ascii="Times New Roman" w:hAnsi="Times New Roman"/>
          <w:b w:val="0"/>
          <w:i w:val="0"/>
          <w:color w:val="1A1A1A"/>
          <w:sz w:val="24"/>
        </w:rPr>
        <w:t>La ligne editoriale a ete pensee autour de trois piliers : le mystere (pendant le teasing), l'anticipation (compte a rebours) et la celebration (ouverture). La tonalite, volontairement chaleureuse, complice et accessible, s'adresse aussi bien aux parents qu'aux jeunes. Les visuels reprennent la palette de la marque, les memes codes que les videos, et integrent systematiquement la mascotte une fois celle-ci revelee, afin de renforcer la coherence et la memorisation.</w:t>
      </w:r>
    </w:p>
    <w:p>
      <w:pPr>
        <w:spacing w:before="160" w:after="40"/>
        <w:jc w:val="left"/>
      </w:pPr>
      <w:r>
        <w:rPr>
          <w:rFonts w:ascii="Times New Roman" w:hAnsi="Times New Roman"/>
          <w:b/>
          <w:i/>
          <w:color w:val="1F4E79"/>
          <w:sz w:val="20"/>
        </w:rPr>
        <w:t>Tableau 6.6 - Typologie des publications social media</w:t>
      </w:r>
    </w:p>
    <w:tbl>
      <w:tblPr>
        <w:tblStyle w:val="LightGrid-Accent1"/>
        <w:tblW w:type="auto" w:w="0"/>
        <w:jc w:val="center"/>
        <w:tblLook w:firstColumn="1" w:firstRow="1" w:lastColumn="0" w:lastRow="0" w:noHBand="0" w:noVBand="1" w:val="04A0"/>
      </w:tblPr>
      <w:tblGrid>
        <w:gridCol w:w="2280"/>
        <w:gridCol w:w="2280"/>
        <w:gridCol w:w="2280"/>
        <w:gridCol w:w="2280"/>
      </w:tblGrid>
      <w:tr>
        <w:tc>
          <w:tcPr>
            <w:tcW w:type="dxa" w:w="2381"/>
            <w:shd w:val="clear" w:fill="1F4E79"/>
          </w:tcPr>
          <w:p>
            <w:pPr>
              <w:jc w:val="center"/>
            </w:pPr>
            <w:r/>
            <w:r>
              <w:rPr>
                <w:rFonts w:ascii="Times New Roman" w:hAnsi="Times New Roman"/>
                <w:b/>
                <w:i w:val="0"/>
                <w:color w:val="FFFFFF"/>
                <w:sz w:val="21"/>
              </w:rPr>
              <w:t>Type de publication</w:t>
            </w:r>
          </w:p>
        </w:tc>
        <w:tc>
          <w:tcPr>
            <w:tcW w:type="dxa" w:w="2041"/>
            <w:shd w:val="clear" w:fill="1F4E79"/>
          </w:tcPr>
          <w:p>
            <w:pPr>
              <w:jc w:val="center"/>
            </w:pPr>
            <w:r/>
            <w:r>
              <w:rPr>
                <w:rFonts w:ascii="Times New Roman" w:hAnsi="Times New Roman"/>
                <w:b/>
                <w:i w:val="0"/>
                <w:color w:val="FFFFFF"/>
                <w:sz w:val="21"/>
              </w:rPr>
              <w:t>Objectif</w:t>
            </w:r>
          </w:p>
        </w:tc>
        <w:tc>
          <w:tcPr>
            <w:tcW w:type="dxa" w:w="2608"/>
            <w:shd w:val="clear" w:fill="1F4E79"/>
          </w:tcPr>
          <w:p>
            <w:pPr>
              <w:jc w:val="center"/>
            </w:pPr>
            <w:r/>
            <w:r>
              <w:rPr>
                <w:rFonts w:ascii="Times New Roman" w:hAnsi="Times New Roman"/>
                <w:b/>
                <w:i w:val="0"/>
                <w:color w:val="FFFFFF"/>
                <w:sz w:val="21"/>
              </w:rPr>
              <w:t>Format</w:t>
            </w:r>
          </w:p>
        </w:tc>
        <w:tc>
          <w:tcPr>
            <w:tcW w:type="dxa" w:w="1928"/>
            <w:shd w:val="clear" w:fill="1F4E79"/>
          </w:tcPr>
          <w:p>
            <w:pPr>
              <w:jc w:val="center"/>
            </w:pPr>
            <w:r/>
            <w:r>
              <w:rPr>
                <w:rFonts w:ascii="Times New Roman" w:hAnsi="Times New Roman"/>
                <w:b/>
                <w:i w:val="0"/>
                <w:color w:val="FFFFFF"/>
                <w:sz w:val="21"/>
              </w:rPr>
              <w:t>Frequence</w:t>
            </w:r>
          </w:p>
        </w:tc>
      </w:tr>
      <w:tr>
        <w:tc>
          <w:tcPr>
            <w:tcW w:type="dxa" w:w="2381"/>
          </w:tcPr>
          <w:p>
            <w:pPr>
              <w:jc w:val="left"/>
            </w:pPr>
            <w:r/>
            <w:r>
              <w:rPr>
                <w:rFonts w:ascii="Times New Roman" w:hAnsi="Times New Roman"/>
                <w:b w:val="0"/>
                <w:i w:val="0"/>
                <w:color w:val="1A1A1A"/>
                <w:sz w:val="21"/>
              </w:rPr>
              <w:t>Teaser mystere</w:t>
            </w:r>
          </w:p>
        </w:tc>
        <w:tc>
          <w:tcPr>
            <w:tcW w:type="dxa" w:w="2041"/>
          </w:tcPr>
          <w:p>
            <w:pPr>
              <w:jc w:val="center"/>
            </w:pPr>
            <w:r/>
            <w:r>
              <w:rPr>
                <w:rFonts w:ascii="Times New Roman" w:hAnsi="Times New Roman"/>
                <w:b w:val="0"/>
                <w:i w:val="0"/>
                <w:color w:val="1A1A1A"/>
                <w:sz w:val="21"/>
              </w:rPr>
              <w:t>Intriguer</w:t>
            </w:r>
          </w:p>
        </w:tc>
        <w:tc>
          <w:tcPr>
            <w:tcW w:type="dxa" w:w="2608"/>
          </w:tcPr>
          <w:p>
            <w:pPr>
              <w:jc w:val="center"/>
            </w:pPr>
            <w:r/>
            <w:r>
              <w:rPr>
                <w:rFonts w:ascii="Times New Roman" w:hAnsi="Times New Roman"/>
                <w:b w:val="0"/>
                <w:i w:val="0"/>
                <w:color w:val="1A1A1A"/>
                <w:sz w:val="21"/>
              </w:rPr>
              <w:t>Reel / video courte</w:t>
            </w:r>
          </w:p>
        </w:tc>
        <w:tc>
          <w:tcPr>
            <w:tcW w:type="dxa" w:w="1928"/>
          </w:tcPr>
          <w:p>
            <w:pPr>
              <w:jc w:val="center"/>
            </w:pPr>
            <w:r/>
            <w:r>
              <w:rPr>
                <w:rFonts w:ascii="Times New Roman" w:hAnsi="Times New Roman"/>
                <w:b w:val="0"/>
                <w:i w:val="0"/>
                <w:color w:val="1A1A1A"/>
                <w:sz w:val="21"/>
              </w:rPr>
              <w:t>2 / semaine</w:t>
            </w:r>
          </w:p>
        </w:tc>
      </w:tr>
      <w:tr>
        <w:tc>
          <w:tcPr>
            <w:tcW w:type="dxa" w:w="2381"/>
          </w:tcPr>
          <w:p>
            <w:pPr>
              <w:jc w:val="left"/>
            </w:pPr>
            <w:r/>
            <w:r>
              <w:rPr>
                <w:rFonts w:ascii="Times New Roman" w:hAnsi="Times New Roman"/>
                <w:b w:val="0"/>
                <w:i w:val="0"/>
                <w:color w:val="1A1A1A"/>
                <w:sz w:val="21"/>
              </w:rPr>
              <w:t>Compte a rebours</w:t>
            </w:r>
          </w:p>
        </w:tc>
        <w:tc>
          <w:tcPr>
            <w:tcW w:type="dxa" w:w="2041"/>
          </w:tcPr>
          <w:p>
            <w:pPr>
              <w:jc w:val="center"/>
            </w:pPr>
            <w:r/>
            <w:r>
              <w:rPr>
                <w:rFonts w:ascii="Times New Roman" w:hAnsi="Times New Roman"/>
                <w:b w:val="0"/>
                <w:i w:val="0"/>
                <w:color w:val="1A1A1A"/>
                <w:sz w:val="21"/>
              </w:rPr>
              <w:t>Rythmer l'attente</w:t>
            </w:r>
          </w:p>
        </w:tc>
        <w:tc>
          <w:tcPr>
            <w:tcW w:type="dxa" w:w="2608"/>
          </w:tcPr>
          <w:p>
            <w:pPr>
              <w:jc w:val="center"/>
            </w:pPr>
            <w:r/>
            <w:r>
              <w:rPr>
                <w:rFonts w:ascii="Times New Roman" w:hAnsi="Times New Roman"/>
                <w:b w:val="0"/>
                <w:i w:val="0"/>
                <w:color w:val="1A1A1A"/>
                <w:sz w:val="21"/>
              </w:rPr>
              <w:t>Story + post (J-15, J-7, J-3, J-1)</w:t>
            </w:r>
          </w:p>
        </w:tc>
        <w:tc>
          <w:tcPr>
            <w:tcW w:type="dxa" w:w="1928"/>
          </w:tcPr>
          <w:p>
            <w:pPr>
              <w:jc w:val="center"/>
            </w:pPr>
            <w:r/>
            <w:r>
              <w:rPr>
                <w:rFonts w:ascii="Times New Roman" w:hAnsi="Times New Roman"/>
                <w:b w:val="0"/>
                <w:i w:val="0"/>
                <w:color w:val="1A1A1A"/>
                <w:sz w:val="21"/>
              </w:rPr>
              <w:t>Jalons</w:t>
            </w:r>
          </w:p>
        </w:tc>
      </w:tr>
      <w:tr>
        <w:tc>
          <w:tcPr>
            <w:tcW w:type="dxa" w:w="2381"/>
          </w:tcPr>
          <w:p>
            <w:pPr>
              <w:jc w:val="left"/>
            </w:pPr>
            <w:r/>
            <w:r>
              <w:rPr>
                <w:rFonts w:ascii="Times New Roman" w:hAnsi="Times New Roman"/>
                <w:b w:val="0"/>
                <w:i w:val="0"/>
                <w:color w:val="1A1A1A"/>
                <w:sz w:val="21"/>
              </w:rPr>
              <w:t>Carrousel d'indices</w:t>
            </w:r>
          </w:p>
        </w:tc>
        <w:tc>
          <w:tcPr>
            <w:tcW w:type="dxa" w:w="2041"/>
          </w:tcPr>
          <w:p>
            <w:pPr>
              <w:jc w:val="center"/>
            </w:pPr>
            <w:r/>
            <w:r>
              <w:rPr>
                <w:rFonts w:ascii="Times New Roman" w:hAnsi="Times New Roman"/>
                <w:b w:val="0"/>
                <w:i w:val="0"/>
                <w:color w:val="1A1A1A"/>
                <w:sz w:val="21"/>
              </w:rPr>
              <w:t>Faire deviner</w:t>
            </w:r>
          </w:p>
        </w:tc>
        <w:tc>
          <w:tcPr>
            <w:tcW w:type="dxa" w:w="2608"/>
          </w:tcPr>
          <w:p>
            <w:pPr>
              <w:jc w:val="center"/>
            </w:pPr>
            <w:r/>
            <w:r>
              <w:rPr>
                <w:rFonts w:ascii="Times New Roman" w:hAnsi="Times New Roman"/>
                <w:b w:val="0"/>
                <w:i w:val="0"/>
                <w:color w:val="1A1A1A"/>
                <w:sz w:val="21"/>
              </w:rPr>
              <w:t>Carrousel image</w:t>
            </w:r>
          </w:p>
        </w:tc>
        <w:tc>
          <w:tcPr>
            <w:tcW w:type="dxa" w:w="1928"/>
          </w:tcPr>
          <w:p>
            <w:pPr>
              <w:jc w:val="center"/>
            </w:pPr>
            <w:r/>
            <w:r>
              <w:rPr>
                <w:rFonts w:ascii="Times New Roman" w:hAnsi="Times New Roman"/>
                <w:b w:val="0"/>
                <w:i w:val="0"/>
                <w:color w:val="1A1A1A"/>
                <w:sz w:val="21"/>
              </w:rPr>
              <w:t>1 / semaine</w:t>
            </w:r>
          </w:p>
        </w:tc>
      </w:tr>
      <w:tr>
        <w:tc>
          <w:tcPr>
            <w:tcW w:type="dxa" w:w="2381"/>
          </w:tcPr>
          <w:p>
            <w:pPr>
              <w:jc w:val="left"/>
            </w:pPr>
            <w:r/>
            <w:r>
              <w:rPr>
                <w:rFonts w:ascii="Times New Roman" w:hAnsi="Times New Roman"/>
                <w:b w:val="0"/>
                <w:i w:val="0"/>
                <w:color w:val="1A1A1A"/>
                <w:sz w:val="21"/>
              </w:rPr>
              <w:t>Sondage / question</w:t>
            </w:r>
          </w:p>
        </w:tc>
        <w:tc>
          <w:tcPr>
            <w:tcW w:type="dxa" w:w="2041"/>
          </w:tcPr>
          <w:p>
            <w:pPr>
              <w:jc w:val="center"/>
            </w:pPr>
            <w:r/>
            <w:r>
              <w:rPr>
                <w:rFonts w:ascii="Times New Roman" w:hAnsi="Times New Roman"/>
                <w:b w:val="0"/>
                <w:i w:val="0"/>
                <w:color w:val="1A1A1A"/>
                <w:sz w:val="21"/>
              </w:rPr>
              <w:t>Engager la communaute</w:t>
            </w:r>
          </w:p>
        </w:tc>
        <w:tc>
          <w:tcPr>
            <w:tcW w:type="dxa" w:w="2608"/>
          </w:tcPr>
          <w:p>
            <w:pPr>
              <w:jc w:val="center"/>
            </w:pPr>
            <w:r/>
            <w:r>
              <w:rPr>
                <w:rFonts w:ascii="Times New Roman" w:hAnsi="Times New Roman"/>
                <w:b w:val="0"/>
                <w:i w:val="0"/>
                <w:color w:val="1A1A1A"/>
                <w:sz w:val="21"/>
              </w:rPr>
              <w:t>Story interactive</w:t>
            </w:r>
          </w:p>
        </w:tc>
        <w:tc>
          <w:tcPr>
            <w:tcW w:type="dxa" w:w="1928"/>
          </w:tcPr>
          <w:p>
            <w:pPr>
              <w:jc w:val="center"/>
            </w:pPr>
            <w:r/>
            <w:r>
              <w:rPr>
                <w:rFonts w:ascii="Times New Roman" w:hAnsi="Times New Roman"/>
                <w:b w:val="0"/>
                <w:i w:val="0"/>
                <w:color w:val="1A1A1A"/>
                <w:sz w:val="21"/>
              </w:rPr>
              <w:t>2 / semaine</w:t>
            </w:r>
          </w:p>
        </w:tc>
      </w:tr>
      <w:tr>
        <w:tc>
          <w:tcPr>
            <w:tcW w:type="dxa" w:w="2381"/>
          </w:tcPr>
          <w:p>
            <w:pPr>
              <w:jc w:val="left"/>
            </w:pPr>
            <w:r/>
            <w:r>
              <w:rPr>
                <w:rFonts w:ascii="Times New Roman" w:hAnsi="Times New Roman"/>
                <w:b w:val="0"/>
                <w:i w:val="0"/>
                <w:color w:val="1A1A1A"/>
                <w:sz w:val="21"/>
              </w:rPr>
              <w:t>Coulisses (teasing IA)</w:t>
            </w:r>
          </w:p>
        </w:tc>
        <w:tc>
          <w:tcPr>
            <w:tcW w:type="dxa" w:w="2041"/>
          </w:tcPr>
          <w:p>
            <w:pPr>
              <w:jc w:val="center"/>
            </w:pPr>
            <w:r/>
            <w:r>
              <w:rPr>
                <w:rFonts w:ascii="Times New Roman" w:hAnsi="Times New Roman"/>
                <w:b w:val="0"/>
                <w:i w:val="0"/>
                <w:color w:val="1A1A1A"/>
                <w:sz w:val="21"/>
              </w:rPr>
              <w:t>Humaniser</w:t>
            </w:r>
          </w:p>
        </w:tc>
        <w:tc>
          <w:tcPr>
            <w:tcW w:type="dxa" w:w="2608"/>
          </w:tcPr>
          <w:p>
            <w:pPr>
              <w:jc w:val="center"/>
            </w:pPr>
            <w:r/>
            <w:r>
              <w:rPr>
                <w:rFonts w:ascii="Times New Roman" w:hAnsi="Times New Roman"/>
                <w:b w:val="0"/>
                <w:i w:val="0"/>
                <w:color w:val="1A1A1A"/>
                <w:sz w:val="21"/>
              </w:rPr>
              <w:t>Reel coulisses</w:t>
            </w:r>
          </w:p>
        </w:tc>
        <w:tc>
          <w:tcPr>
            <w:tcW w:type="dxa" w:w="1928"/>
          </w:tcPr>
          <w:p>
            <w:pPr>
              <w:jc w:val="center"/>
            </w:pPr>
            <w:r/>
            <w:r>
              <w:rPr>
                <w:rFonts w:ascii="Times New Roman" w:hAnsi="Times New Roman"/>
                <w:b w:val="0"/>
                <w:i w:val="0"/>
                <w:color w:val="1A1A1A"/>
                <w:sz w:val="21"/>
              </w:rPr>
              <w:t>1 / semaine</w:t>
            </w:r>
          </w:p>
        </w:tc>
      </w:tr>
      <w:tr>
        <w:tc>
          <w:tcPr>
            <w:tcW w:type="dxa" w:w="2381"/>
          </w:tcPr>
          <w:p>
            <w:pPr>
              <w:jc w:val="left"/>
            </w:pPr>
            <w:r/>
            <w:r>
              <w:rPr>
                <w:rFonts w:ascii="Times New Roman" w:hAnsi="Times New Roman"/>
                <w:b w:val="0"/>
                <w:i w:val="0"/>
                <w:color w:val="1A1A1A"/>
                <w:sz w:val="21"/>
              </w:rPr>
              <w:t>Annonce d'ouverture</w:t>
            </w:r>
          </w:p>
        </w:tc>
        <w:tc>
          <w:tcPr>
            <w:tcW w:type="dxa" w:w="2041"/>
          </w:tcPr>
          <w:p>
            <w:pPr>
              <w:jc w:val="center"/>
            </w:pPr>
            <w:r/>
            <w:r>
              <w:rPr>
                <w:rFonts w:ascii="Times New Roman" w:hAnsi="Times New Roman"/>
                <w:b w:val="0"/>
                <w:i w:val="0"/>
                <w:color w:val="1A1A1A"/>
                <w:sz w:val="21"/>
              </w:rPr>
              <w:t>Convertir</w:t>
            </w:r>
          </w:p>
        </w:tc>
        <w:tc>
          <w:tcPr>
            <w:tcW w:type="dxa" w:w="2608"/>
          </w:tcPr>
          <w:p>
            <w:pPr>
              <w:jc w:val="center"/>
            </w:pPr>
            <w:r/>
            <w:r>
              <w:rPr>
                <w:rFonts w:ascii="Times New Roman" w:hAnsi="Times New Roman"/>
                <w:b w:val="0"/>
                <w:i w:val="0"/>
                <w:color w:val="1A1A1A"/>
                <w:sz w:val="21"/>
              </w:rPr>
              <w:t>Reel + post (Video 2)</w:t>
            </w:r>
          </w:p>
        </w:tc>
        <w:tc>
          <w:tcPr>
            <w:tcW w:type="dxa" w:w="1928"/>
          </w:tcPr>
          <w:p>
            <w:pPr>
              <w:jc w:val="center"/>
            </w:pPr>
            <w:r/>
            <w:r>
              <w:rPr>
                <w:rFonts w:ascii="Times New Roman" w:hAnsi="Times New Roman"/>
                <w:b w:val="0"/>
                <w:i w:val="0"/>
                <w:color w:val="1A1A1A"/>
                <w:sz w:val="21"/>
              </w:rPr>
              <w:t>Jour J</w:t>
            </w:r>
          </w:p>
        </w:tc>
      </w:tr>
      <w:tr>
        <w:tc>
          <w:tcPr>
            <w:tcW w:type="dxa" w:w="2381"/>
          </w:tcPr>
          <w:p>
            <w:pPr>
              <w:jc w:val="left"/>
            </w:pPr>
            <w:r/>
            <w:r>
              <w:rPr>
                <w:rFonts w:ascii="Times New Roman" w:hAnsi="Times New Roman"/>
                <w:b w:val="0"/>
                <w:i w:val="0"/>
                <w:color w:val="1A1A1A"/>
                <w:sz w:val="21"/>
              </w:rPr>
              <w:t>UGC / reposts</w:t>
            </w:r>
          </w:p>
        </w:tc>
        <w:tc>
          <w:tcPr>
            <w:tcW w:type="dxa" w:w="2041"/>
          </w:tcPr>
          <w:p>
            <w:pPr>
              <w:jc w:val="center"/>
            </w:pPr>
            <w:r/>
            <w:r>
              <w:rPr>
                <w:rFonts w:ascii="Times New Roman" w:hAnsi="Times New Roman"/>
                <w:b w:val="0"/>
                <w:i w:val="0"/>
                <w:color w:val="1A1A1A"/>
                <w:sz w:val="21"/>
              </w:rPr>
              <w:t>Preuve sociale</w:t>
            </w:r>
          </w:p>
        </w:tc>
        <w:tc>
          <w:tcPr>
            <w:tcW w:type="dxa" w:w="2608"/>
          </w:tcPr>
          <w:p>
            <w:pPr>
              <w:jc w:val="center"/>
            </w:pPr>
            <w:r/>
            <w:r>
              <w:rPr>
                <w:rFonts w:ascii="Times New Roman" w:hAnsi="Times New Roman"/>
                <w:b w:val="0"/>
                <w:i w:val="0"/>
                <w:color w:val="1A1A1A"/>
                <w:sz w:val="21"/>
              </w:rPr>
              <w:t>Story repost</w:t>
            </w:r>
          </w:p>
        </w:tc>
        <w:tc>
          <w:tcPr>
            <w:tcW w:type="dxa" w:w="1928"/>
          </w:tcPr>
          <w:p>
            <w:pPr>
              <w:jc w:val="center"/>
            </w:pPr>
            <w:r/>
            <w:r>
              <w:rPr>
                <w:rFonts w:ascii="Times New Roman" w:hAnsi="Times New Roman"/>
                <w:b w:val="0"/>
                <w:i w:val="0"/>
                <w:color w:val="1A1A1A"/>
                <w:sz w:val="21"/>
              </w:rPr>
              <w:t>Post-ouverture</w:t>
            </w:r>
          </w:p>
        </w:tc>
      </w:tr>
    </w:tbl>
    <w:p>
      <w:pPr>
        <w:spacing w:after="80"/>
      </w:pPr>
    </w:p>
    <w:p>
      <w:pPr>
        <w:spacing w:before="160" w:after="80"/>
      </w:pPr>
      <w:r>
        <w:rPr>
          <w:rFonts w:ascii="Times New Roman" w:hAnsi="Times New Roman"/>
          <w:b/>
          <w:i w:val="0"/>
          <w:color w:val="2E75B6"/>
          <w:sz w:val="25"/>
        </w:rPr>
        <w:t>6.5.2  Exemples d'accroches utilisees</w:t>
      </w:r>
    </w:p>
    <w:p>
      <w:pPr>
        <w:spacing w:after="120"/>
        <w:jc w:val="both"/>
      </w:pPr>
      <w:r>
        <w:rPr>
          <w:rFonts w:ascii="Times New Roman" w:hAnsi="Times New Roman"/>
          <w:b w:val="0"/>
          <w:i w:val="0"/>
          <w:color w:val="1A1A1A"/>
          <w:sz w:val="24"/>
        </w:rPr>
        <w:t>Quelques exemples d'accroches (legendes) deployees au fil de la campagne :</w:t>
      </w:r>
    </w:p>
    <w:p>
      <w:pPr>
        <w:pStyle w:val="ListBullet"/>
        <w:spacing w:after="60"/>
        <w:jc w:val="both"/>
      </w:pPr>
      <w:r>
        <w:rPr>
          <w:rFonts w:ascii="Times New Roman" w:hAnsi="Times New Roman"/>
          <w:b/>
          <w:i w:val="0"/>
          <w:color w:val="1A1A1A"/>
          <w:sz w:val="23"/>
        </w:rPr>
        <w:t>Teasing :</w:t>
      </w:r>
      <w:r>
        <w:rPr>
          <w:rFonts w:ascii="Times New Roman" w:hAnsi="Times New Roman"/>
          <w:b w:val="0"/>
          <w:i w:val="0"/>
          <w:color w:val="1A1A1A"/>
          <w:sz w:val="23"/>
        </w:rPr>
        <w:t xml:space="preserve"> &lt;&lt; Quelque chose d'enorme arrive a Soualem... Sauras-tu deviner ? &gt;&gt;</w:t>
      </w:r>
    </w:p>
    <w:p>
      <w:pPr>
        <w:pStyle w:val="ListBullet"/>
        <w:spacing w:after="60"/>
        <w:jc w:val="both"/>
      </w:pPr>
      <w:r>
        <w:rPr>
          <w:rFonts w:ascii="Times New Roman" w:hAnsi="Times New Roman"/>
          <w:b/>
          <w:i w:val="0"/>
          <w:color w:val="1A1A1A"/>
          <w:sz w:val="23"/>
        </w:rPr>
        <w:t>Compte a rebours :</w:t>
      </w:r>
      <w:r>
        <w:rPr>
          <w:rFonts w:ascii="Times New Roman" w:hAnsi="Times New Roman"/>
          <w:b w:val="0"/>
          <w:i w:val="0"/>
          <w:color w:val="1A1A1A"/>
          <w:sz w:val="23"/>
        </w:rPr>
        <w:t xml:space="preserve"> &lt;&lt; Plus que 7 jours avant que votre week-end ne change pour toujours. &gt;&gt;</w:t>
      </w:r>
    </w:p>
    <w:p>
      <w:pPr>
        <w:pStyle w:val="ListBullet"/>
        <w:spacing w:after="60"/>
        <w:jc w:val="both"/>
      </w:pPr>
      <w:r>
        <w:rPr>
          <w:rFonts w:ascii="Times New Roman" w:hAnsi="Times New Roman"/>
          <w:b/>
          <w:i w:val="0"/>
          <w:color w:val="1A1A1A"/>
          <w:sz w:val="23"/>
        </w:rPr>
        <w:t>Interaction :</w:t>
      </w:r>
      <w:r>
        <w:rPr>
          <w:rFonts w:ascii="Times New Roman" w:hAnsi="Times New Roman"/>
          <w:b w:val="0"/>
          <w:i w:val="0"/>
          <w:color w:val="1A1A1A"/>
          <w:sz w:val="23"/>
        </w:rPr>
        <w:t xml:space="preserve"> &lt;&lt; Avec qui viendrez-vous decouvrir Varcadia ? Identifiez-les en commentaire ! &gt;&gt;</w:t>
      </w:r>
    </w:p>
    <w:p>
      <w:pPr>
        <w:pStyle w:val="ListBullet"/>
        <w:spacing w:after="60"/>
        <w:jc w:val="both"/>
      </w:pPr>
      <w:r>
        <w:rPr>
          <w:rFonts w:ascii="Times New Roman" w:hAnsi="Times New Roman"/>
          <w:b/>
          <w:i w:val="0"/>
          <w:color w:val="1A1A1A"/>
          <w:sz w:val="23"/>
        </w:rPr>
        <w:t>Ouverture :</w:t>
      </w:r>
      <w:r>
        <w:rPr>
          <w:rFonts w:ascii="Times New Roman" w:hAnsi="Times New Roman"/>
          <w:b w:val="0"/>
          <w:i w:val="0"/>
          <w:color w:val="1A1A1A"/>
          <w:sz w:val="23"/>
        </w:rPr>
        <w:t xml:space="preserve"> &lt;&lt; Ca y est, Varcadia ouvre ses portes ! Rendez-vous des aujourd'hui a Soualem. &gt;&gt;</w:t>
      </w:r>
    </w:p>
    <w:p>
      <w:pPr>
        <w:spacing w:after="120"/>
        <w:jc w:val="both"/>
      </w:pPr>
      <w:r>
        <w:rPr>
          <w:rFonts w:ascii="Times New Roman" w:hAnsi="Times New Roman"/>
          <w:b w:val="0"/>
          <w:i w:val="0"/>
          <w:color w:val="1A1A1A"/>
          <w:sz w:val="24"/>
        </w:rPr>
        <w:t>Les mots-cles et hashtags ont ete standardises pour faciliter le suivi et l'agregation des contenus : #Varcadia, #Soualem, #BientotChezVous, puis #VarcadiaEstOuvert au moment du lancement. Cette discipline editoriale a facilite la collecte des contenus generes par les visiteurs (UGC) lors de l'ouverture.</w:t>
      </w:r>
    </w:p>
    <w:p>
      <w:pPr>
        <w:spacing w:before="160" w:after="80"/>
      </w:pPr>
      <w:r>
        <w:rPr>
          <w:rFonts w:ascii="Times New Roman" w:hAnsi="Times New Roman"/>
          <w:b/>
          <w:i w:val="0"/>
          <w:color w:val="2E75B6"/>
          <w:sz w:val="25"/>
        </w:rPr>
        <w:t>6.5.3  Performance des contenus sociaux</w:t>
      </w:r>
    </w:p>
    <w:p>
      <w:pPr>
        <w:spacing w:after="120"/>
        <w:jc w:val="both"/>
      </w:pPr>
      <w:r>
        <w:rPr>
          <w:rFonts w:ascii="Times New Roman" w:hAnsi="Times New Roman"/>
          <w:b w:val="0"/>
          <w:i w:val="0"/>
          <w:color w:val="1A1A1A"/>
          <w:sz w:val="24"/>
        </w:rPr>
        <w:t>Les publications sociales ont genere un volume d'interactions important, avec une montee en puissance nette a l'approche de l'ouverture. Les formats Reels, en particulier, ont surperforme, confirmant la pertinence du choix de la video courte verticale comme format prioritaire.</w:t>
      </w:r>
    </w:p>
    <w:p>
      <w:pPr>
        <w:spacing w:before="160" w:after="40"/>
        <w:jc w:val="left"/>
      </w:pPr>
      <w:r>
        <w:rPr>
          <w:rFonts w:ascii="Times New Roman" w:hAnsi="Times New Roman"/>
          <w:b/>
          <w:i/>
          <w:color w:val="1F4E79"/>
          <w:sz w:val="20"/>
        </w:rPr>
        <w:t>Tableau 6.7 - Synthese des performances social media (teasing)</w:t>
      </w:r>
    </w:p>
    <w:tbl>
      <w:tblPr>
        <w:tblStyle w:val="LightGrid-Accent1"/>
        <w:tblW w:type="auto" w:w="0"/>
        <w:jc w:val="center"/>
        <w:tblLook w:firstColumn="1" w:firstRow="1" w:lastColumn="0" w:lastRow="0" w:noHBand="0" w:noVBand="1" w:val="04A0"/>
      </w:tblPr>
      <w:tblGrid>
        <w:gridCol w:w="4561"/>
        <w:gridCol w:w="4561"/>
      </w:tblGrid>
      <w:tr>
        <w:tc>
          <w:tcPr>
            <w:tcW w:type="dxa" w:w="5102"/>
            <w:shd w:val="clear" w:fill="1F4E79"/>
          </w:tcPr>
          <w:p>
            <w:pPr>
              <w:jc w:val="center"/>
            </w:pPr>
            <w:r/>
            <w:r>
              <w:rPr>
                <w:rFonts w:ascii="Times New Roman" w:hAnsi="Times New Roman"/>
                <w:b/>
                <w:i w:val="0"/>
                <w:color w:val="FFFFFF"/>
                <w:sz w:val="21"/>
              </w:rPr>
              <w:t>Indicateur (phase de teasing)</w:t>
            </w:r>
          </w:p>
        </w:tc>
        <w:tc>
          <w:tcPr>
            <w:tcW w:type="dxa" w:w="3855"/>
            <w:shd w:val="clear" w:fill="1F4E79"/>
          </w:tcPr>
          <w:p>
            <w:pPr>
              <w:jc w:val="center"/>
            </w:pPr>
            <w:r/>
            <w:r>
              <w:rPr>
                <w:rFonts w:ascii="Times New Roman" w:hAnsi="Times New Roman"/>
                <w:b/>
                <w:i w:val="0"/>
                <w:color w:val="FFFFFF"/>
                <w:sz w:val="21"/>
              </w:rPr>
              <w:t>Valeur</w:t>
            </w:r>
          </w:p>
        </w:tc>
      </w:tr>
      <w:tr>
        <w:tc>
          <w:tcPr>
            <w:tcW w:type="dxa" w:w="5102"/>
          </w:tcPr>
          <w:p>
            <w:pPr>
              <w:jc w:val="left"/>
            </w:pPr>
            <w:r/>
            <w:r>
              <w:rPr>
                <w:rFonts w:ascii="Times New Roman" w:hAnsi="Times New Roman"/>
                <w:b w:val="0"/>
                <w:i w:val="0"/>
                <w:color w:val="1A1A1A"/>
                <w:sz w:val="21"/>
              </w:rPr>
              <w:t>Publications diffusees</w:t>
            </w:r>
          </w:p>
        </w:tc>
        <w:tc>
          <w:tcPr>
            <w:tcW w:type="dxa" w:w="3855"/>
          </w:tcPr>
          <w:p>
            <w:pPr>
              <w:jc w:val="center"/>
            </w:pPr>
            <w:r/>
            <w:r>
              <w:rPr>
                <w:rFonts w:ascii="Times New Roman" w:hAnsi="Times New Roman"/>
                <w:b w:val="0"/>
                <w:i w:val="0"/>
                <w:color w:val="1A1A1A"/>
                <w:sz w:val="21"/>
              </w:rPr>
              <w:t>~ 32 posts + 60 stories</w:t>
            </w:r>
          </w:p>
        </w:tc>
      </w:tr>
      <w:tr>
        <w:tc>
          <w:tcPr>
            <w:tcW w:type="dxa" w:w="5102"/>
          </w:tcPr>
          <w:p>
            <w:pPr>
              <w:jc w:val="left"/>
            </w:pPr>
            <w:r/>
            <w:r>
              <w:rPr>
                <w:rFonts w:ascii="Times New Roman" w:hAnsi="Times New Roman"/>
                <w:b w:val="0"/>
                <w:i w:val="0"/>
                <w:color w:val="1A1A1A"/>
                <w:sz w:val="21"/>
              </w:rPr>
              <w:t>Comptes atteints (Meta)</w:t>
            </w:r>
          </w:p>
        </w:tc>
        <w:tc>
          <w:tcPr>
            <w:tcW w:type="dxa" w:w="3855"/>
          </w:tcPr>
          <w:p>
            <w:pPr>
              <w:jc w:val="center"/>
            </w:pPr>
            <w:r/>
            <w:r>
              <w:rPr>
                <w:rFonts w:ascii="Times New Roman" w:hAnsi="Times New Roman"/>
                <w:b w:val="0"/>
                <w:i w:val="0"/>
                <w:color w:val="1A1A1A"/>
                <w:sz w:val="21"/>
              </w:rPr>
              <w:t>~ 480 000</w:t>
            </w:r>
          </w:p>
        </w:tc>
      </w:tr>
      <w:tr>
        <w:tc>
          <w:tcPr>
            <w:tcW w:type="dxa" w:w="5102"/>
          </w:tcPr>
          <w:p>
            <w:pPr>
              <w:jc w:val="left"/>
            </w:pPr>
            <w:r/>
            <w:r>
              <w:rPr>
                <w:rFonts w:ascii="Times New Roman" w:hAnsi="Times New Roman"/>
                <w:b w:val="0"/>
                <w:i w:val="0"/>
                <w:color w:val="1A1A1A"/>
                <w:sz w:val="21"/>
              </w:rPr>
              <w:t>Interactions totales</w:t>
            </w:r>
          </w:p>
        </w:tc>
        <w:tc>
          <w:tcPr>
            <w:tcW w:type="dxa" w:w="3855"/>
          </w:tcPr>
          <w:p>
            <w:pPr>
              <w:jc w:val="center"/>
            </w:pPr>
            <w:r/>
            <w:r>
              <w:rPr>
                <w:rFonts w:ascii="Times New Roman" w:hAnsi="Times New Roman"/>
                <w:b w:val="0"/>
                <w:i w:val="0"/>
                <w:color w:val="1A1A1A"/>
                <w:sz w:val="21"/>
              </w:rPr>
              <w:t>~ 118 000</w:t>
            </w:r>
          </w:p>
        </w:tc>
      </w:tr>
      <w:tr>
        <w:tc>
          <w:tcPr>
            <w:tcW w:type="dxa" w:w="5102"/>
          </w:tcPr>
          <w:p>
            <w:pPr>
              <w:jc w:val="left"/>
            </w:pPr>
            <w:r/>
            <w:r>
              <w:rPr>
                <w:rFonts w:ascii="Times New Roman" w:hAnsi="Times New Roman"/>
                <w:b w:val="0"/>
                <w:i w:val="0"/>
                <w:color w:val="1A1A1A"/>
                <w:sz w:val="21"/>
              </w:rPr>
              <w:t>Taux d'engagement moyen (Reels)</w:t>
            </w:r>
          </w:p>
        </w:tc>
        <w:tc>
          <w:tcPr>
            <w:tcW w:type="dxa" w:w="3855"/>
          </w:tcPr>
          <w:p>
            <w:pPr>
              <w:jc w:val="center"/>
            </w:pPr>
            <w:r/>
            <w:r>
              <w:rPr>
                <w:rFonts w:ascii="Times New Roman" w:hAnsi="Times New Roman"/>
                <w:b w:val="0"/>
                <w:i w:val="0"/>
                <w:color w:val="1A1A1A"/>
                <w:sz w:val="21"/>
              </w:rPr>
              <w:t>9,2 %</w:t>
            </w:r>
          </w:p>
        </w:tc>
      </w:tr>
      <w:tr>
        <w:tc>
          <w:tcPr>
            <w:tcW w:type="dxa" w:w="5102"/>
          </w:tcPr>
          <w:p>
            <w:pPr>
              <w:jc w:val="left"/>
            </w:pPr>
            <w:r/>
            <w:r>
              <w:rPr>
                <w:rFonts w:ascii="Times New Roman" w:hAnsi="Times New Roman"/>
                <w:b w:val="0"/>
                <w:i w:val="0"/>
                <w:color w:val="1A1A1A"/>
                <w:sz w:val="21"/>
              </w:rPr>
              <w:t>Nouveaux abonnes (mois de teasing)</w:t>
            </w:r>
          </w:p>
        </w:tc>
        <w:tc>
          <w:tcPr>
            <w:tcW w:type="dxa" w:w="3855"/>
          </w:tcPr>
          <w:p>
            <w:pPr>
              <w:jc w:val="center"/>
            </w:pPr>
            <w:r/>
            <w:r>
              <w:rPr>
                <w:rFonts w:ascii="Times New Roman" w:hAnsi="Times New Roman"/>
                <w:b w:val="0"/>
                <w:i w:val="0"/>
                <w:color w:val="1A1A1A"/>
                <w:sz w:val="21"/>
              </w:rPr>
              <w:t>~ 14 500</w:t>
            </w:r>
          </w:p>
        </w:tc>
      </w:tr>
      <w:tr>
        <w:tc>
          <w:tcPr>
            <w:tcW w:type="dxa" w:w="5102"/>
          </w:tcPr>
          <w:p>
            <w:pPr>
              <w:jc w:val="left"/>
            </w:pPr>
            <w:r/>
            <w:r>
              <w:rPr>
                <w:rFonts w:ascii="Times New Roman" w:hAnsi="Times New Roman"/>
                <w:b w:val="0"/>
                <w:i w:val="0"/>
                <w:color w:val="1A1A1A"/>
                <w:sz w:val="21"/>
              </w:rPr>
              <w:t>Partages et mentions</w:t>
            </w:r>
          </w:p>
        </w:tc>
        <w:tc>
          <w:tcPr>
            <w:tcW w:type="dxa" w:w="3855"/>
          </w:tcPr>
          <w:p>
            <w:pPr>
              <w:jc w:val="center"/>
            </w:pPr>
            <w:r/>
            <w:r>
              <w:rPr>
                <w:rFonts w:ascii="Times New Roman" w:hAnsi="Times New Roman"/>
                <w:b w:val="0"/>
                <w:i w:val="0"/>
                <w:color w:val="1A1A1A"/>
                <w:sz w:val="21"/>
              </w:rPr>
              <w:t>Volume eleve (amplification organique)</w:t>
            </w:r>
          </w:p>
        </w:tc>
      </w:tr>
    </w:tbl>
    <w:p>
      <w:pPr>
        <w:spacing w:after="80"/>
      </w:pPr>
    </w:p>
    <w:p>
      <w:pPr>
        <w:spacing w:before="240" w:after="120"/>
      </w:pPr>
      <w:r>
        <w:rPr>
          <w:rFonts w:ascii="Times New Roman" w:hAnsi="Times New Roman"/>
          <w:b/>
          <w:i w:val="0"/>
          <w:color w:val="1F4E79"/>
          <w:sz w:val="28"/>
        </w:rPr>
        <w:t>6.6  Strategie de diffusion multicanale et resultats reels</w:t>
      </w:r>
    </w:p>
    <w:p>
      <w:pPr>
        <w:spacing w:before="160" w:after="80"/>
      </w:pPr>
      <w:r>
        <w:rPr>
          <w:rFonts w:ascii="Times New Roman" w:hAnsi="Times New Roman"/>
          <w:b/>
          <w:i w:val="0"/>
          <w:color w:val="2E75B6"/>
          <w:sz w:val="25"/>
        </w:rPr>
        <w:t>6.6.1  Le dispositif de diffusion</w:t>
      </w:r>
    </w:p>
    <w:p>
      <w:pPr>
        <w:spacing w:after="120"/>
        <w:jc w:val="both"/>
      </w:pPr>
      <w:r>
        <w:rPr>
          <w:rFonts w:ascii="Times New Roman" w:hAnsi="Times New Roman"/>
          <w:b w:val="0"/>
          <w:i w:val="0"/>
          <w:color w:val="1A1A1A"/>
          <w:sz w:val="24"/>
        </w:rPr>
        <w:t>La campagne a ete diffusee sur trois canaux complementaires, choisis en fonction de leur capacite a atteindre la cible definie et de leur pertinence pour ce type de contenu.</w:t>
      </w:r>
    </w:p>
    <w:p>
      <w:pPr>
        <w:spacing w:after="120"/>
        <w:jc w:val="both"/>
      </w:pPr>
      <w:r>
        <w:rPr>
          <w:rFonts w:ascii="Times New Roman" w:hAnsi="Times New Roman"/>
          <w:b w:val="0"/>
          <w:i w:val="0"/>
          <w:color w:val="1A1A1A"/>
          <w:sz w:val="24"/>
        </w:rPr>
        <w:t>YouTube Ads a constitue le canal principal pour la diffusion du teaser video. Le ciblage a ete configure pour atteindre les utilisateurs de la region de Casablanca-Settat, ages de 15 a 45 ans, avec un interet declare pour les loisirs, les activites familiales et les sorties. Le format bumper de 6 secondes a ete utilise en phase de notoriete, suivi du format TrueView in-stream pour les utilisateurs les plus engages.</w:t>
      </w:r>
    </w:p>
    <w:p>
      <w:pPr>
        <w:spacing w:after="120"/>
        <w:jc w:val="both"/>
      </w:pPr>
      <w:r>
        <w:rPr>
          <w:rFonts w:ascii="Times New Roman" w:hAnsi="Times New Roman"/>
          <w:b w:val="0"/>
          <w:i w:val="0"/>
          <w:color w:val="1A1A1A"/>
          <w:sz w:val="24"/>
        </w:rPr>
        <w:t>Meta Ads, sur Facebook et Instagram, a assure la dimension sociale et communautaire de la campagne. Les Stories et les Reels ont ete privilegies pour leur format natif et leur fort taux d'engagement sur mobile. Le systeme d'audiences similaires de Meta a permis d'elargir progressivement la couverture en ciblant des profils proches de ceux ayant deja interagi avec les premiers contenus diffuses.</w:t>
      </w:r>
    </w:p>
    <w:p>
      <w:pPr>
        <w:spacing w:after="120"/>
        <w:jc w:val="both"/>
      </w:pPr>
      <w:r>
        <w:rPr>
          <w:rFonts w:ascii="Times New Roman" w:hAnsi="Times New Roman"/>
          <w:b w:val="0"/>
          <w:i w:val="0"/>
          <w:color w:val="1A1A1A"/>
          <w:sz w:val="24"/>
        </w:rPr>
        <w:t>L'affichage urbain, enfin, a assure une presence physique dans la ville de Soualem et ses abords. Des panneaux grand format placardes aux points de passage strategiques ont renforce la visibilite locale de la marque et cree un relais physique de la campagne digitale, generant un effet de reconnaissance pour les habitants ayant deja vu le contenu en ligne.</w:t>
      </w:r>
    </w:p>
    <w:p>
      <w:pPr>
        <w:spacing w:before="160" w:after="40"/>
        <w:jc w:val="left"/>
      </w:pPr>
      <w:r>
        <w:rPr>
          <w:rFonts w:ascii="Times New Roman" w:hAnsi="Times New Roman"/>
          <w:b/>
          <w:i/>
          <w:color w:val="1F4E79"/>
          <w:sz w:val="20"/>
        </w:rPr>
        <w:t>Tableau 6.8 - Repartition du dispositif de diffusion</w:t>
      </w:r>
    </w:p>
    <w:tbl>
      <w:tblPr>
        <w:tblStyle w:val="LightGrid-Accent1"/>
        <w:tblW w:type="auto" w:w="0"/>
        <w:jc w:val="center"/>
        <w:tblLook w:firstColumn="1" w:firstRow="1" w:lastColumn="0" w:lastRow="0" w:noHBand="0" w:noVBand="1" w:val="04A0"/>
      </w:tblPr>
      <w:tblGrid>
        <w:gridCol w:w="2280"/>
        <w:gridCol w:w="2280"/>
        <w:gridCol w:w="2280"/>
        <w:gridCol w:w="2280"/>
      </w:tblGrid>
      <w:tr>
        <w:tc>
          <w:tcPr>
            <w:tcW w:type="dxa" w:w="1928"/>
            <w:shd w:val="clear" w:fill="1F4E79"/>
          </w:tcPr>
          <w:p>
            <w:pPr>
              <w:jc w:val="center"/>
            </w:pPr>
            <w:r/>
            <w:r>
              <w:rPr>
                <w:rFonts w:ascii="Times New Roman" w:hAnsi="Times New Roman"/>
                <w:b/>
                <w:i w:val="0"/>
                <w:color w:val="FFFFFF"/>
                <w:sz w:val="21"/>
              </w:rPr>
              <w:t>Canal</w:t>
            </w:r>
          </w:p>
        </w:tc>
        <w:tc>
          <w:tcPr>
            <w:tcW w:type="dxa" w:w="2154"/>
            <w:shd w:val="clear" w:fill="1F4E79"/>
          </w:tcPr>
          <w:p>
            <w:pPr>
              <w:jc w:val="center"/>
            </w:pPr>
            <w:r/>
            <w:r>
              <w:rPr>
                <w:rFonts w:ascii="Times New Roman" w:hAnsi="Times New Roman"/>
                <w:b/>
                <w:i w:val="0"/>
                <w:color w:val="FFFFFF"/>
                <w:sz w:val="21"/>
              </w:rPr>
              <w:t>Role</w:t>
            </w:r>
          </w:p>
        </w:tc>
        <w:tc>
          <w:tcPr>
            <w:tcW w:type="dxa" w:w="2835"/>
            <w:shd w:val="clear" w:fill="1F4E79"/>
          </w:tcPr>
          <w:p>
            <w:pPr>
              <w:jc w:val="center"/>
            </w:pPr>
            <w:r/>
            <w:r>
              <w:rPr>
                <w:rFonts w:ascii="Times New Roman" w:hAnsi="Times New Roman"/>
                <w:b/>
                <w:i w:val="0"/>
                <w:color w:val="FFFFFF"/>
                <w:sz w:val="21"/>
              </w:rPr>
              <w:t>Format(s)</w:t>
            </w:r>
          </w:p>
        </w:tc>
        <w:tc>
          <w:tcPr>
            <w:tcW w:type="dxa" w:w="2041"/>
            <w:shd w:val="clear" w:fill="1F4E79"/>
          </w:tcPr>
          <w:p>
            <w:pPr>
              <w:jc w:val="center"/>
            </w:pPr>
            <w:r/>
            <w:r>
              <w:rPr>
                <w:rFonts w:ascii="Times New Roman" w:hAnsi="Times New Roman"/>
                <w:b/>
                <w:i w:val="0"/>
                <w:color w:val="FFFFFF"/>
                <w:sz w:val="21"/>
              </w:rPr>
              <w:t>Part du budget media</w:t>
            </w:r>
          </w:p>
        </w:tc>
      </w:tr>
      <w:tr>
        <w:tc>
          <w:tcPr>
            <w:tcW w:type="dxa" w:w="1928"/>
          </w:tcPr>
          <w:p>
            <w:pPr>
              <w:jc w:val="left"/>
            </w:pPr>
            <w:r/>
            <w:r>
              <w:rPr>
                <w:rFonts w:ascii="Times New Roman" w:hAnsi="Times New Roman"/>
                <w:b w:val="0"/>
                <w:i w:val="0"/>
                <w:color w:val="1A1A1A"/>
                <w:sz w:val="21"/>
              </w:rPr>
              <w:t>YouTube Ads</w:t>
            </w:r>
          </w:p>
        </w:tc>
        <w:tc>
          <w:tcPr>
            <w:tcW w:type="dxa" w:w="2154"/>
          </w:tcPr>
          <w:p>
            <w:pPr>
              <w:jc w:val="center"/>
            </w:pPr>
            <w:r/>
            <w:r>
              <w:rPr>
                <w:rFonts w:ascii="Times New Roman" w:hAnsi="Times New Roman"/>
                <w:b w:val="0"/>
                <w:i w:val="0"/>
                <w:color w:val="1A1A1A"/>
                <w:sz w:val="21"/>
              </w:rPr>
              <w:t>Notoriete / vues</w:t>
            </w:r>
          </w:p>
        </w:tc>
        <w:tc>
          <w:tcPr>
            <w:tcW w:type="dxa" w:w="2835"/>
          </w:tcPr>
          <w:p>
            <w:pPr>
              <w:jc w:val="center"/>
            </w:pPr>
            <w:r/>
            <w:r>
              <w:rPr>
                <w:rFonts w:ascii="Times New Roman" w:hAnsi="Times New Roman"/>
                <w:b w:val="0"/>
                <w:i w:val="0"/>
                <w:color w:val="1A1A1A"/>
                <w:sz w:val="21"/>
              </w:rPr>
              <w:t>Bumper 6s, TrueView in-stream</w:t>
            </w:r>
          </w:p>
        </w:tc>
        <w:tc>
          <w:tcPr>
            <w:tcW w:type="dxa" w:w="2041"/>
          </w:tcPr>
          <w:p>
            <w:pPr>
              <w:jc w:val="center"/>
            </w:pPr>
            <w:r/>
            <w:r>
              <w:rPr>
                <w:rFonts w:ascii="Times New Roman" w:hAnsi="Times New Roman"/>
                <w:b w:val="0"/>
                <w:i w:val="0"/>
                <w:color w:val="1A1A1A"/>
                <w:sz w:val="21"/>
              </w:rPr>
              <w:t>~ 40 %</w:t>
            </w:r>
          </w:p>
        </w:tc>
      </w:tr>
      <w:tr>
        <w:tc>
          <w:tcPr>
            <w:tcW w:type="dxa" w:w="1928"/>
          </w:tcPr>
          <w:p>
            <w:pPr>
              <w:jc w:val="left"/>
            </w:pPr>
            <w:r/>
            <w:r>
              <w:rPr>
                <w:rFonts w:ascii="Times New Roman" w:hAnsi="Times New Roman"/>
                <w:b w:val="0"/>
                <w:i w:val="0"/>
                <w:color w:val="1A1A1A"/>
                <w:sz w:val="21"/>
              </w:rPr>
              <w:t>Meta Ads (FB/IG)</w:t>
            </w:r>
          </w:p>
        </w:tc>
        <w:tc>
          <w:tcPr>
            <w:tcW w:type="dxa" w:w="2154"/>
          </w:tcPr>
          <w:p>
            <w:pPr>
              <w:jc w:val="center"/>
            </w:pPr>
            <w:r/>
            <w:r>
              <w:rPr>
                <w:rFonts w:ascii="Times New Roman" w:hAnsi="Times New Roman"/>
                <w:b w:val="0"/>
                <w:i w:val="0"/>
                <w:color w:val="1A1A1A"/>
                <w:sz w:val="21"/>
              </w:rPr>
              <w:t>Engagement / communaute</w:t>
            </w:r>
          </w:p>
        </w:tc>
        <w:tc>
          <w:tcPr>
            <w:tcW w:type="dxa" w:w="2835"/>
          </w:tcPr>
          <w:p>
            <w:pPr>
              <w:jc w:val="center"/>
            </w:pPr>
            <w:r/>
            <w:r>
              <w:rPr>
                <w:rFonts w:ascii="Times New Roman" w:hAnsi="Times New Roman"/>
                <w:b w:val="0"/>
                <w:i w:val="0"/>
                <w:color w:val="1A1A1A"/>
                <w:sz w:val="21"/>
              </w:rPr>
              <w:t>Reels, Stories, feed</w:t>
            </w:r>
          </w:p>
        </w:tc>
        <w:tc>
          <w:tcPr>
            <w:tcW w:type="dxa" w:w="2041"/>
          </w:tcPr>
          <w:p>
            <w:pPr>
              <w:jc w:val="center"/>
            </w:pPr>
            <w:r/>
            <w:r>
              <w:rPr>
                <w:rFonts w:ascii="Times New Roman" w:hAnsi="Times New Roman"/>
                <w:b w:val="0"/>
                <w:i w:val="0"/>
                <w:color w:val="1A1A1A"/>
                <w:sz w:val="21"/>
              </w:rPr>
              <w:t>~ 38 %</w:t>
            </w:r>
          </w:p>
        </w:tc>
      </w:tr>
      <w:tr>
        <w:tc>
          <w:tcPr>
            <w:tcW w:type="dxa" w:w="1928"/>
          </w:tcPr>
          <w:p>
            <w:pPr>
              <w:jc w:val="left"/>
            </w:pPr>
            <w:r/>
            <w:r>
              <w:rPr>
                <w:rFonts w:ascii="Times New Roman" w:hAnsi="Times New Roman"/>
                <w:b w:val="0"/>
                <w:i w:val="0"/>
                <w:color w:val="1A1A1A"/>
                <w:sz w:val="21"/>
              </w:rPr>
              <w:t>Affichage urbain</w:t>
            </w:r>
          </w:p>
        </w:tc>
        <w:tc>
          <w:tcPr>
            <w:tcW w:type="dxa" w:w="2154"/>
          </w:tcPr>
          <w:p>
            <w:pPr>
              <w:jc w:val="center"/>
            </w:pPr>
            <w:r/>
            <w:r>
              <w:rPr>
                <w:rFonts w:ascii="Times New Roman" w:hAnsi="Times New Roman"/>
                <w:b w:val="0"/>
                <w:i w:val="0"/>
                <w:color w:val="1A1A1A"/>
                <w:sz w:val="21"/>
              </w:rPr>
              <w:t>Ancrage local</w:t>
            </w:r>
          </w:p>
        </w:tc>
        <w:tc>
          <w:tcPr>
            <w:tcW w:type="dxa" w:w="2835"/>
          </w:tcPr>
          <w:p>
            <w:pPr>
              <w:jc w:val="center"/>
            </w:pPr>
            <w:r/>
            <w:r>
              <w:rPr>
                <w:rFonts w:ascii="Times New Roman" w:hAnsi="Times New Roman"/>
                <w:b w:val="0"/>
                <w:i w:val="0"/>
                <w:color w:val="1A1A1A"/>
                <w:sz w:val="21"/>
              </w:rPr>
              <w:t>Panneaux grand format</w:t>
            </w:r>
          </w:p>
        </w:tc>
        <w:tc>
          <w:tcPr>
            <w:tcW w:type="dxa" w:w="2041"/>
          </w:tcPr>
          <w:p>
            <w:pPr>
              <w:jc w:val="center"/>
            </w:pPr>
            <w:r/>
            <w:r>
              <w:rPr>
                <w:rFonts w:ascii="Times New Roman" w:hAnsi="Times New Roman"/>
                <w:b w:val="0"/>
                <w:i w:val="0"/>
                <w:color w:val="1A1A1A"/>
                <w:sz w:val="21"/>
              </w:rPr>
              <w:t>~ 17 %</w:t>
            </w:r>
          </w:p>
        </w:tc>
      </w:tr>
      <w:tr>
        <w:tc>
          <w:tcPr>
            <w:tcW w:type="dxa" w:w="1928"/>
          </w:tcPr>
          <w:p>
            <w:pPr>
              <w:jc w:val="left"/>
            </w:pPr>
            <w:r/>
            <w:r>
              <w:rPr>
                <w:rFonts w:ascii="Times New Roman" w:hAnsi="Times New Roman"/>
                <w:b w:val="0"/>
                <w:i w:val="0"/>
                <w:color w:val="1A1A1A"/>
                <w:sz w:val="21"/>
              </w:rPr>
              <w:t>Production / divers</w:t>
            </w:r>
          </w:p>
        </w:tc>
        <w:tc>
          <w:tcPr>
            <w:tcW w:type="dxa" w:w="2154"/>
          </w:tcPr>
          <w:p>
            <w:pPr>
              <w:jc w:val="center"/>
            </w:pPr>
            <w:r/>
            <w:r>
              <w:rPr>
                <w:rFonts w:ascii="Times New Roman" w:hAnsi="Times New Roman"/>
                <w:b w:val="0"/>
                <w:i w:val="0"/>
                <w:color w:val="1A1A1A"/>
                <w:sz w:val="21"/>
              </w:rPr>
              <w:t>Creation des contenus</w:t>
            </w:r>
          </w:p>
        </w:tc>
        <w:tc>
          <w:tcPr>
            <w:tcW w:type="dxa" w:w="2835"/>
          </w:tcPr>
          <w:p>
            <w:pPr>
              <w:jc w:val="center"/>
            </w:pPr>
            <w:r/>
            <w:r>
              <w:rPr>
                <w:rFonts w:ascii="Times New Roman" w:hAnsi="Times New Roman"/>
                <w:b w:val="0"/>
                <w:i w:val="0"/>
                <w:color w:val="1A1A1A"/>
                <w:sz w:val="21"/>
              </w:rPr>
              <w:t>Outils IA, montage</w:t>
            </w:r>
          </w:p>
        </w:tc>
        <w:tc>
          <w:tcPr>
            <w:tcW w:type="dxa" w:w="2041"/>
          </w:tcPr>
          <w:p>
            <w:pPr>
              <w:jc w:val="center"/>
            </w:pPr>
            <w:r/>
            <w:r>
              <w:rPr>
                <w:rFonts w:ascii="Times New Roman" w:hAnsi="Times New Roman"/>
                <w:b w:val="0"/>
                <w:i w:val="0"/>
                <w:color w:val="1A1A1A"/>
                <w:sz w:val="21"/>
              </w:rPr>
              <w:t>~ 5 %</w:t>
            </w:r>
          </w:p>
        </w:tc>
      </w:tr>
    </w:tbl>
    <w:p>
      <w:pPr>
        <w:spacing w:after="80"/>
      </w:pPr>
    </w:p>
    <w:p>
      <w:pPr>
        <w:spacing w:before="160" w:after="80"/>
      </w:pPr>
      <w:r>
        <w:rPr>
          <w:rFonts w:ascii="Times New Roman" w:hAnsi="Times New Roman"/>
          <w:b/>
          <w:i w:val="0"/>
          <w:color w:val="2E75B6"/>
          <w:sz w:val="25"/>
        </w:rPr>
        <w:t>6.6.2  Resultats quantitatifs de la campagne</w:t>
      </w:r>
    </w:p>
    <w:p>
      <w:pPr>
        <w:spacing w:after="120"/>
        <w:jc w:val="both"/>
      </w:pPr>
      <w:r>
        <w:rPr>
          <w:rFonts w:ascii="Times New Roman" w:hAnsi="Times New Roman"/>
          <w:b w:val="0"/>
          <w:i w:val="0"/>
          <w:color w:val="1A1A1A"/>
          <w:sz w:val="24"/>
        </w:rPr>
        <w:t>Les resultats enregistres a l'issue de la phase de teasing et lors de l'ouverture du parc ont largement confirme la pertinence de la strategie adoptee. Sur le plan quantitatif, la campagne a cumule plus d'un million de vues sur l'ensemble des plateformes de diffusion en un mois. Ce chiffre, remarquable pour une campagne de lancement local, temoigne a la fois de la qualite du contenu produit et de l'efficacite du ciblage mis en oeuvre.</w:t>
      </w:r>
    </w:p>
    <w:p>
      <w:pPr>
        <w:jc w:val="center"/>
      </w:pPr>
      <w:r>
        <w:drawing>
          <wp:inline xmlns:a="http://schemas.openxmlformats.org/drawingml/2006/main" xmlns:pic="http://schemas.openxmlformats.org/drawingml/2006/picture">
            <wp:extent cx="5040000" cy="2682581"/>
            <wp:docPr id="3" name="Picture 3"/>
            <wp:cNvGraphicFramePr>
              <a:graphicFrameLocks noChangeAspect="1"/>
            </wp:cNvGraphicFramePr>
            <a:graphic>
              <a:graphicData uri="http://schemas.openxmlformats.org/drawingml/2006/picture">
                <pic:pic>
                  <pic:nvPicPr>
                    <pic:cNvPr id="0" name="fig1_vues.png"/>
                    <pic:cNvPicPr/>
                  </pic:nvPicPr>
                  <pic:blipFill>
                    <a:blip r:embed="rId11"/>
                    <a:stretch>
                      <a:fillRect/>
                    </a:stretch>
                  </pic:blipFill>
                  <pic:spPr>
                    <a:xfrm>
                      <a:off x="0" y="0"/>
                      <a:ext cx="5040000" cy="2682581"/>
                    </a:xfrm>
                    <a:prstGeom prst="rect"/>
                  </pic:spPr>
                </pic:pic>
              </a:graphicData>
            </a:graphic>
          </wp:inline>
        </w:drawing>
      </w:r>
    </w:p>
    <w:p>
      <w:pPr>
        <w:spacing w:before="40" w:after="200"/>
        <w:jc w:val="center"/>
      </w:pPr>
      <w:r>
        <w:rPr>
          <w:rFonts w:ascii="Times New Roman" w:hAnsi="Times New Roman"/>
          <w:b w:val="0"/>
          <w:i/>
          <w:color w:val="595959"/>
          <w:sz w:val="19"/>
        </w:rPr>
        <w:t>Figure 1 - Evolution des vues cumulees sur les 30 jours de teasing</w:t>
      </w:r>
    </w:p>
    <w:p>
      <w:pPr>
        <w:spacing w:after="120"/>
        <w:jc w:val="both"/>
      </w:pPr>
      <w:r>
        <w:rPr>
          <w:rFonts w:ascii="Times New Roman" w:hAnsi="Times New Roman"/>
          <w:b w:val="0"/>
          <w:i w:val="0"/>
          <w:color w:val="1A1A1A"/>
          <w:sz w:val="24"/>
        </w:rPr>
        <w:t>La courbe des vues cumulees illustre une dynamique d'acceleration : apres une montee progressive lors des deux premieres semaines, le rythme s'intensifie a mesure que les contenus sont relayes et partages, jusqu'a franchir le seuil symbolique du million de vues avant la fin de la periode de teasing. La repartition par canal, presentee ci-dessous, confirme la place predominante de YouTube Ads dans la generation de vues, completee par la forte contribution de Meta a l'engagement.</w:t>
      </w:r>
    </w:p>
    <w:p>
      <w:pPr>
        <w:jc w:val="center"/>
      </w:pPr>
      <w:r>
        <w:drawing>
          <wp:inline xmlns:a="http://schemas.openxmlformats.org/drawingml/2006/main" xmlns:pic="http://schemas.openxmlformats.org/drawingml/2006/picture">
            <wp:extent cx="5040000" cy="2682581"/>
            <wp:docPr id="4" name="Picture 4"/>
            <wp:cNvGraphicFramePr>
              <a:graphicFrameLocks noChangeAspect="1"/>
            </wp:cNvGraphicFramePr>
            <a:graphic>
              <a:graphicData uri="http://schemas.openxmlformats.org/drawingml/2006/picture">
                <pic:pic>
                  <pic:nvPicPr>
                    <pic:cNvPr id="0" name="fig2_canaux.png"/>
                    <pic:cNvPicPr/>
                  </pic:nvPicPr>
                  <pic:blipFill>
                    <a:blip r:embed="rId12"/>
                    <a:stretch>
                      <a:fillRect/>
                    </a:stretch>
                  </pic:blipFill>
                  <pic:spPr>
                    <a:xfrm>
                      <a:off x="0" y="0"/>
                      <a:ext cx="5040000" cy="2682581"/>
                    </a:xfrm>
                    <a:prstGeom prst="rect"/>
                  </pic:spPr>
                </pic:pic>
              </a:graphicData>
            </a:graphic>
          </wp:inline>
        </w:drawing>
      </w:r>
    </w:p>
    <w:p>
      <w:pPr>
        <w:spacing w:before="40" w:after="200"/>
        <w:jc w:val="center"/>
      </w:pPr>
      <w:r>
        <w:rPr>
          <w:rFonts w:ascii="Times New Roman" w:hAnsi="Times New Roman"/>
          <w:b w:val="0"/>
          <w:i/>
          <w:color w:val="595959"/>
          <w:sz w:val="19"/>
        </w:rPr>
        <w:t>Figure 2 - Repartition des vues par canal de diffusion</w:t>
      </w:r>
    </w:p>
    <w:p>
      <w:pPr>
        <w:spacing w:after="120"/>
        <w:jc w:val="both"/>
      </w:pPr>
      <w:r>
        <w:rPr>
          <w:rFonts w:ascii="Times New Roman" w:hAnsi="Times New Roman"/>
          <w:b w:val="0"/>
          <w:i w:val="0"/>
          <w:color w:val="1A1A1A"/>
          <w:sz w:val="24"/>
        </w:rPr>
        <w:t>Le tableau ci-dessous synthetise les principaux indicateurs de performance de la campagne.</w:t>
      </w:r>
    </w:p>
    <w:p>
      <w:pPr>
        <w:spacing w:before="160" w:after="40"/>
        <w:jc w:val="left"/>
      </w:pPr>
      <w:r>
        <w:rPr>
          <w:rFonts w:ascii="Times New Roman" w:hAnsi="Times New Roman"/>
          <w:b/>
          <w:i/>
          <w:color w:val="1F4E79"/>
          <w:sz w:val="20"/>
        </w:rPr>
        <w:t>Tableau 6.9 - Indicateurs cles de performance de la campagne (* incluant TikTok et partages organiques)</w:t>
      </w:r>
    </w:p>
    <w:tbl>
      <w:tblPr>
        <w:tblStyle w:val="LightGrid-Accent1"/>
        <w:tblW w:type="auto" w:w="0"/>
        <w:jc w:val="center"/>
        <w:tblLook w:firstColumn="1" w:firstRow="1" w:lastColumn="0" w:lastRow="0" w:noHBand="0" w:noVBand="1" w:val="04A0"/>
      </w:tblPr>
      <w:tblGrid>
        <w:gridCol w:w="2280"/>
        <w:gridCol w:w="2280"/>
        <w:gridCol w:w="2280"/>
        <w:gridCol w:w="2280"/>
      </w:tblGrid>
      <w:tr>
        <w:tc>
          <w:tcPr>
            <w:tcW w:type="dxa" w:w="2948"/>
            <w:shd w:val="clear" w:fill="1F4E79"/>
          </w:tcPr>
          <w:p>
            <w:pPr>
              <w:jc w:val="center"/>
            </w:pPr>
            <w:r/>
            <w:r>
              <w:rPr>
                <w:rFonts w:ascii="Times New Roman" w:hAnsi="Times New Roman"/>
                <w:b/>
                <w:i w:val="0"/>
                <w:color w:val="FFFFFF"/>
                <w:sz w:val="21"/>
              </w:rPr>
              <w:t>Indicateur (KPI)</w:t>
            </w:r>
          </w:p>
        </w:tc>
        <w:tc>
          <w:tcPr>
            <w:tcW w:type="dxa" w:w="2041"/>
            <w:shd w:val="clear" w:fill="1F4E79"/>
          </w:tcPr>
          <w:p>
            <w:pPr>
              <w:jc w:val="center"/>
            </w:pPr>
            <w:r/>
            <w:r>
              <w:rPr>
                <w:rFonts w:ascii="Times New Roman" w:hAnsi="Times New Roman"/>
                <w:b/>
                <w:i w:val="0"/>
                <w:color w:val="FFFFFF"/>
                <w:sz w:val="21"/>
              </w:rPr>
              <w:t>YouTube Ads</w:t>
            </w:r>
          </w:p>
        </w:tc>
        <w:tc>
          <w:tcPr>
            <w:tcW w:type="dxa" w:w="2041"/>
            <w:shd w:val="clear" w:fill="1F4E79"/>
          </w:tcPr>
          <w:p>
            <w:pPr>
              <w:jc w:val="center"/>
            </w:pPr>
            <w:r/>
            <w:r>
              <w:rPr>
                <w:rFonts w:ascii="Times New Roman" w:hAnsi="Times New Roman"/>
                <w:b/>
                <w:i w:val="0"/>
                <w:color w:val="FFFFFF"/>
                <w:sz w:val="21"/>
              </w:rPr>
              <w:t>Meta Ads</w:t>
            </w:r>
          </w:p>
        </w:tc>
        <w:tc>
          <w:tcPr>
            <w:tcW w:type="dxa" w:w="1928"/>
            <w:shd w:val="clear" w:fill="1F4E79"/>
          </w:tcPr>
          <w:p>
            <w:pPr>
              <w:jc w:val="center"/>
            </w:pPr>
            <w:r/>
            <w:r>
              <w:rPr>
                <w:rFonts w:ascii="Times New Roman" w:hAnsi="Times New Roman"/>
                <w:b/>
                <w:i w:val="0"/>
                <w:color w:val="FFFFFF"/>
                <w:sz w:val="21"/>
              </w:rPr>
              <w:t>Global</w:t>
            </w:r>
          </w:p>
        </w:tc>
      </w:tr>
      <w:tr>
        <w:tc>
          <w:tcPr>
            <w:tcW w:type="dxa" w:w="2948"/>
          </w:tcPr>
          <w:p>
            <w:pPr>
              <w:jc w:val="left"/>
            </w:pPr>
            <w:r/>
            <w:r>
              <w:rPr>
                <w:rFonts w:ascii="Times New Roman" w:hAnsi="Times New Roman"/>
                <w:b w:val="0"/>
                <w:i w:val="0"/>
                <w:color w:val="1A1A1A"/>
                <w:sz w:val="21"/>
              </w:rPr>
              <w:t>Vues video</w:t>
            </w:r>
          </w:p>
        </w:tc>
        <w:tc>
          <w:tcPr>
            <w:tcW w:type="dxa" w:w="2041"/>
          </w:tcPr>
          <w:p>
            <w:pPr>
              <w:jc w:val="center"/>
            </w:pPr>
            <w:r/>
            <w:r>
              <w:rPr>
                <w:rFonts w:ascii="Times New Roman" w:hAnsi="Times New Roman"/>
                <w:b w:val="0"/>
                <w:i w:val="0"/>
                <w:color w:val="1A1A1A"/>
                <w:sz w:val="21"/>
              </w:rPr>
              <w:t>642 000</w:t>
            </w:r>
          </w:p>
        </w:tc>
        <w:tc>
          <w:tcPr>
            <w:tcW w:type="dxa" w:w="2041"/>
          </w:tcPr>
          <w:p>
            <w:pPr>
              <w:jc w:val="center"/>
            </w:pPr>
            <w:r/>
            <w:r>
              <w:rPr>
                <w:rFonts w:ascii="Times New Roman" w:hAnsi="Times New Roman"/>
                <w:b w:val="0"/>
                <w:i w:val="0"/>
                <w:color w:val="1A1A1A"/>
                <w:sz w:val="21"/>
              </w:rPr>
              <w:t>458 000</w:t>
            </w:r>
          </w:p>
        </w:tc>
        <w:tc>
          <w:tcPr>
            <w:tcW w:type="dxa" w:w="1928"/>
          </w:tcPr>
          <w:p>
            <w:pPr>
              <w:jc w:val="center"/>
            </w:pPr>
            <w:r/>
            <w:r>
              <w:rPr>
                <w:rFonts w:ascii="Times New Roman" w:hAnsi="Times New Roman"/>
                <w:b w:val="0"/>
                <w:i w:val="0"/>
                <w:color w:val="1A1A1A"/>
                <w:sz w:val="21"/>
              </w:rPr>
              <w:t>~ 1 250 000*</w:t>
            </w:r>
          </w:p>
        </w:tc>
      </w:tr>
      <w:tr>
        <w:tc>
          <w:tcPr>
            <w:tcW w:type="dxa" w:w="2948"/>
          </w:tcPr>
          <w:p>
            <w:pPr>
              <w:jc w:val="left"/>
            </w:pPr>
            <w:r/>
            <w:r>
              <w:rPr>
                <w:rFonts w:ascii="Times New Roman" w:hAnsi="Times New Roman"/>
                <w:b w:val="0"/>
                <w:i w:val="0"/>
                <w:color w:val="1A1A1A"/>
                <w:sz w:val="21"/>
              </w:rPr>
              <w:t>Impressions</w:t>
            </w:r>
          </w:p>
        </w:tc>
        <w:tc>
          <w:tcPr>
            <w:tcW w:type="dxa" w:w="2041"/>
          </w:tcPr>
          <w:p>
            <w:pPr>
              <w:jc w:val="center"/>
            </w:pPr>
            <w:r/>
            <w:r>
              <w:rPr>
                <w:rFonts w:ascii="Times New Roman" w:hAnsi="Times New Roman"/>
                <w:b w:val="0"/>
                <w:i w:val="0"/>
                <w:color w:val="1A1A1A"/>
                <w:sz w:val="21"/>
              </w:rPr>
              <w:t>2 100 000</w:t>
            </w:r>
          </w:p>
        </w:tc>
        <w:tc>
          <w:tcPr>
            <w:tcW w:type="dxa" w:w="2041"/>
          </w:tcPr>
          <w:p>
            <w:pPr>
              <w:jc w:val="center"/>
            </w:pPr>
            <w:r/>
            <w:r>
              <w:rPr>
                <w:rFonts w:ascii="Times New Roman" w:hAnsi="Times New Roman"/>
                <w:b w:val="0"/>
                <w:i w:val="0"/>
                <w:color w:val="1A1A1A"/>
                <w:sz w:val="21"/>
              </w:rPr>
              <w:t>1 600 000</w:t>
            </w:r>
          </w:p>
        </w:tc>
        <w:tc>
          <w:tcPr>
            <w:tcW w:type="dxa" w:w="1928"/>
          </w:tcPr>
          <w:p>
            <w:pPr>
              <w:jc w:val="center"/>
            </w:pPr>
            <w:r/>
            <w:r>
              <w:rPr>
                <w:rFonts w:ascii="Times New Roman" w:hAnsi="Times New Roman"/>
                <w:b w:val="0"/>
                <w:i w:val="0"/>
                <w:color w:val="1A1A1A"/>
                <w:sz w:val="21"/>
              </w:rPr>
              <w:t>~ 3 850 000</w:t>
            </w:r>
          </w:p>
        </w:tc>
      </w:tr>
      <w:tr>
        <w:tc>
          <w:tcPr>
            <w:tcW w:type="dxa" w:w="2948"/>
          </w:tcPr>
          <w:p>
            <w:pPr>
              <w:jc w:val="left"/>
            </w:pPr>
            <w:r/>
            <w:r>
              <w:rPr>
                <w:rFonts w:ascii="Times New Roman" w:hAnsi="Times New Roman"/>
                <w:b w:val="0"/>
                <w:i w:val="0"/>
                <w:color w:val="1A1A1A"/>
                <w:sz w:val="21"/>
              </w:rPr>
              <w:t>Taux de visionnage (VTR)</w:t>
            </w:r>
          </w:p>
        </w:tc>
        <w:tc>
          <w:tcPr>
            <w:tcW w:type="dxa" w:w="2041"/>
          </w:tcPr>
          <w:p>
            <w:pPr>
              <w:jc w:val="center"/>
            </w:pPr>
            <w:r/>
            <w:r>
              <w:rPr>
                <w:rFonts w:ascii="Times New Roman" w:hAnsi="Times New Roman"/>
                <w:b w:val="0"/>
                <w:i w:val="0"/>
                <w:color w:val="1A1A1A"/>
                <w:sz w:val="21"/>
              </w:rPr>
              <w:t>38 %</w:t>
            </w:r>
          </w:p>
        </w:tc>
        <w:tc>
          <w:tcPr>
            <w:tcW w:type="dxa" w:w="2041"/>
          </w:tcPr>
          <w:p>
            <w:pPr>
              <w:jc w:val="center"/>
            </w:pPr>
            <w:r/>
            <w:r>
              <w:rPr>
                <w:rFonts w:ascii="Times New Roman" w:hAnsi="Times New Roman"/>
                <w:b w:val="0"/>
                <w:i w:val="0"/>
                <w:color w:val="1A1A1A"/>
                <w:sz w:val="21"/>
              </w:rPr>
              <w:t>-</w:t>
            </w:r>
          </w:p>
        </w:tc>
        <w:tc>
          <w:tcPr>
            <w:tcW w:type="dxa" w:w="1928"/>
          </w:tcPr>
          <w:p>
            <w:pPr>
              <w:jc w:val="center"/>
            </w:pPr>
            <w:r/>
            <w:r>
              <w:rPr>
                <w:rFonts w:ascii="Times New Roman" w:hAnsi="Times New Roman"/>
                <w:b w:val="0"/>
                <w:i w:val="0"/>
                <w:color w:val="1A1A1A"/>
                <w:sz w:val="21"/>
              </w:rPr>
              <w:t>-</w:t>
            </w:r>
          </w:p>
        </w:tc>
      </w:tr>
      <w:tr>
        <w:tc>
          <w:tcPr>
            <w:tcW w:type="dxa" w:w="2948"/>
          </w:tcPr>
          <w:p>
            <w:pPr>
              <w:jc w:val="left"/>
            </w:pPr>
            <w:r/>
            <w:r>
              <w:rPr>
                <w:rFonts w:ascii="Times New Roman" w:hAnsi="Times New Roman"/>
                <w:b w:val="0"/>
                <w:i w:val="0"/>
                <w:color w:val="1A1A1A"/>
                <w:sz w:val="21"/>
              </w:rPr>
              <w:t>Taux de clics (CTR)</w:t>
            </w:r>
          </w:p>
        </w:tc>
        <w:tc>
          <w:tcPr>
            <w:tcW w:type="dxa" w:w="2041"/>
          </w:tcPr>
          <w:p>
            <w:pPr>
              <w:jc w:val="center"/>
            </w:pPr>
            <w:r/>
            <w:r>
              <w:rPr>
                <w:rFonts w:ascii="Times New Roman" w:hAnsi="Times New Roman"/>
                <w:b w:val="0"/>
                <w:i w:val="0"/>
                <w:color w:val="1A1A1A"/>
                <w:sz w:val="21"/>
              </w:rPr>
              <w:t>1,4 %</w:t>
            </w:r>
          </w:p>
        </w:tc>
        <w:tc>
          <w:tcPr>
            <w:tcW w:type="dxa" w:w="2041"/>
          </w:tcPr>
          <w:p>
            <w:pPr>
              <w:jc w:val="center"/>
            </w:pPr>
            <w:r/>
            <w:r>
              <w:rPr>
                <w:rFonts w:ascii="Times New Roman" w:hAnsi="Times New Roman"/>
                <w:b w:val="0"/>
                <w:i w:val="0"/>
                <w:color w:val="1A1A1A"/>
                <w:sz w:val="21"/>
              </w:rPr>
              <w:t>2,1 %</w:t>
            </w:r>
          </w:p>
        </w:tc>
        <w:tc>
          <w:tcPr>
            <w:tcW w:type="dxa" w:w="1928"/>
          </w:tcPr>
          <w:p>
            <w:pPr>
              <w:jc w:val="center"/>
            </w:pPr>
            <w:r/>
            <w:r>
              <w:rPr>
                <w:rFonts w:ascii="Times New Roman" w:hAnsi="Times New Roman"/>
                <w:b w:val="0"/>
                <w:i w:val="0"/>
                <w:color w:val="1A1A1A"/>
                <w:sz w:val="21"/>
              </w:rPr>
              <w:t>~ 1,7 %</w:t>
            </w:r>
          </w:p>
        </w:tc>
      </w:tr>
      <w:tr>
        <w:tc>
          <w:tcPr>
            <w:tcW w:type="dxa" w:w="2948"/>
          </w:tcPr>
          <w:p>
            <w:pPr>
              <w:jc w:val="left"/>
            </w:pPr>
            <w:r/>
            <w:r>
              <w:rPr>
                <w:rFonts w:ascii="Times New Roman" w:hAnsi="Times New Roman"/>
                <w:b w:val="0"/>
                <w:i w:val="0"/>
                <w:color w:val="1A1A1A"/>
                <w:sz w:val="21"/>
              </w:rPr>
              <w:t>Taux d'engagement</w:t>
            </w:r>
          </w:p>
        </w:tc>
        <w:tc>
          <w:tcPr>
            <w:tcW w:type="dxa" w:w="2041"/>
          </w:tcPr>
          <w:p>
            <w:pPr>
              <w:jc w:val="center"/>
            </w:pPr>
            <w:r/>
            <w:r>
              <w:rPr>
                <w:rFonts w:ascii="Times New Roman" w:hAnsi="Times New Roman"/>
                <w:b w:val="0"/>
                <w:i w:val="0"/>
                <w:color w:val="1A1A1A"/>
                <w:sz w:val="21"/>
              </w:rPr>
              <w:t>-</w:t>
            </w:r>
          </w:p>
        </w:tc>
        <w:tc>
          <w:tcPr>
            <w:tcW w:type="dxa" w:w="2041"/>
          </w:tcPr>
          <w:p>
            <w:pPr>
              <w:jc w:val="center"/>
            </w:pPr>
            <w:r/>
            <w:r>
              <w:rPr>
                <w:rFonts w:ascii="Times New Roman" w:hAnsi="Times New Roman"/>
                <w:b w:val="0"/>
                <w:i w:val="0"/>
                <w:color w:val="1A1A1A"/>
                <w:sz w:val="21"/>
              </w:rPr>
              <w:t>9,2 %</w:t>
            </w:r>
          </w:p>
        </w:tc>
        <w:tc>
          <w:tcPr>
            <w:tcW w:type="dxa" w:w="1928"/>
          </w:tcPr>
          <w:p>
            <w:pPr>
              <w:jc w:val="center"/>
            </w:pPr>
            <w:r/>
            <w:r>
              <w:rPr>
                <w:rFonts w:ascii="Times New Roman" w:hAnsi="Times New Roman"/>
                <w:b w:val="0"/>
                <w:i w:val="0"/>
                <w:color w:val="1A1A1A"/>
                <w:sz w:val="21"/>
              </w:rPr>
              <w:t>-</w:t>
            </w:r>
          </w:p>
        </w:tc>
      </w:tr>
      <w:tr>
        <w:tc>
          <w:tcPr>
            <w:tcW w:type="dxa" w:w="2948"/>
          </w:tcPr>
          <w:p>
            <w:pPr>
              <w:jc w:val="left"/>
            </w:pPr>
            <w:r/>
            <w:r>
              <w:rPr>
                <w:rFonts w:ascii="Times New Roman" w:hAnsi="Times New Roman"/>
                <w:b w:val="0"/>
                <w:i w:val="0"/>
                <w:color w:val="1A1A1A"/>
                <w:sz w:val="21"/>
              </w:rPr>
              <w:t>Cout par vue (CPV) moyen</w:t>
            </w:r>
          </w:p>
        </w:tc>
        <w:tc>
          <w:tcPr>
            <w:tcW w:type="dxa" w:w="2041"/>
          </w:tcPr>
          <w:p>
            <w:pPr>
              <w:jc w:val="center"/>
            </w:pPr>
            <w:r/>
            <w:r>
              <w:rPr>
                <w:rFonts w:ascii="Times New Roman" w:hAnsi="Times New Roman"/>
                <w:b w:val="0"/>
                <w:i w:val="0"/>
                <w:color w:val="1A1A1A"/>
                <w:sz w:val="21"/>
              </w:rPr>
              <w:t>~ 0,05 MAD</w:t>
            </w:r>
          </w:p>
        </w:tc>
        <w:tc>
          <w:tcPr>
            <w:tcW w:type="dxa" w:w="2041"/>
          </w:tcPr>
          <w:p>
            <w:pPr>
              <w:jc w:val="center"/>
            </w:pPr>
            <w:r/>
            <w:r>
              <w:rPr>
                <w:rFonts w:ascii="Times New Roman" w:hAnsi="Times New Roman"/>
                <w:b w:val="0"/>
                <w:i w:val="0"/>
                <w:color w:val="1A1A1A"/>
                <w:sz w:val="21"/>
              </w:rPr>
              <w:t>~ 0,06 MAD</w:t>
            </w:r>
          </w:p>
        </w:tc>
        <w:tc>
          <w:tcPr>
            <w:tcW w:type="dxa" w:w="1928"/>
          </w:tcPr>
          <w:p>
            <w:pPr>
              <w:jc w:val="center"/>
            </w:pPr>
            <w:r/>
            <w:r>
              <w:rPr>
                <w:rFonts w:ascii="Times New Roman" w:hAnsi="Times New Roman"/>
                <w:b w:val="0"/>
                <w:i w:val="0"/>
                <w:color w:val="1A1A1A"/>
                <w:sz w:val="21"/>
              </w:rPr>
              <w:t>-</w:t>
            </w:r>
          </w:p>
        </w:tc>
      </w:tr>
      <w:tr>
        <w:tc>
          <w:tcPr>
            <w:tcW w:type="dxa" w:w="2948"/>
          </w:tcPr>
          <w:p>
            <w:pPr>
              <w:jc w:val="left"/>
            </w:pPr>
            <w:r/>
            <w:r>
              <w:rPr>
                <w:rFonts w:ascii="Times New Roman" w:hAnsi="Times New Roman"/>
                <w:b w:val="0"/>
                <w:i w:val="0"/>
                <w:color w:val="1A1A1A"/>
                <w:sz w:val="21"/>
              </w:rPr>
              <w:t>Cout pour mille (CPM)</w:t>
            </w:r>
          </w:p>
        </w:tc>
        <w:tc>
          <w:tcPr>
            <w:tcW w:type="dxa" w:w="2041"/>
          </w:tcPr>
          <w:p>
            <w:pPr>
              <w:jc w:val="center"/>
            </w:pPr>
            <w:r/>
            <w:r>
              <w:rPr>
                <w:rFonts w:ascii="Times New Roman" w:hAnsi="Times New Roman"/>
                <w:b w:val="0"/>
                <w:i w:val="0"/>
                <w:color w:val="1A1A1A"/>
                <w:sz w:val="21"/>
              </w:rPr>
              <w:t>~ 16 MAD</w:t>
            </w:r>
          </w:p>
        </w:tc>
        <w:tc>
          <w:tcPr>
            <w:tcW w:type="dxa" w:w="2041"/>
          </w:tcPr>
          <w:p>
            <w:pPr>
              <w:jc w:val="center"/>
            </w:pPr>
            <w:r/>
            <w:r>
              <w:rPr>
                <w:rFonts w:ascii="Times New Roman" w:hAnsi="Times New Roman"/>
                <w:b w:val="0"/>
                <w:i w:val="0"/>
                <w:color w:val="1A1A1A"/>
                <w:sz w:val="21"/>
              </w:rPr>
              <w:t>~ 22 MAD</w:t>
            </w:r>
          </w:p>
        </w:tc>
        <w:tc>
          <w:tcPr>
            <w:tcW w:type="dxa" w:w="1928"/>
          </w:tcPr>
          <w:p>
            <w:pPr>
              <w:jc w:val="center"/>
            </w:pPr>
            <w:r/>
            <w:r>
              <w:rPr>
                <w:rFonts w:ascii="Times New Roman" w:hAnsi="Times New Roman"/>
                <w:b w:val="0"/>
                <w:i w:val="0"/>
                <w:color w:val="1A1A1A"/>
                <w:sz w:val="21"/>
              </w:rPr>
              <w:t>-</w:t>
            </w:r>
          </w:p>
        </w:tc>
      </w:tr>
    </w:tbl>
    <w:p>
      <w:pPr>
        <w:spacing w:after="80"/>
      </w:pPr>
    </w:p>
    <w:p>
      <w:pPr>
        <w:spacing w:after="120"/>
        <w:jc w:val="both"/>
      </w:pPr>
      <w:r>
        <w:rPr>
          <w:rFonts w:ascii="Times New Roman" w:hAnsi="Times New Roman"/>
          <w:b w:val="0"/>
          <w:i w:val="0"/>
          <w:color w:val="1A1A1A"/>
          <w:sz w:val="24"/>
        </w:rPr>
        <w:t>Le taux d'engagement sur Meta a ete superieur aux benchmarks habituels pour ce type de campagne dans la region, avec un nombre significatif de commentaires, partages et mentions d'internautes signalant le parc a leurs proches. Le graphique suivant met en regard les principales metriques de la campagne avec des valeurs de reference observees sur des campagnes locales comparables.</w:t>
      </w:r>
    </w:p>
    <w:p>
      <w:pPr>
        <w:jc w:val="center"/>
      </w:pPr>
      <w:r>
        <w:drawing>
          <wp:inline xmlns:a="http://schemas.openxmlformats.org/drawingml/2006/main" xmlns:pic="http://schemas.openxmlformats.org/drawingml/2006/picture">
            <wp:extent cx="5040000" cy="2682581"/>
            <wp:docPr id="5" name="Picture 5"/>
            <wp:cNvGraphicFramePr>
              <a:graphicFrameLocks noChangeAspect="1"/>
            </wp:cNvGraphicFramePr>
            <a:graphic>
              <a:graphicData uri="http://schemas.openxmlformats.org/drawingml/2006/picture">
                <pic:pic>
                  <pic:nvPicPr>
                    <pic:cNvPr id="0" name="fig6_benchmark.png"/>
                    <pic:cNvPicPr/>
                  </pic:nvPicPr>
                  <pic:blipFill>
                    <a:blip r:embed="rId13"/>
                    <a:stretch>
                      <a:fillRect/>
                    </a:stretch>
                  </pic:blipFill>
                  <pic:spPr>
                    <a:xfrm>
                      <a:off x="0" y="0"/>
                      <a:ext cx="5040000" cy="2682581"/>
                    </a:xfrm>
                    <a:prstGeom prst="rect"/>
                  </pic:spPr>
                </pic:pic>
              </a:graphicData>
            </a:graphic>
          </wp:inline>
        </w:drawing>
      </w:r>
    </w:p>
    <w:p>
      <w:pPr>
        <w:spacing w:before="40" w:after="200"/>
        <w:jc w:val="center"/>
      </w:pPr>
      <w:r>
        <w:rPr>
          <w:rFonts w:ascii="Times New Roman" w:hAnsi="Times New Roman"/>
          <w:b w:val="0"/>
          <w:i/>
          <w:color w:val="595959"/>
          <w:sz w:val="19"/>
        </w:rPr>
        <w:t>Figure 6 - Performances de la campagne comparees aux benchmarks du secteur</w:t>
      </w:r>
    </w:p>
    <w:p>
      <w:pPr>
        <w:spacing w:before="160" w:after="80"/>
      </w:pPr>
      <w:r>
        <w:rPr>
          <w:rFonts w:ascii="Times New Roman" w:hAnsi="Times New Roman"/>
          <w:b/>
          <w:i w:val="0"/>
          <w:color w:val="2E75B6"/>
          <w:sz w:val="25"/>
        </w:rPr>
        <w:t>6.6.3  De la notoriete a la visite : l'entonnoir de conversion</w:t>
      </w:r>
    </w:p>
    <w:p>
      <w:pPr>
        <w:spacing w:after="120"/>
        <w:jc w:val="both"/>
      </w:pPr>
      <w:r>
        <w:rPr>
          <w:rFonts w:ascii="Times New Roman" w:hAnsi="Times New Roman"/>
          <w:b w:val="0"/>
          <w:i w:val="0"/>
          <w:color w:val="1A1A1A"/>
          <w:sz w:val="24"/>
        </w:rPr>
        <w:t>Sur le plan qualitatif, l'enthousiasme genere par le teaser dans les commentaires des publications a constitue un signal tres positif. De nombreux utilisateurs ont exprime leur impatience a decouvrir le parc et ont partage le contenu spontanement, generant une amplification organique appreciable.</w:t>
      </w:r>
    </w:p>
    <w:p>
      <w:pPr>
        <w:spacing w:after="120"/>
        <w:jc w:val="both"/>
      </w:pPr>
      <w:r>
        <w:rPr>
          <w:rFonts w:ascii="Times New Roman" w:hAnsi="Times New Roman"/>
          <w:b w:val="0"/>
          <w:i w:val="0"/>
          <w:color w:val="1A1A1A"/>
          <w:sz w:val="24"/>
        </w:rPr>
        <w:t>Surtout, la forte affluence enregistree des le jour de l'ouverture du parc represente l'indicateur de conversion le plus significatif. Elle confirme que la campagne a atteint son objectif principal : creer une anticipation suffisamment forte pour que le public se deplace effectivement lors de l'ouverture. L'entonnoir ci-dessous retrace le passage de l'exposition publicitaire a la visite physique.</w:t>
      </w:r>
    </w:p>
    <w:p>
      <w:pPr>
        <w:jc w:val="center"/>
      </w:pPr>
      <w:r>
        <w:drawing>
          <wp:inline xmlns:a="http://schemas.openxmlformats.org/drawingml/2006/main" xmlns:pic="http://schemas.openxmlformats.org/drawingml/2006/picture">
            <wp:extent cx="5040000" cy="2839056"/>
            <wp:docPr id="6" name="Picture 6"/>
            <wp:cNvGraphicFramePr>
              <a:graphicFrameLocks noChangeAspect="1"/>
            </wp:cNvGraphicFramePr>
            <a:graphic>
              <a:graphicData uri="http://schemas.openxmlformats.org/drawingml/2006/picture">
                <pic:pic>
                  <pic:nvPicPr>
                    <pic:cNvPr id="0" name="fig5_entonnoir.png"/>
                    <pic:cNvPicPr/>
                  </pic:nvPicPr>
                  <pic:blipFill>
                    <a:blip r:embed="rId14"/>
                    <a:stretch>
                      <a:fillRect/>
                    </a:stretch>
                  </pic:blipFill>
                  <pic:spPr>
                    <a:xfrm>
                      <a:off x="0" y="0"/>
                      <a:ext cx="5040000" cy="2839056"/>
                    </a:xfrm>
                    <a:prstGeom prst="rect"/>
                  </pic:spPr>
                </pic:pic>
              </a:graphicData>
            </a:graphic>
          </wp:inline>
        </w:drawing>
      </w:r>
    </w:p>
    <w:p>
      <w:pPr>
        <w:spacing w:before="40" w:after="200"/>
        <w:jc w:val="center"/>
      </w:pPr>
      <w:r>
        <w:rPr>
          <w:rFonts w:ascii="Times New Roman" w:hAnsi="Times New Roman"/>
          <w:b w:val="0"/>
          <w:i/>
          <w:color w:val="595959"/>
          <w:sz w:val="19"/>
        </w:rPr>
        <w:t>Figure 5 - Entonnoir de conversion : des impressions a la visite le jour J</w:t>
      </w:r>
    </w:p>
    <w:p>
      <w:pPr>
        <w:spacing w:before="160" w:after="40"/>
        <w:jc w:val="left"/>
      </w:pPr>
      <w:r>
        <w:rPr>
          <w:rFonts w:ascii="Times New Roman" w:hAnsi="Times New Roman"/>
          <w:b/>
          <w:i/>
          <w:color w:val="1F4E79"/>
          <w:sz w:val="20"/>
        </w:rPr>
        <w:t>Tableau 6.10 - Entonnoir de conversion de la campagne Varcadia</w:t>
      </w:r>
    </w:p>
    <w:tbl>
      <w:tblPr>
        <w:tblStyle w:val="LightGrid-Accent1"/>
        <w:tblW w:type="auto" w:w="0"/>
        <w:jc w:val="center"/>
        <w:tblLook w:firstColumn="1" w:firstRow="1" w:lastColumn="0" w:lastRow="0" w:noHBand="0" w:noVBand="1" w:val="04A0"/>
      </w:tblPr>
      <w:tblGrid>
        <w:gridCol w:w="3041"/>
        <w:gridCol w:w="3041"/>
        <w:gridCol w:w="3041"/>
      </w:tblGrid>
      <w:tr>
        <w:tc>
          <w:tcPr>
            <w:tcW w:type="dxa" w:w="3175"/>
            <w:shd w:val="clear" w:fill="1F4E79"/>
          </w:tcPr>
          <w:p>
            <w:pPr>
              <w:jc w:val="center"/>
            </w:pPr>
            <w:r/>
            <w:r>
              <w:rPr>
                <w:rFonts w:ascii="Times New Roman" w:hAnsi="Times New Roman"/>
                <w:b/>
                <w:i w:val="0"/>
                <w:color w:val="FFFFFF"/>
                <w:sz w:val="21"/>
              </w:rPr>
              <w:t>Etape de l'entonnoir</w:t>
            </w:r>
          </w:p>
        </w:tc>
        <w:tc>
          <w:tcPr>
            <w:tcW w:type="dxa" w:w="2381"/>
            <w:shd w:val="clear" w:fill="1F4E79"/>
          </w:tcPr>
          <w:p>
            <w:pPr>
              <w:jc w:val="center"/>
            </w:pPr>
            <w:r/>
            <w:r>
              <w:rPr>
                <w:rFonts w:ascii="Times New Roman" w:hAnsi="Times New Roman"/>
                <w:b/>
                <w:i w:val="0"/>
                <w:color w:val="FFFFFF"/>
                <w:sz w:val="21"/>
              </w:rPr>
              <w:t>Volume estime</w:t>
            </w:r>
          </w:p>
        </w:tc>
        <w:tc>
          <w:tcPr>
            <w:tcW w:type="dxa" w:w="3402"/>
            <w:shd w:val="clear" w:fill="1F4E79"/>
          </w:tcPr>
          <w:p>
            <w:pPr>
              <w:jc w:val="center"/>
            </w:pPr>
            <w:r/>
            <w:r>
              <w:rPr>
                <w:rFonts w:ascii="Times New Roman" w:hAnsi="Times New Roman"/>
                <w:b/>
                <w:i w:val="0"/>
                <w:color w:val="FFFFFF"/>
                <w:sz w:val="21"/>
              </w:rPr>
              <w:t>Lecture</w:t>
            </w:r>
          </w:p>
        </w:tc>
      </w:tr>
      <w:tr>
        <w:tc>
          <w:tcPr>
            <w:tcW w:type="dxa" w:w="3175"/>
          </w:tcPr>
          <w:p>
            <w:pPr>
              <w:jc w:val="left"/>
            </w:pPr>
            <w:r/>
            <w:r>
              <w:rPr>
                <w:rFonts w:ascii="Times New Roman" w:hAnsi="Times New Roman"/>
                <w:b w:val="0"/>
                <w:i w:val="0"/>
                <w:color w:val="1A1A1A"/>
                <w:sz w:val="21"/>
              </w:rPr>
              <w:t>Impressions</w:t>
            </w:r>
          </w:p>
        </w:tc>
        <w:tc>
          <w:tcPr>
            <w:tcW w:type="dxa" w:w="2381"/>
          </w:tcPr>
          <w:p>
            <w:pPr>
              <w:jc w:val="center"/>
            </w:pPr>
            <w:r/>
            <w:r>
              <w:rPr>
                <w:rFonts w:ascii="Times New Roman" w:hAnsi="Times New Roman"/>
                <w:b w:val="0"/>
                <w:i w:val="0"/>
                <w:color w:val="1A1A1A"/>
                <w:sz w:val="21"/>
              </w:rPr>
              <w:t>~ 3 850 000</w:t>
            </w:r>
          </w:p>
        </w:tc>
        <w:tc>
          <w:tcPr>
            <w:tcW w:type="dxa" w:w="3402"/>
          </w:tcPr>
          <w:p>
            <w:pPr>
              <w:jc w:val="center"/>
            </w:pPr>
            <w:r/>
            <w:r>
              <w:rPr>
                <w:rFonts w:ascii="Times New Roman" w:hAnsi="Times New Roman"/>
                <w:b w:val="0"/>
                <w:i w:val="0"/>
                <w:color w:val="1A1A1A"/>
                <w:sz w:val="21"/>
              </w:rPr>
              <w:t>Exposition totale</w:t>
            </w:r>
          </w:p>
        </w:tc>
      </w:tr>
      <w:tr>
        <w:tc>
          <w:tcPr>
            <w:tcW w:type="dxa" w:w="3175"/>
          </w:tcPr>
          <w:p>
            <w:pPr>
              <w:jc w:val="left"/>
            </w:pPr>
            <w:r/>
            <w:r>
              <w:rPr>
                <w:rFonts w:ascii="Times New Roman" w:hAnsi="Times New Roman"/>
                <w:b w:val="0"/>
                <w:i w:val="0"/>
                <w:color w:val="1A1A1A"/>
                <w:sz w:val="21"/>
              </w:rPr>
              <w:t>Vues video</w:t>
            </w:r>
          </w:p>
        </w:tc>
        <w:tc>
          <w:tcPr>
            <w:tcW w:type="dxa" w:w="2381"/>
          </w:tcPr>
          <w:p>
            <w:pPr>
              <w:jc w:val="center"/>
            </w:pPr>
            <w:r/>
            <w:r>
              <w:rPr>
                <w:rFonts w:ascii="Times New Roman" w:hAnsi="Times New Roman"/>
                <w:b w:val="0"/>
                <w:i w:val="0"/>
                <w:color w:val="1A1A1A"/>
                <w:sz w:val="21"/>
              </w:rPr>
              <w:t>~ 1 250 000</w:t>
            </w:r>
          </w:p>
        </w:tc>
        <w:tc>
          <w:tcPr>
            <w:tcW w:type="dxa" w:w="3402"/>
          </w:tcPr>
          <w:p>
            <w:pPr>
              <w:jc w:val="center"/>
            </w:pPr>
            <w:r/>
            <w:r>
              <w:rPr>
                <w:rFonts w:ascii="Times New Roman" w:hAnsi="Times New Roman"/>
                <w:b w:val="0"/>
                <w:i w:val="0"/>
                <w:color w:val="1A1A1A"/>
                <w:sz w:val="21"/>
              </w:rPr>
              <w:t>Attention captee</w:t>
            </w:r>
          </w:p>
        </w:tc>
      </w:tr>
      <w:tr>
        <w:tc>
          <w:tcPr>
            <w:tcW w:type="dxa" w:w="3175"/>
          </w:tcPr>
          <w:p>
            <w:pPr>
              <w:jc w:val="left"/>
            </w:pPr>
            <w:r/>
            <w:r>
              <w:rPr>
                <w:rFonts w:ascii="Times New Roman" w:hAnsi="Times New Roman"/>
                <w:b w:val="0"/>
                <w:i w:val="0"/>
                <w:color w:val="1A1A1A"/>
                <w:sz w:val="21"/>
              </w:rPr>
              <w:t>Engagements</w:t>
            </w:r>
          </w:p>
        </w:tc>
        <w:tc>
          <w:tcPr>
            <w:tcW w:type="dxa" w:w="2381"/>
          </w:tcPr>
          <w:p>
            <w:pPr>
              <w:jc w:val="center"/>
            </w:pPr>
            <w:r/>
            <w:r>
              <w:rPr>
                <w:rFonts w:ascii="Times New Roman" w:hAnsi="Times New Roman"/>
                <w:b w:val="0"/>
                <w:i w:val="0"/>
                <w:color w:val="1A1A1A"/>
                <w:sz w:val="21"/>
              </w:rPr>
              <w:t>~ 118 000</w:t>
            </w:r>
          </w:p>
        </w:tc>
        <w:tc>
          <w:tcPr>
            <w:tcW w:type="dxa" w:w="3402"/>
          </w:tcPr>
          <w:p>
            <w:pPr>
              <w:jc w:val="center"/>
            </w:pPr>
            <w:r/>
            <w:r>
              <w:rPr>
                <w:rFonts w:ascii="Times New Roman" w:hAnsi="Times New Roman"/>
                <w:b w:val="0"/>
                <w:i w:val="0"/>
                <w:color w:val="1A1A1A"/>
                <w:sz w:val="21"/>
              </w:rPr>
              <w:t>Adhesion active</w:t>
            </w:r>
          </w:p>
        </w:tc>
      </w:tr>
      <w:tr>
        <w:tc>
          <w:tcPr>
            <w:tcW w:type="dxa" w:w="3175"/>
          </w:tcPr>
          <w:p>
            <w:pPr>
              <w:jc w:val="left"/>
            </w:pPr>
            <w:r/>
            <w:r>
              <w:rPr>
                <w:rFonts w:ascii="Times New Roman" w:hAnsi="Times New Roman"/>
                <w:b w:val="0"/>
                <w:i w:val="0"/>
                <w:color w:val="1A1A1A"/>
                <w:sz w:val="21"/>
              </w:rPr>
              <w:t>Clics / visites de profil</w:t>
            </w:r>
          </w:p>
        </w:tc>
        <w:tc>
          <w:tcPr>
            <w:tcW w:type="dxa" w:w="2381"/>
          </w:tcPr>
          <w:p>
            <w:pPr>
              <w:jc w:val="center"/>
            </w:pPr>
            <w:r/>
            <w:r>
              <w:rPr>
                <w:rFonts w:ascii="Times New Roman" w:hAnsi="Times New Roman"/>
                <w:b w:val="0"/>
                <w:i w:val="0"/>
                <w:color w:val="1A1A1A"/>
                <w:sz w:val="21"/>
              </w:rPr>
              <w:t>~ 41 000</w:t>
            </w:r>
          </w:p>
        </w:tc>
        <w:tc>
          <w:tcPr>
            <w:tcW w:type="dxa" w:w="3402"/>
          </w:tcPr>
          <w:p>
            <w:pPr>
              <w:jc w:val="center"/>
            </w:pPr>
            <w:r/>
            <w:r>
              <w:rPr>
                <w:rFonts w:ascii="Times New Roman" w:hAnsi="Times New Roman"/>
                <w:b w:val="0"/>
                <w:i w:val="0"/>
                <w:color w:val="1A1A1A"/>
                <w:sz w:val="21"/>
              </w:rPr>
              <w:t>Interet qualifie</w:t>
            </w:r>
          </w:p>
        </w:tc>
      </w:tr>
      <w:tr>
        <w:tc>
          <w:tcPr>
            <w:tcW w:type="dxa" w:w="3175"/>
          </w:tcPr>
          <w:p>
            <w:pPr>
              <w:jc w:val="left"/>
            </w:pPr>
            <w:r/>
            <w:r>
              <w:rPr>
                <w:rFonts w:ascii="Times New Roman" w:hAnsi="Times New Roman"/>
                <w:b w:val="0"/>
                <w:i w:val="0"/>
                <w:color w:val="1A1A1A"/>
                <w:sz w:val="21"/>
              </w:rPr>
              <w:t>Visiteurs le jour J</w:t>
            </w:r>
          </w:p>
        </w:tc>
        <w:tc>
          <w:tcPr>
            <w:tcW w:type="dxa" w:w="2381"/>
          </w:tcPr>
          <w:p>
            <w:pPr>
              <w:jc w:val="center"/>
            </w:pPr>
            <w:r/>
            <w:r>
              <w:rPr>
                <w:rFonts w:ascii="Times New Roman" w:hAnsi="Times New Roman"/>
                <w:b w:val="0"/>
                <w:i w:val="0"/>
                <w:color w:val="1A1A1A"/>
                <w:sz w:val="21"/>
              </w:rPr>
              <w:t>~ 3 600</w:t>
            </w:r>
          </w:p>
        </w:tc>
        <w:tc>
          <w:tcPr>
            <w:tcW w:type="dxa" w:w="3402"/>
          </w:tcPr>
          <w:p>
            <w:pPr>
              <w:jc w:val="center"/>
            </w:pPr>
            <w:r/>
            <w:r>
              <w:rPr>
                <w:rFonts w:ascii="Times New Roman" w:hAnsi="Times New Roman"/>
                <w:b w:val="0"/>
                <w:i w:val="0"/>
                <w:color w:val="1A1A1A"/>
                <w:sz w:val="21"/>
              </w:rPr>
              <w:t>Conversion physique</w:t>
            </w:r>
          </w:p>
        </w:tc>
      </w:tr>
      <w:tr>
        <w:tc>
          <w:tcPr>
            <w:tcW w:type="dxa" w:w="3175"/>
          </w:tcPr>
          <w:p>
            <w:pPr>
              <w:jc w:val="left"/>
            </w:pPr>
            <w:r/>
            <w:r>
              <w:rPr>
                <w:rFonts w:ascii="Times New Roman" w:hAnsi="Times New Roman"/>
                <w:b w:val="0"/>
                <w:i w:val="0"/>
                <w:color w:val="1A1A1A"/>
                <w:sz w:val="21"/>
              </w:rPr>
              <w:t>Visiteurs le 1er week-end</w:t>
            </w:r>
          </w:p>
        </w:tc>
        <w:tc>
          <w:tcPr>
            <w:tcW w:type="dxa" w:w="2381"/>
          </w:tcPr>
          <w:p>
            <w:pPr>
              <w:jc w:val="center"/>
            </w:pPr>
            <w:r/>
            <w:r>
              <w:rPr>
                <w:rFonts w:ascii="Times New Roman" w:hAnsi="Times New Roman"/>
                <w:b w:val="0"/>
                <w:i w:val="0"/>
                <w:color w:val="1A1A1A"/>
                <w:sz w:val="21"/>
              </w:rPr>
              <w:t>~ 12 000</w:t>
            </w:r>
          </w:p>
        </w:tc>
        <w:tc>
          <w:tcPr>
            <w:tcW w:type="dxa" w:w="3402"/>
          </w:tcPr>
          <w:p>
            <w:pPr>
              <w:jc w:val="center"/>
            </w:pPr>
            <w:r/>
            <w:r>
              <w:rPr>
                <w:rFonts w:ascii="Times New Roman" w:hAnsi="Times New Roman"/>
                <w:b w:val="0"/>
                <w:i w:val="0"/>
                <w:color w:val="1A1A1A"/>
                <w:sz w:val="21"/>
              </w:rPr>
              <w:t>Effet d'entrainement</w:t>
            </w:r>
          </w:p>
        </w:tc>
      </w:tr>
    </w:tbl>
    <w:p>
      <w:pPr>
        <w:spacing w:after="80"/>
      </w:pPr>
    </w:p>
    <w:p>
      <w:pPr>
        <w:spacing w:after="120"/>
        <w:jc w:val="both"/>
      </w:pPr>
      <w:r>
        <w:rPr>
          <w:rFonts w:ascii="Times New Roman" w:hAnsi="Times New Roman"/>
          <w:b w:val="0"/>
          <w:i w:val="0"/>
          <w:color w:val="1A1A1A"/>
          <w:sz w:val="24"/>
        </w:rPr>
        <w:t>Ce resultat constitue la validation empirique la plus directe de l'efficacite d'une strategie de lancement pilotee par l'IA generative : avec un budget media maitrise et une equipe reduite, la campagne a transforme une attention numerique massive en une frequentation physique reelle, des le premier jour d'ouverture.</w:t>
      </w:r>
    </w:p>
    <w:p>
      <w:pPr>
        <w:spacing w:before="160" w:after="80"/>
      </w:pPr>
      <w:r>
        <w:rPr>
          <w:rFonts w:ascii="Times New Roman" w:hAnsi="Times New Roman"/>
          <w:b/>
          <w:i w:val="0"/>
          <w:color w:val="2E75B6"/>
          <w:sz w:val="25"/>
        </w:rPr>
        <w:t>6.6.4  Analyse qualitative des retombees</w:t>
      </w:r>
    </w:p>
    <w:p>
      <w:pPr>
        <w:spacing w:after="120"/>
        <w:jc w:val="both"/>
      </w:pPr>
      <w:r>
        <w:rPr>
          <w:rFonts w:ascii="Times New Roman" w:hAnsi="Times New Roman"/>
          <w:b w:val="0"/>
          <w:i w:val="0"/>
          <w:color w:val="1A1A1A"/>
          <w:sz w:val="24"/>
        </w:rPr>
        <w:t>Au-dela des chiffres, l'analyse des commentaires laisses sous les publications offre un eclairage precieux sur la reception de la campagne. Nous avons procede a une analyse de contenu thematique d'un echantillon de commentaires, qui fait ressortir trois registres dominants : l'impatience, l'identification locale et l'intention de visite.</w:t>
      </w:r>
    </w:p>
    <w:p>
      <w:pPr>
        <w:pStyle w:val="ListBullet"/>
        <w:spacing w:after="60"/>
        <w:jc w:val="both"/>
      </w:pPr>
      <w:r>
        <w:rPr>
          <w:rFonts w:ascii="Times New Roman" w:hAnsi="Times New Roman"/>
          <w:b/>
          <w:i w:val="0"/>
          <w:color w:val="1A1A1A"/>
          <w:sz w:val="23"/>
        </w:rPr>
        <w:t>Impatience et curiosite :</w:t>
      </w:r>
      <w:r>
        <w:rPr>
          <w:rFonts w:ascii="Times New Roman" w:hAnsi="Times New Roman"/>
          <w:b w:val="0"/>
          <w:i w:val="0"/>
          <w:color w:val="1A1A1A"/>
          <w:sz w:val="23"/>
        </w:rPr>
        <w:t xml:space="preserve"> de nombreux internautes ont reagi au mystere du teaser par des questions (&lt;&lt; c'est quoi exactement ? &gt;&gt;, &lt;&lt; ca ouvre quand ? &gt;&gt;), traduisant l'efficacite du ressort de curiosite.</w:t>
      </w:r>
    </w:p>
    <w:p>
      <w:pPr>
        <w:pStyle w:val="ListBullet"/>
        <w:spacing w:after="60"/>
        <w:jc w:val="both"/>
      </w:pPr>
      <w:r>
        <w:rPr>
          <w:rFonts w:ascii="Times New Roman" w:hAnsi="Times New Roman"/>
          <w:b/>
          <w:i w:val="0"/>
          <w:color w:val="1A1A1A"/>
          <w:sz w:val="23"/>
        </w:rPr>
        <w:t>Fierte et identification locale :</w:t>
      </w:r>
      <w:r>
        <w:rPr>
          <w:rFonts w:ascii="Times New Roman" w:hAnsi="Times New Roman"/>
          <w:b w:val="0"/>
          <w:i w:val="0"/>
          <w:color w:val="1A1A1A"/>
          <w:sz w:val="23"/>
        </w:rPr>
        <w:t xml:space="preserve"> plusieurs commentaires saluaient l'arrivee d'une infrastructure de ce niveau a Soualem meme, signe que l'ancrage territorial du message a porte ses fruits.</w:t>
      </w:r>
    </w:p>
    <w:p>
      <w:pPr>
        <w:pStyle w:val="ListBullet"/>
        <w:spacing w:after="60"/>
        <w:jc w:val="both"/>
      </w:pPr>
      <w:r>
        <w:rPr>
          <w:rFonts w:ascii="Times New Roman" w:hAnsi="Times New Roman"/>
          <w:b/>
          <w:i w:val="0"/>
          <w:color w:val="1A1A1A"/>
          <w:sz w:val="23"/>
        </w:rPr>
        <w:t>Intention de visite et invitation :</w:t>
      </w:r>
      <w:r>
        <w:rPr>
          <w:rFonts w:ascii="Times New Roman" w:hAnsi="Times New Roman"/>
          <w:b w:val="0"/>
          <w:i w:val="0"/>
          <w:color w:val="1A1A1A"/>
          <w:sz w:val="23"/>
        </w:rPr>
        <w:t xml:space="preserve"> une part notable des commentaires consistait a identifier des proches (&lt;&lt; on y va ensemble ! &gt;&gt;), generant une amplification organique et une pre-qualification de l'intention de visite.</w:t>
      </w:r>
    </w:p>
    <w:p>
      <w:pPr>
        <w:spacing w:after="120"/>
        <w:jc w:val="both"/>
      </w:pPr>
      <w:r>
        <w:rPr>
          <w:rFonts w:ascii="Times New Roman" w:hAnsi="Times New Roman"/>
          <w:b w:val="0"/>
          <w:i w:val="0"/>
          <w:color w:val="1A1A1A"/>
          <w:sz w:val="24"/>
        </w:rPr>
        <w:t>Le sentiment global, evalue qualitativement, s'est revele tres majoritairement positif. Les rares reactions critiques portaient sur des aspects pratiques (tarifs, horaires, stationnement) plutot que sur le contenu lui-meme, ce qui constitue un signal favorable pour une marque en phase de lancement. Cette tonalite positive a egalement nourri un volume appreciable de contenus generes par les utilisateurs (UGC) le jour de l'ouverture, prolongeant gratuitement la portee de la campagne.</w:t>
      </w:r>
    </w:p>
    <w:p>
      <w:pPr>
        <w:spacing w:before="240" w:after="120"/>
      </w:pPr>
      <w:r>
        <w:rPr>
          <w:rFonts w:ascii="Times New Roman" w:hAnsi="Times New Roman"/>
          <w:b/>
          <w:i w:val="0"/>
          <w:color w:val="1F4E79"/>
          <w:sz w:val="28"/>
        </w:rPr>
        <w:t>6.7  Enseignements et perspectives</w:t>
      </w:r>
    </w:p>
    <w:p>
      <w:pPr>
        <w:spacing w:after="120"/>
        <w:jc w:val="both"/>
      </w:pPr>
      <w:r>
        <w:rPr>
          <w:rFonts w:ascii="Times New Roman" w:hAnsi="Times New Roman"/>
          <w:b w:val="0"/>
          <w:i w:val="0"/>
          <w:color w:val="1A1A1A"/>
          <w:sz w:val="24"/>
        </w:rPr>
        <w:t>L'experience Varcadia nous a permis de tirer plusieurs enseignements directement applicables a d'autres projets de lancement dans le contexte marocain.</w:t>
      </w:r>
    </w:p>
    <w:p>
      <w:pPr>
        <w:spacing w:after="120"/>
        <w:jc w:val="both"/>
      </w:pPr>
      <w:r>
        <w:rPr>
          <w:rFonts w:ascii="Times New Roman" w:hAnsi="Times New Roman"/>
          <w:b w:val="0"/>
          <w:i w:val="0"/>
          <w:color w:val="1A1A1A"/>
          <w:sz w:val="24"/>
        </w:rPr>
        <w:t>Le premier enseignement porte sur la valeur du teasing hybride. La combinaison de sequences reelles et d'elements generes par IA permet d'atteindre un niveau de qualite visuelle et de singularite creative normalement inaccessibles avec des budgets modestes. Cette approche democratise l'acces a des productions de haute qualite pour des entreprises locales, et reduit drastiquement le delai entre l'idee et la diffusion.</w:t>
      </w:r>
    </w:p>
    <w:p>
      <w:pPr>
        <w:spacing w:after="120"/>
        <w:jc w:val="both"/>
      </w:pPr>
      <w:r>
        <w:rPr>
          <w:rFonts w:ascii="Times New Roman" w:hAnsi="Times New Roman"/>
          <w:b w:val="0"/>
          <w:i w:val="0"/>
          <w:color w:val="1A1A1A"/>
          <w:sz w:val="24"/>
        </w:rPr>
        <w:t>Le deuxieme enseignement concerne l'importance de la direction artistique humaine dans un processus de production assiste par IA. L'IA est un outil puissant, mais son efficacite depend entierement de la qualite des instructions qui lui sont donnees et du jugement creatif qui s'exerce sur ses productions. Le talent du marketeur ou du directeur creatif reste determinant. Les deux videos de la campagne le demontrent : leur efficacite tient moins a la technologie employee qu'a la justesse du concept narratif et a la coherence du recit construit sur l'ensemble du dispositif.</w:t>
      </w:r>
    </w:p>
    <w:p>
      <w:pPr>
        <w:spacing w:after="120"/>
        <w:jc w:val="both"/>
      </w:pPr>
      <w:r>
        <w:rPr>
          <w:rFonts w:ascii="Times New Roman" w:hAnsi="Times New Roman"/>
          <w:b w:val="0"/>
          <w:i w:val="0"/>
          <w:color w:val="1A1A1A"/>
          <w:sz w:val="24"/>
        </w:rPr>
        <w:t>Le troisieme enseignement touche a l'efficacite de la combinaison digital et affichage pour les lancements locaux. Si le digital assure la portee et la mesurabilite, le support physique ancre la marque dans le territoire et cree un lien avec la communaute locale qui depasse ce que les seuls canaux numeriques peuvent produire.</w:t>
      </w:r>
    </w:p>
    <w:p>
      <w:pPr>
        <w:spacing w:after="120"/>
        <w:jc w:val="both"/>
      </w:pPr>
      <w:r>
        <w:rPr>
          <w:rFonts w:ascii="Times New Roman" w:hAnsi="Times New Roman"/>
          <w:b w:val="0"/>
          <w:i w:val="0"/>
          <w:color w:val="1A1A1A"/>
          <w:sz w:val="24"/>
        </w:rPr>
        <w:t>Le quatrieme enseignement, enfin, concerne la coherence narrative comme facteur d'efficacite. La construction d'un recit en deux actes, du teaser au devoilement, avec des codes visuels constants et une mascotte federatrice, a permis de transformer une succession de contenus en une veritable histoire de marque, plus memorable et plus engageante qu'une simple juxtaposition de messages publicitaires.</w:t>
      </w:r>
    </w:p>
    <w:p>
      <w:pPr>
        <w:spacing w:before="280"/>
        <w:pBdr>
          <w:top w:val="single" w:sz="4" w:space="4" w:color="999999"/>
        </w:pBdr>
      </w:pPr>
      <w:r>
        <w:rPr>
          <w:rFonts w:ascii="Times New Roman" w:hAnsi="Times New Roman"/>
          <w:b/>
          <w:i/>
          <w:color w:val="595959"/>
          <w:sz w:val="18"/>
        </w:rPr>
        <w:t>Notes et references</w:t>
      </w:r>
    </w:p>
    <w:p>
      <w:pPr>
        <w:spacing w:after="40"/>
      </w:pPr>
      <w:r>
        <w:rPr>
          <w:rFonts w:ascii="Times New Roman" w:hAnsi="Times New Roman"/>
          <w:b w:val="0"/>
          <w:i w:val="0"/>
          <w:color w:val="595959"/>
          <w:sz w:val="18"/>
        </w:rPr>
        <w:t>9. Kling AI (2024). User Guide - Video Generation from Image and Text. Documentation consultee dans le cadre du projet Varcadia.</w:t>
      </w:r>
    </w:p>
    <w:p>
      <w:pPr>
        <w:spacing w:after="40"/>
      </w:pPr>
      <w:r>
        <w:rPr>
          <w:rFonts w:ascii="Times New Roman" w:hAnsi="Times New Roman"/>
          <w:b w:val="0"/>
          <w:i w:val="0"/>
          <w:color w:val="595959"/>
          <w:sz w:val="18"/>
        </w:rPr>
        <w:t>Les donnees chiffrees presentees dans ce chapitre sont issues des tableaux de bord des regies publicitaires (Google Ads, Meta Ads Manager) et des estimations de frequentation communiquees par le client. Certaines valeurs sont arrondies ou estimees.</w:t>
      </w:r>
    </w:p>
    <w:p>
      <w:r>
        <w:br w:type="page"/>
      </w:r>
    </w:p>
    <w:p>
      <w:pPr>
        <w:spacing w:before="120" w:after="280"/>
        <w:jc w:val="left"/>
        <w:pBdr>
          <w:bottom w:val="single" w:sz="6" w:space="6" w:color="1F4E79"/>
        </w:pBdr>
      </w:pPr>
      <w:r>
        <w:rPr>
          <w:rFonts w:ascii="Times New Roman" w:hAnsi="Times New Roman"/>
          <w:b/>
          <w:i w:val="0"/>
          <w:color w:val="1F4E79"/>
          <w:sz w:val="36"/>
        </w:rPr>
        <w:t>Conclusion Generale et Recommandations</w:t>
      </w:r>
    </w:p>
    <w:p>
      <w:pPr>
        <w:spacing w:before="240" w:after="120"/>
      </w:pPr>
      <w:r>
        <w:rPr>
          <w:rFonts w:ascii="Times New Roman" w:hAnsi="Times New Roman"/>
          <w:b/>
          <w:i w:val="0"/>
          <w:color w:val="1F4E79"/>
          <w:sz w:val="28"/>
        </w:rPr>
        <w:t>Synthese des principaux resultats</w:t>
      </w:r>
    </w:p>
    <w:p>
      <w:pPr>
        <w:spacing w:after="120"/>
        <w:jc w:val="both"/>
      </w:pPr>
      <w:r>
        <w:rPr>
          <w:rFonts w:ascii="Times New Roman" w:hAnsi="Times New Roman"/>
          <w:b w:val="0"/>
          <w:i w:val="0"/>
          <w:color w:val="1A1A1A"/>
          <w:sz w:val="24"/>
        </w:rPr>
        <w:t>Ce rapport avait pour ambition de repondre a une question centrale : dans quelle mesure l'intelligence artificielle ameliore-t-elle l'efficacite des strategies de marketing digital, notamment en matiere de ciblage et de generation de contenu ? A travers une revue theorique approfondie et une etude empirique ancree dans une experience professionnelle reelle, nous apportons des elements de reponse clairs et nuances.</w:t>
      </w:r>
    </w:p>
    <w:p>
      <w:pPr>
        <w:spacing w:after="120"/>
        <w:jc w:val="both"/>
      </w:pPr>
      <w:r>
        <w:rPr>
          <w:rFonts w:ascii="Times New Roman" w:hAnsi="Times New Roman"/>
          <w:b w:val="0"/>
          <w:i w:val="0"/>
          <w:color w:val="1A1A1A"/>
          <w:sz w:val="24"/>
        </w:rPr>
        <w:t>Les resultats de notre enquete et les performances de la campagne Varcadia convergent pour confirmer que l'IA apporte une valeur ajoutee significative et mesurable aux strategies de marketing digital. Elle ameliore la precision du ciblage, reduit les couts de production de contenu, accelere les cycles de creation et permet d'atteindre des niveaux d'engagement qui rivalisent avec ceux obtenus par des approches creatives conventionnelles, a condition d'etre guidee par une vision strategique claire. La campagne Varcadia, avec son million de vues et son affluence reelle a l'ouverture, en constitue une demonstration concrete.</w:t>
      </w:r>
    </w:p>
    <w:p>
      <w:pPr>
        <w:spacing w:before="240" w:after="120"/>
      </w:pPr>
      <w:r>
        <w:rPr>
          <w:rFonts w:ascii="Times New Roman" w:hAnsi="Times New Roman"/>
          <w:b/>
          <w:i w:val="0"/>
          <w:color w:val="1F4E79"/>
          <w:sz w:val="28"/>
        </w:rPr>
        <w:t>Recommandations pour les entreprises marocaines</w:t>
      </w:r>
    </w:p>
    <w:p>
      <w:pPr>
        <w:spacing w:after="120"/>
        <w:jc w:val="both"/>
      </w:pPr>
      <w:r>
        <w:rPr>
          <w:rFonts w:ascii="Times New Roman" w:hAnsi="Times New Roman"/>
          <w:b w:val="0"/>
          <w:i w:val="0"/>
          <w:color w:val="1A1A1A"/>
          <w:sz w:val="24"/>
        </w:rPr>
        <w:t>Pour les entreprises et les agences marocaines qui envisagent d'integrer l'IA dans leurs strategies marketing, nous formulons quatre recommandations principales.</w:t>
      </w:r>
    </w:p>
    <w:p>
      <w:pPr>
        <w:pStyle w:val="ListNumber"/>
        <w:spacing w:after="60"/>
        <w:jc w:val="both"/>
      </w:pPr>
      <w:r>
        <w:rPr>
          <w:rFonts w:ascii="Times New Roman" w:hAnsi="Times New Roman"/>
          <w:b/>
          <w:i w:val="0"/>
          <w:color w:val="1A1A1A"/>
          <w:sz w:val="23"/>
        </w:rPr>
        <w:t>Commencer par les outils les plus accessibles</w:t>
      </w:r>
      <w:r>
        <w:rPr>
          <w:rFonts w:ascii="Times New Roman" w:hAnsi="Times New Roman"/>
          <w:b w:val="0"/>
          <w:i w:val="0"/>
          <w:color w:val="1A1A1A"/>
          <w:sz w:val="23"/>
        </w:rPr>
        <w:t xml:space="preserve"> et monter progressivement en complexite. Les outils de generation textuelle et visuelle offrent un excellent rapport qualite-prise en main pour une premiere experimentation, avant d'aborder les outils de generation video plus avances.</w:t>
      </w:r>
    </w:p>
    <w:p>
      <w:pPr>
        <w:pStyle w:val="ListNumber"/>
        <w:spacing w:after="60"/>
        <w:jc w:val="both"/>
      </w:pPr>
      <w:r>
        <w:rPr>
          <w:rFonts w:ascii="Times New Roman" w:hAnsi="Times New Roman"/>
          <w:b/>
          <w:i w:val="0"/>
          <w:color w:val="1A1A1A"/>
          <w:sz w:val="23"/>
        </w:rPr>
        <w:t>Investir dans la formation des equipes.</w:t>
      </w:r>
      <w:r>
        <w:rPr>
          <w:rFonts w:ascii="Times New Roman" w:hAnsi="Times New Roman"/>
          <w:b w:val="0"/>
          <w:i w:val="0"/>
          <w:color w:val="1A1A1A"/>
          <w:sz w:val="23"/>
        </w:rPr>
        <w:t xml:space="preserve"> La maitrise du prompt engineering, c'est-a-dire la capacite a formuler des instructions precises et efficaces pour les systemes d'IA, est une competence strategique qui conditionne largement la qualite des resultats obtenus.</w:t>
      </w:r>
    </w:p>
    <w:p>
      <w:pPr>
        <w:pStyle w:val="ListNumber"/>
        <w:spacing w:after="60"/>
        <w:jc w:val="both"/>
      </w:pPr>
      <w:r>
        <w:rPr>
          <w:rFonts w:ascii="Times New Roman" w:hAnsi="Times New Roman"/>
          <w:b/>
          <w:i w:val="0"/>
          <w:color w:val="1A1A1A"/>
          <w:sz w:val="23"/>
        </w:rPr>
        <w:t>Ne jamais delaisser la supervision humaine.</w:t>
      </w:r>
      <w:r>
        <w:rPr>
          <w:rFonts w:ascii="Times New Roman" w:hAnsi="Times New Roman"/>
          <w:b w:val="0"/>
          <w:i w:val="0"/>
          <w:color w:val="1A1A1A"/>
          <w:sz w:val="23"/>
        </w:rPr>
        <w:t xml:space="preserve"> L'IA est un amplificateur de creativite, pas un substitut. Les decisions strategiques, la direction artistique et la validation des contenus avant diffusion doivent rester sous controle humain.</w:t>
      </w:r>
    </w:p>
    <w:p>
      <w:pPr>
        <w:pStyle w:val="ListNumber"/>
        <w:spacing w:after="60"/>
        <w:jc w:val="both"/>
      </w:pPr>
      <w:r>
        <w:rPr>
          <w:rFonts w:ascii="Times New Roman" w:hAnsi="Times New Roman"/>
          <w:b/>
          <w:i w:val="0"/>
          <w:color w:val="1A1A1A"/>
          <w:sz w:val="23"/>
        </w:rPr>
        <w:t>Mesurer systematiquement l'impact</w:t>
      </w:r>
      <w:r>
        <w:rPr>
          <w:rFonts w:ascii="Times New Roman" w:hAnsi="Times New Roman"/>
          <w:b w:val="0"/>
          <w:i w:val="0"/>
          <w:color w:val="1A1A1A"/>
          <w:sz w:val="23"/>
        </w:rPr>
        <w:t xml:space="preserve"> des actions menees avec l'IA, en comparaison avec les pratiques anterieures. La donnee est le seul arbitre fiable de l'efficacite d'une approche marketing.</w:t>
      </w:r>
    </w:p>
    <w:p>
      <w:pPr>
        <w:spacing w:before="240" w:after="120"/>
      </w:pPr>
      <w:r>
        <w:rPr>
          <w:rFonts w:ascii="Times New Roman" w:hAnsi="Times New Roman"/>
          <w:b/>
          <w:i w:val="0"/>
          <w:color w:val="1F4E79"/>
          <w:sz w:val="28"/>
        </w:rPr>
        <w:t>Limites de l'etude et perspectives de recherche</w:t>
      </w:r>
    </w:p>
    <w:p>
      <w:pPr>
        <w:spacing w:after="120"/>
        <w:jc w:val="both"/>
      </w:pPr>
      <w:r>
        <w:rPr>
          <w:rFonts w:ascii="Times New Roman" w:hAnsi="Times New Roman"/>
          <w:b w:val="0"/>
          <w:i w:val="0"/>
          <w:color w:val="1A1A1A"/>
          <w:sz w:val="24"/>
        </w:rPr>
        <w:t>Ce travail comporte plusieurs limites qu'il convient de mentionner. L'echantillon de notre enquete quantitative, bien que suffisant pour une etude exploratoire, ne permet pas de generalisation statistique a l'ensemble du secteur du marketing digital marocain. L'etude de cas Varcadia, aussi riche soit-elle, reste une experience singuliere dont les resultats ne peuvent etre systematiquement reproduits dans d'autres contextes sans adaptation.</w:t>
      </w:r>
    </w:p>
    <w:p>
      <w:pPr>
        <w:spacing w:after="120"/>
        <w:jc w:val="both"/>
      </w:pPr>
      <w:r>
        <w:rPr>
          <w:rFonts w:ascii="Times New Roman" w:hAnsi="Times New Roman"/>
          <w:b w:val="0"/>
          <w:i w:val="0"/>
          <w:color w:val="1A1A1A"/>
          <w:sz w:val="24"/>
        </w:rPr>
        <w:t>Par ailleurs, le domaine de l'IA generative evolue a une vitesse telle que certains des outils et des pratiques decrits dans ce rapport seront probablement depasses dans les prochains mois. Cette obsolescence rapide est inherente au champ et constitue en elle-meme un objet de reflexion pour les chercheurs et les praticiens.</w:t>
      </w:r>
    </w:p>
    <w:p>
      <w:pPr>
        <w:spacing w:after="120"/>
        <w:jc w:val="both"/>
      </w:pPr>
      <w:r>
        <w:rPr>
          <w:rFonts w:ascii="Times New Roman" w:hAnsi="Times New Roman"/>
          <w:b w:val="0"/>
          <w:i w:val="0"/>
          <w:color w:val="1A1A1A"/>
          <w:sz w:val="24"/>
        </w:rPr>
        <w:t>Les perspectives de recherche ouvertes par ce travail sont nombreuses. Une etude longitudinale sur l'evolution de l'adoption de l'IA marketing au Maroc permettrait de suivre les dynamiques du secteur dans le temps. Une analyse comparative entre des campagnes entierement pilotees par IA et des campagnes conventionnelles, dans des contextes similaires, offrirait une base empirique plus solide pour mesurer l'apport reel de l'IA. Enfin, une recherche centree sur les impacts ethiques et sociaux de la diffusion de l'IA generative dans la communication commerciale au Maroc constituerait un champ d'exploration pertinent et peu explore a ce jour.</w:t>
      </w:r>
    </w:p>
    <w:p>
      <w:r>
        <w:br w:type="page"/>
      </w:r>
    </w:p>
    <w:p>
      <w:pPr>
        <w:spacing w:before="120" w:after="280"/>
        <w:jc w:val="left"/>
        <w:pBdr>
          <w:bottom w:val="single" w:sz="6" w:space="6" w:color="1F4E79"/>
        </w:pBdr>
      </w:pPr>
      <w:r>
        <w:rPr>
          <w:rFonts w:ascii="Times New Roman" w:hAnsi="Times New Roman"/>
          <w:b/>
          <w:i w:val="0"/>
          <w:color w:val="1F4E79"/>
          <w:sz w:val="36"/>
        </w:rPr>
        <w:t>Bibliographie</w:t>
      </w:r>
    </w:p>
    <w:p>
      <w:pPr>
        <w:spacing w:before="240" w:after="120"/>
      </w:pPr>
      <w:r>
        <w:rPr>
          <w:rFonts w:ascii="Times New Roman" w:hAnsi="Times New Roman"/>
          <w:b/>
          <w:i w:val="0"/>
          <w:color w:val="1F4E79"/>
          <w:sz w:val="28"/>
        </w:rPr>
        <w:t>Ouvrages et references academiques</w:t>
      </w:r>
    </w:p>
    <w:p>
      <w:pPr>
        <w:spacing w:after="120"/>
        <w:ind w:left="454" w:hanging="454"/>
      </w:pPr>
      <w:r>
        <w:rPr>
          <w:rFonts w:ascii="Times New Roman" w:hAnsi="Times New Roman"/>
          <w:b w:val="0"/>
          <w:i w:val="0"/>
          <w:color w:val="1A1A1A"/>
          <w:sz w:val="23"/>
        </w:rPr>
        <w:t>Chollet, F. (2021). Deep Learning with Python (2e edition). Manning Publications.</w:t>
      </w:r>
    </w:p>
    <w:p>
      <w:pPr>
        <w:spacing w:after="120"/>
        <w:ind w:left="454" w:hanging="454"/>
      </w:pPr>
      <w:r>
        <w:rPr>
          <w:rFonts w:ascii="Times New Roman" w:hAnsi="Times New Roman"/>
          <w:b w:val="0"/>
          <w:i w:val="0"/>
          <w:color w:val="1A1A1A"/>
          <w:sz w:val="23"/>
        </w:rPr>
        <w:t>Chaffey, D., &amp; Ellis-Chadwick, F. (2022). Digital Marketing: Strategy, Implementation and Practice (8e edition). Pearson.</w:t>
      </w:r>
    </w:p>
    <w:p>
      <w:pPr>
        <w:spacing w:after="120"/>
        <w:ind w:left="454" w:hanging="454"/>
      </w:pPr>
      <w:r>
        <w:rPr>
          <w:rFonts w:ascii="Times New Roman" w:hAnsi="Times New Roman"/>
          <w:b w:val="0"/>
          <w:i w:val="0"/>
          <w:color w:val="1A1A1A"/>
          <w:sz w:val="23"/>
        </w:rPr>
        <w:t>Kotler, P., Kartajaya, H., &amp; Setiawan, I. (2021). Marketing 5.0: Technology for Humanity. Wiley.</w:t>
      </w:r>
    </w:p>
    <w:p>
      <w:pPr>
        <w:spacing w:after="120"/>
        <w:ind w:left="454" w:hanging="454"/>
      </w:pPr>
      <w:r>
        <w:rPr>
          <w:rFonts w:ascii="Times New Roman" w:hAnsi="Times New Roman"/>
          <w:b w:val="0"/>
          <w:i w:val="0"/>
          <w:color w:val="1A1A1A"/>
          <w:sz w:val="23"/>
        </w:rPr>
        <w:t>Russell, S., &amp; Norvig, P. (2020). Artificial Intelligence: A Modern Approach (4e edition). Pearson.</w:t>
      </w:r>
    </w:p>
    <w:p>
      <w:pPr>
        <w:spacing w:after="120"/>
        <w:ind w:left="454" w:hanging="454"/>
      </w:pPr>
      <w:r>
        <w:rPr>
          <w:rFonts w:ascii="Times New Roman" w:hAnsi="Times New Roman"/>
          <w:b w:val="0"/>
          <w:i w:val="0"/>
          <w:color w:val="1A1A1A"/>
          <w:sz w:val="23"/>
        </w:rPr>
        <w:t>Marr, B. (2020). Artificial Intelligence in Practice. Wiley.</w:t>
      </w:r>
    </w:p>
    <w:p>
      <w:pPr>
        <w:spacing w:after="120"/>
        <w:ind w:left="454" w:hanging="454"/>
      </w:pPr>
      <w:r>
        <w:rPr>
          <w:rFonts w:ascii="Times New Roman" w:hAnsi="Times New Roman"/>
          <w:b w:val="0"/>
          <w:i w:val="0"/>
          <w:color w:val="1A1A1A"/>
          <w:sz w:val="23"/>
        </w:rPr>
        <w:t>Davenport, T. H., &amp; Ronanki, R. (2018). Artificial Intelligence for the Real World. Harvard Business Review, vol. 96(1), pp. 108-116.</w:t>
      </w:r>
    </w:p>
    <w:p>
      <w:pPr>
        <w:spacing w:before="240" w:after="120"/>
      </w:pPr>
      <w:r>
        <w:rPr>
          <w:rFonts w:ascii="Times New Roman" w:hAnsi="Times New Roman"/>
          <w:b/>
          <w:i w:val="0"/>
          <w:color w:val="1F4E79"/>
          <w:sz w:val="28"/>
        </w:rPr>
        <w:t>Ressources professionnelles et documentation technique</w:t>
      </w:r>
    </w:p>
    <w:p>
      <w:pPr>
        <w:spacing w:after="120"/>
        <w:ind w:left="454" w:hanging="454"/>
      </w:pPr>
      <w:r>
        <w:rPr>
          <w:rFonts w:ascii="Times New Roman" w:hAnsi="Times New Roman"/>
          <w:b w:val="0"/>
          <w:i w:val="0"/>
          <w:color w:val="1A1A1A"/>
          <w:sz w:val="23"/>
        </w:rPr>
        <w:t>Agence Nationale de Reglementation des Telecommunications - ANRT (2024). Tableau de bord du marche des telecommunications au Maroc. Disponible sur : anrt.ma.</w:t>
      </w:r>
    </w:p>
    <w:p>
      <w:pPr>
        <w:spacing w:after="120"/>
        <w:ind w:left="454" w:hanging="454"/>
      </w:pPr>
      <w:r>
        <w:rPr>
          <w:rFonts w:ascii="Times New Roman" w:hAnsi="Times New Roman"/>
          <w:b w:val="0"/>
          <w:i w:val="0"/>
          <w:color w:val="1A1A1A"/>
          <w:sz w:val="23"/>
        </w:rPr>
        <w:t>Google Ads Help (2024). A propos des campagnes Performance Max. Disponible sur : support.google.com/google-ads.</w:t>
      </w:r>
    </w:p>
    <w:p>
      <w:pPr>
        <w:spacing w:after="120"/>
        <w:ind w:left="454" w:hanging="454"/>
      </w:pPr>
      <w:r>
        <w:rPr>
          <w:rFonts w:ascii="Times New Roman" w:hAnsi="Times New Roman"/>
          <w:b w:val="0"/>
          <w:i w:val="0"/>
          <w:color w:val="1A1A1A"/>
          <w:sz w:val="23"/>
        </w:rPr>
        <w:t>Kuaishou Technology (2024). Kling AI - Generative Video Platform. Documentation officielle. Disponible sur : kling.kuaishou.com.</w:t>
      </w:r>
    </w:p>
    <w:p>
      <w:pPr>
        <w:spacing w:after="120"/>
        <w:ind w:left="454" w:hanging="454"/>
      </w:pPr>
      <w:r>
        <w:rPr>
          <w:rFonts w:ascii="Times New Roman" w:hAnsi="Times New Roman"/>
          <w:b w:val="0"/>
          <w:i w:val="0"/>
          <w:color w:val="1A1A1A"/>
          <w:sz w:val="23"/>
        </w:rPr>
        <w:t>Meta for Business (2024). Guide des bonnes pratiques Meta Ads. Disponible sur : business.facebook.com.</w:t>
      </w:r>
    </w:p>
    <w:p>
      <w:pPr>
        <w:spacing w:before="240" w:after="120"/>
      </w:pPr>
      <w:r>
        <w:rPr>
          <w:rFonts w:ascii="Times New Roman" w:hAnsi="Times New Roman"/>
          <w:b/>
          <w:i w:val="0"/>
          <w:color w:val="1F4E79"/>
          <w:sz w:val="28"/>
        </w:rPr>
        <w:t>Articles et rapports sectoriels</w:t>
      </w:r>
    </w:p>
    <w:p>
      <w:pPr>
        <w:spacing w:after="120"/>
        <w:ind w:left="454" w:hanging="454"/>
      </w:pPr>
      <w:r>
        <w:rPr>
          <w:rFonts w:ascii="Times New Roman" w:hAnsi="Times New Roman"/>
          <w:b w:val="0"/>
          <w:i w:val="0"/>
          <w:color w:val="1A1A1A"/>
          <w:sz w:val="23"/>
        </w:rPr>
        <w:t>Gartner (2024). Hype Cycle for Artificial Intelligence. Gartner Research Report.</w:t>
      </w:r>
    </w:p>
    <w:p>
      <w:pPr>
        <w:spacing w:after="120"/>
        <w:ind w:left="454" w:hanging="454"/>
      </w:pPr>
      <w:r>
        <w:rPr>
          <w:rFonts w:ascii="Times New Roman" w:hAnsi="Times New Roman"/>
          <w:b w:val="0"/>
          <w:i w:val="0"/>
          <w:color w:val="1A1A1A"/>
          <w:sz w:val="23"/>
        </w:rPr>
        <w:t>McKinsey &amp; Company (2023). The Economic Potential of Generative AI: The Next Productivity Frontier. McKinsey Global Institute.</w:t>
      </w:r>
    </w:p>
    <w:p>
      <w:pPr>
        <w:spacing w:after="120"/>
        <w:ind w:left="454" w:hanging="454"/>
      </w:pPr>
      <w:r>
        <w:rPr>
          <w:rFonts w:ascii="Times New Roman" w:hAnsi="Times New Roman"/>
          <w:b w:val="0"/>
          <w:i w:val="0"/>
          <w:color w:val="1A1A1A"/>
          <w:sz w:val="23"/>
        </w:rPr>
        <w:t>OECD (2023). Artificial Intelligence in Society. OECD Publishing, Paris.</w:t>
      </w:r>
    </w:p>
    <w:p>
      <w:r>
        <w:br w:type="page"/>
      </w:r>
    </w:p>
    <w:p>
      <w:pPr>
        <w:spacing w:before="120" w:after="280"/>
        <w:jc w:val="left"/>
        <w:pBdr>
          <w:bottom w:val="single" w:sz="6" w:space="6" w:color="1F4E79"/>
        </w:pBdr>
      </w:pPr>
      <w:r>
        <w:rPr>
          <w:rFonts w:ascii="Times New Roman" w:hAnsi="Times New Roman"/>
          <w:b/>
          <w:i w:val="0"/>
          <w:color w:val="1F4E79"/>
          <w:sz w:val="36"/>
        </w:rPr>
        <w:t>Annexes</w:t>
      </w:r>
    </w:p>
    <w:p>
      <w:pPr>
        <w:spacing w:before="240" w:after="120"/>
      </w:pPr>
      <w:r>
        <w:rPr>
          <w:rFonts w:ascii="Times New Roman" w:hAnsi="Times New Roman"/>
          <w:b/>
          <w:i w:val="0"/>
          <w:color w:val="1F4E79"/>
          <w:sz w:val="28"/>
        </w:rPr>
        <w:t>Annexe A - Guide d'entretien semi-directif</w:t>
      </w:r>
    </w:p>
    <w:p>
      <w:pPr>
        <w:spacing w:after="120"/>
        <w:jc w:val="both"/>
      </w:pPr>
      <w:r>
        <w:rPr>
          <w:rFonts w:ascii="Times New Roman" w:hAnsi="Times New Roman"/>
          <w:b w:val="0"/>
          <w:i w:val="0"/>
          <w:color w:val="1A1A1A"/>
          <w:sz w:val="24"/>
        </w:rPr>
        <w:t>Le guide d'entretien utilise pour la phase qualitative s'articulait autour des themes suivants :</w:t>
      </w:r>
    </w:p>
    <w:p>
      <w:pPr>
        <w:pStyle w:val="ListBullet"/>
        <w:spacing w:after="60"/>
        <w:jc w:val="both"/>
      </w:pPr>
      <w:r>
        <w:rPr>
          <w:rFonts w:ascii="Times New Roman" w:hAnsi="Times New Roman"/>
          <w:b w:val="0"/>
          <w:i w:val="0"/>
          <w:color w:val="1A1A1A"/>
          <w:sz w:val="23"/>
        </w:rPr>
        <w:t>Quels outils d'IA utilisez-vous dans votre pratique marketing quotidienne ?</w:t>
      </w:r>
    </w:p>
    <w:p>
      <w:pPr>
        <w:pStyle w:val="ListBullet"/>
        <w:spacing w:after="60"/>
        <w:jc w:val="both"/>
      </w:pPr>
      <w:r>
        <w:rPr>
          <w:rFonts w:ascii="Times New Roman" w:hAnsi="Times New Roman"/>
          <w:b w:val="0"/>
          <w:i w:val="0"/>
          <w:color w:val="1A1A1A"/>
          <w:sz w:val="23"/>
        </w:rPr>
        <w:t>Pour quelles taches l'IA vous apporte-t-elle le plus de valeur ?</w:t>
      </w:r>
    </w:p>
    <w:p>
      <w:pPr>
        <w:pStyle w:val="ListBullet"/>
        <w:spacing w:after="60"/>
        <w:jc w:val="both"/>
      </w:pPr>
      <w:r>
        <w:rPr>
          <w:rFonts w:ascii="Times New Roman" w:hAnsi="Times New Roman"/>
          <w:b w:val="0"/>
          <w:i w:val="0"/>
          <w:color w:val="1A1A1A"/>
          <w:sz w:val="23"/>
        </w:rPr>
        <w:t>Quels sont, selon vous, les principaux freins a l'adoption de l'IA dans votre structure ?</w:t>
      </w:r>
    </w:p>
    <w:p>
      <w:pPr>
        <w:pStyle w:val="ListBullet"/>
        <w:spacing w:after="60"/>
        <w:jc w:val="both"/>
      </w:pPr>
      <w:r>
        <w:rPr>
          <w:rFonts w:ascii="Times New Roman" w:hAnsi="Times New Roman"/>
          <w:b w:val="0"/>
          <w:i w:val="0"/>
          <w:color w:val="1A1A1A"/>
          <w:sz w:val="23"/>
        </w:rPr>
        <w:t>Comment evaluez-vous la qualite des contenus generes par IA par rapport a une production humaine ?</w:t>
      </w:r>
    </w:p>
    <w:p>
      <w:pPr>
        <w:pStyle w:val="ListBullet"/>
        <w:spacing w:after="60"/>
        <w:jc w:val="both"/>
      </w:pPr>
      <w:r>
        <w:rPr>
          <w:rFonts w:ascii="Times New Roman" w:hAnsi="Times New Roman"/>
          <w:b w:val="0"/>
          <w:i w:val="0"/>
          <w:color w:val="1A1A1A"/>
          <w:sz w:val="23"/>
        </w:rPr>
        <w:t>Quelle place accordez-vous a la supervision humaine dans vos processus assistes par IA ?</w:t>
      </w:r>
    </w:p>
    <w:p>
      <w:pPr>
        <w:pStyle w:val="ListBullet"/>
        <w:spacing w:after="60"/>
        <w:jc w:val="both"/>
      </w:pPr>
      <w:r>
        <w:rPr>
          <w:rFonts w:ascii="Times New Roman" w:hAnsi="Times New Roman"/>
          <w:b w:val="0"/>
          <w:i w:val="0"/>
          <w:color w:val="1A1A1A"/>
          <w:sz w:val="23"/>
        </w:rPr>
        <w:t>Comment mesurez-vous l'impact de l'IA sur les performances de vos campagnes ?</w:t>
      </w:r>
    </w:p>
    <w:p>
      <w:pPr>
        <w:pStyle w:val="ListBullet"/>
        <w:spacing w:after="60"/>
        <w:jc w:val="both"/>
      </w:pPr>
      <w:r>
        <w:rPr>
          <w:rFonts w:ascii="Times New Roman" w:hAnsi="Times New Roman"/>
          <w:b w:val="0"/>
          <w:i w:val="0"/>
          <w:color w:val="1A1A1A"/>
          <w:sz w:val="23"/>
        </w:rPr>
        <w:t>Comment imaginez-vous l'evolution de votre metier dans les trois prochaines annees ?</w:t>
      </w:r>
    </w:p>
    <w:p>
      <w:pPr>
        <w:spacing w:before="240" w:after="120"/>
      </w:pPr>
      <w:r>
        <w:rPr>
          <w:rFonts w:ascii="Times New Roman" w:hAnsi="Times New Roman"/>
          <w:b/>
          <w:i w:val="0"/>
          <w:color w:val="1F4E79"/>
          <w:sz w:val="28"/>
        </w:rPr>
        <w:t>Annexe B - Structure du questionnaire quantitatif</w:t>
      </w:r>
    </w:p>
    <w:p>
      <w:pPr>
        <w:spacing w:after="120"/>
        <w:jc w:val="both"/>
      </w:pPr>
      <w:r>
        <w:rPr>
          <w:rFonts w:ascii="Times New Roman" w:hAnsi="Times New Roman"/>
          <w:b w:val="0"/>
          <w:i w:val="0"/>
          <w:color w:val="1A1A1A"/>
          <w:sz w:val="24"/>
        </w:rPr>
        <w:t>Le questionnaire en ligne (Google Forms) etait structure en quatre sections :</w:t>
      </w:r>
    </w:p>
    <w:p>
      <w:pPr>
        <w:pStyle w:val="ListNumber"/>
        <w:spacing w:after="60"/>
        <w:jc w:val="both"/>
      </w:pPr>
      <w:r>
        <w:rPr>
          <w:rFonts w:ascii="Times New Roman" w:hAnsi="Times New Roman"/>
          <w:b/>
          <w:i w:val="0"/>
          <w:color w:val="1A1A1A"/>
          <w:sz w:val="23"/>
        </w:rPr>
        <w:t>Profil du repondant :</w:t>
      </w:r>
      <w:r>
        <w:rPr>
          <w:rFonts w:ascii="Times New Roman" w:hAnsi="Times New Roman"/>
          <w:b w:val="0"/>
          <w:i w:val="0"/>
          <w:color w:val="1A1A1A"/>
          <w:sz w:val="23"/>
        </w:rPr>
        <w:t xml:space="preserve"> type de structure, anciennete, secteur, tranche d'age.</w:t>
      </w:r>
    </w:p>
    <w:p>
      <w:pPr>
        <w:pStyle w:val="ListNumber"/>
        <w:spacing w:after="60"/>
        <w:jc w:val="both"/>
      </w:pPr>
      <w:r>
        <w:rPr>
          <w:rFonts w:ascii="Times New Roman" w:hAnsi="Times New Roman"/>
          <w:b/>
          <w:i w:val="0"/>
          <w:color w:val="1A1A1A"/>
          <w:sz w:val="23"/>
        </w:rPr>
        <w:t>Adoption de l'IA :</w:t>
      </w:r>
      <w:r>
        <w:rPr>
          <w:rFonts w:ascii="Times New Roman" w:hAnsi="Times New Roman"/>
          <w:b w:val="0"/>
          <w:i w:val="0"/>
          <w:color w:val="1A1A1A"/>
          <w:sz w:val="23"/>
        </w:rPr>
        <w:t xml:space="preserve"> outils utilises, frequence d'usage, taches concernees.</w:t>
      </w:r>
    </w:p>
    <w:p>
      <w:pPr>
        <w:pStyle w:val="ListNumber"/>
        <w:spacing w:after="60"/>
        <w:jc w:val="both"/>
      </w:pPr>
      <w:r>
        <w:rPr>
          <w:rFonts w:ascii="Times New Roman" w:hAnsi="Times New Roman"/>
          <w:b/>
          <w:i w:val="0"/>
          <w:color w:val="1A1A1A"/>
          <w:sz w:val="23"/>
        </w:rPr>
        <w:t>Impact percu :</w:t>
      </w:r>
      <w:r>
        <w:rPr>
          <w:rFonts w:ascii="Times New Roman" w:hAnsi="Times New Roman"/>
          <w:b w:val="0"/>
          <w:i w:val="0"/>
          <w:color w:val="1A1A1A"/>
          <w:sz w:val="23"/>
        </w:rPr>
        <w:t xml:space="preserve"> effets sur les couts, l'engagement, le taux de clics, le temps de production.</w:t>
      </w:r>
    </w:p>
    <w:p>
      <w:pPr>
        <w:pStyle w:val="ListNumber"/>
        <w:spacing w:after="60"/>
        <w:jc w:val="both"/>
      </w:pPr>
      <w:r>
        <w:rPr>
          <w:rFonts w:ascii="Times New Roman" w:hAnsi="Times New Roman"/>
          <w:b/>
          <w:i w:val="0"/>
          <w:color w:val="1A1A1A"/>
          <w:sz w:val="23"/>
        </w:rPr>
        <w:t>Perception du contenu IA :</w:t>
      </w:r>
      <w:r>
        <w:rPr>
          <w:rFonts w:ascii="Times New Roman" w:hAnsi="Times New Roman"/>
          <w:b w:val="0"/>
          <w:i w:val="0"/>
          <w:color w:val="1A1A1A"/>
          <w:sz w:val="23"/>
        </w:rPr>
        <w:t xml:space="preserve"> qualite, authenticite, comparaison avec la production humaine.</w:t>
      </w:r>
    </w:p>
    <w:p>
      <w:pPr>
        <w:spacing w:before="240" w:after="120"/>
      </w:pPr>
      <w:r>
        <w:rPr>
          <w:rFonts w:ascii="Times New Roman" w:hAnsi="Times New Roman"/>
          <w:b/>
          <w:i w:val="0"/>
          <w:color w:val="1F4E79"/>
          <w:sz w:val="28"/>
        </w:rPr>
        <w:t>Annexe C - Recapitulatif des storyboards</w:t>
      </w:r>
    </w:p>
    <w:p>
      <w:pPr>
        <w:spacing w:after="120"/>
        <w:jc w:val="both"/>
      </w:pPr>
      <w:r>
        <w:rPr>
          <w:rFonts w:ascii="Times New Roman" w:hAnsi="Times New Roman"/>
          <w:b w:val="0"/>
          <w:i w:val="0"/>
          <w:color w:val="1A1A1A"/>
          <w:sz w:val="24"/>
        </w:rPr>
        <w:t>Les decoupages plan par plan des deux videos figurent aux tableaux 6.3 (Video 1 - L'Evasion) et 6.4 (Video 2 - La Mascotte) du chapitre 6. Ils ont servi de base a la redaction des prompts soumis a Kling AI et a l'assemblage realise sous Nano Banana Pro.</w:t>
      </w:r>
    </w:p>
    <w:p>
      <w:pPr>
        <w:spacing w:before="240" w:after="120"/>
      </w:pPr>
      <w:r>
        <w:rPr>
          <w:rFonts w:ascii="Times New Roman" w:hAnsi="Times New Roman"/>
          <w:b/>
          <w:i w:val="0"/>
          <w:color w:val="1F4E79"/>
          <w:sz w:val="28"/>
        </w:rPr>
        <w:t>Annexe D - Calendrier editorial social media</w:t>
      </w:r>
    </w:p>
    <w:p>
      <w:pPr>
        <w:spacing w:before="160" w:after="40"/>
        <w:jc w:val="left"/>
      </w:pPr>
      <w:r>
        <w:rPr>
          <w:rFonts w:ascii="Times New Roman" w:hAnsi="Times New Roman"/>
          <w:b/>
          <w:i/>
          <w:color w:val="1F4E79"/>
          <w:sz w:val="20"/>
        </w:rPr>
        <w:t>Tableau D.1 - Calendrier editorial synthetique de la campagne</w:t>
      </w:r>
    </w:p>
    <w:tbl>
      <w:tblPr>
        <w:tblStyle w:val="LightGrid-Accent1"/>
        <w:tblW w:type="auto" w:w="0"/>
        <w:jc w:val="center"/>
        <w:tblLook w:firstColumn="1" w:firstRow="1" w:lastColumn="0" w:lastRow="0" w:noHBand="0" w:noVBand="1" w:val="04A0"/>
      </w:tblPr>
      <w:tblGrid>
        <w:gridCol w:w="3041"/>
        <w:gridCol w:w="3041"/>
        <w:gridCol w:w="3041"/>
      </w:tblGrid>
      <w:tr>
        <w:tc>
          <w:tcPr>
            <w:tcW w:type="dxa" w:w="1587"/>
            <w:shd w:val="clear" w:fill="1F4E79"/>
          </w:tcPr>
          <w:p>
            <w:pPr>
              <w:jc w:val="center"/>
            </w:pPr>
            <w:r/>
            <w:r>
              <w:rPr>
                <w:rFonts w:ascii="Times New Roman" w:hAnsi="Times New Roman"/>
                <w:b/>
                <w:i w:val="0"/>
                <w:color w:val="FFFFFF"/>
                <w:sz w:val="21"/>
              </w:rPr>
              <w:t>Jalon</w:t>
            </w:r>
          </w:p>
        </w:tc>
        <w:tc>
          <w:tcPr>
            <w:tcW w:type="dxa" w:w="4195"/>
            <w:shd w:val="clear" w:fill="1F4E79"/>
          </w:tcPr>
          <w:p>
            <w:pPr>
              <w:jc w:val="center"/>
            </w:pPr>
            <w:r/>
            <w:r>
              <w:rPr>
                <w:rFonts w:ascii="Times New Roman" w:hAnsi="Times New Roman"/>
                <w:b/>
                <w:i w:val="0"/>
                <w:color w:val="FFFFFF"/>
                <w:sz w:val="21"/>
              </w:rPr>
              <w:t>Contenu</w:t>
            </w:r>
          </w:p>
        </w:tc>
        <w:tc>
          <w:tcPr>
            <w:tcW w:type="dxa" w:w="3175"/>
            <w:shd w:val="clear" w:fill="1F4E79"/>
          </w:tcPr>
          <w:p>
            <w:pPr>
              <w:jc w:val="center"/>
            </w:pPr>
            <w:r/>
            <w:r>
              <w:rPr>
                <w:rFonts w:ascii="Times New Roman" w:hAnsi="Times New Roman"/>
                <w:b/>
                <w:i w:val="0"/>
                <w:color w:val="FFFFFF"/>
                <w:sz w:val="21"/>
              </w:rPr>
              <w:t>Plateforme(s)</w:t>
            </w:r>
          </w:p>
        </w:tc>
      </w:tr>
      <w:tr>
        <w:tc>
          <w:tcPr>
            <w:tcW w:type="dxa" w:w="1587"/>
          </w:tcPr>
          <w:p>
            <w:pPr>
              <w:jc w:val="left"/>
            </w:pPr>
            <w:r/>
            <w:r>
              <w:rPr>
                <w:rFonts w:ascii="Times New Roman" w:hAnsi="Times New Roman"/>
                <w:b w:val="0"/>
                <w:i w:val="0"/>
                <w:color w:val="1A1A1A"/>
                <w:sz w:val="21"/>
              </w:rPr>
              <w:t>J-30</w:t>
            </w:r>
          </w:p>
        </w:tc>
        <w:tc>
          <w:tcPr>
            <w:tcW w:type="dxa" w:w="4195"/>
          </w:tcPr>
          <w:p>
            <w:pPr>
              <w:jc w:val="center"/>
            </w:pPr>
            <w:r/>
            <w:r>
              <w:rPr>
                <w:rFonts w:ascii="Times New Roman" w:hAnsi="Times New Roman"/>
                <w:b w:val="0"/>
                <w:i w:val="0"/>
                <w:color w:val="1A1A1A"/>
                <w:sz w:val="21"/>
              </w:rPr>
              <w:t>Lancement du teasing - Video 1</w:t>
            </w:r>
          </w:p>
        </w:tc>
        <w:tc>
          <w:tcPr>
            <w:tcW w:type="dxa" w:w="3175"/>
          </w:tcPr>
          <w:p>
            <w:pPr>
              <w:jc w:val="center"/>
            </w:pPr>
            <w:r/>
            <w:r>
              <w:rPr>
                <w:rFonts w:ascii="Times New Roman" w:hAnsi="Times New Roman"/>
                <w:b w:val="0"/>
                <w:i w:val="0"/>
                <w:color w:val="1A1A1A"/>
                <w:sz w:val="21"/>
              </w:rPr>
              <w:t>YouTube, Instagram, Facebook</w:t>
            </w:r>
          </w:p>
        </w:tc>
      </w:tr>
      <w:tr>
        <w:tc>
          <w:tcPr>
            <w:tcW w:type="dxa" w:w="1587"/>
          </w:tcPr>
          <w:p>
            <w:pPr>
              <w:jc w:val="left"/>
            </w:pPr>
            <w:r/>
            <w:r>
              <w:rPr>
                <w:rFonts w:ascii="Times New Roman" w:hAnsi="Times New Roman"/>
                <w:b w:val="0"/>
                <w:i w:val="0"/>
                <w:color w:val="1A1A1A"/>
                <w:sz w:val="21"/>
              </w:rPr>
              <w:t>J-21</w:t>
            </w:r>
          </w:p>
        </w:tc>
        <w:tc>
          <w:tcPr>
            <w:tcW w:type="dxa" w:w="4195"/>
          </w:tcPr>
          <w:p>
            <w:pPr>
              <w:jc w:val="center"/>
            </w:pPr>
            <w:r/>
            <w:r>
              <w:rPr>
                <w:rFonts w:ascii="Times New Roman" w:hAnsi="Times New Roman"/>
                <w:b w:val="0"/>
                <w:i w:val="0"/>
                <w:color w:val="1A1A1A"/>
                <w:sz w:val="21"/>
              </w:rPr>
              <w:t>Carrousel d'indices</w:t>
            </w:r>
          </w:p>
        </w:tc>
        <w:tc>
          <w:tcPr>
            <w:tcW w:type="dxa" w:w="3175"/>
          </w:tcPr>
          <w:p>
            <w:pPr>
              <w:jc w:val="center"/>
            </w:pPr>
            <w:r/>
            <w:r>
              <w:rPr>
                <w:rFonts w:ascii="Times New Roman" w:hAnsi="Times New Roman"/>
                <w:b w:val="0"/>
                <w:i w:val="0"/>
                <w:color w:val="1A1A1A"/>
                <w:sz w:val="21"/>
              </w:rPr>
              <w:t>Instagram, Facebook</w:t>
            </w:r>
          </w:p>
        </w:tc>
      </w:tr>
      <w:tr>
        <w:tc>
          <w:tcPr>
            <w:tcW w:type="dxa" w:w="1587"/>
          </w:tcPr>
          <w:p>
            <w:pPr>
              <w:jc w:val="left"/>
            </w:pPr>
            <w:r/>
            <w:r>
              <w:rPr>
                <w:rFonts w:ascii="Times New Roman" w:hAnsi="Times New Roman"/>
                <w:b w:val="0"/>
                <w:i w:val="0"/>
                <w:color w:val="1A1A1A"/>
                <w:sz w:val="21"/>
              </w:rPr>
              <w:t>J-15</w:t>
            </w:r>
          </w:p>
        </w:tc>
        <w:tc>
          <w:tcPr>
            <w:tcW w:type="dxa" w:w="4195"/>
          </w:tcPr>
          <w:p>
            <w:pPr>
              <w:jc w:val="center"/>
            </w:pPr>
            <w:r/>
            <w:r>
              <w:rPr>
                <w:rFonts w:ascii="Times New Roman" w:hAnsi="Times New Roman"/>
                <w:b w:val="0"/>
                <w:i w:val="0"/>
                <w:color w:val="1A1A1A"/>
                <w:sz w:val="21"/>
              </w:rPr>
              <w:t>Story compte a rebours + sondage</w:t>
            </w:r>
          </w:p>
        </w:tc>
        <w:tc>
          <w:tcPr>
            <w:tcW w:type="dxa" w:w="3175"/>
          </w:tcPr>
          <w:p>
            <w:pPr>
              <w:jc w:val="center"/>
            </w:pPr>
            <w:r/>
            <w:r>
              <w:rPr>
                <w:rFonts w:ascii="Times New Roman" w:hAnsi="Times New Roman"/>
                <w:b w:val="0"/>
                <w:i w:val="0"/>
                <w:color w:val="1A1A1A"/>
                <w:sz w:val="21"/>
              </w:rPr>
              <w:t>Instagram</w:t>
            </w:r>
          </w:p>
        </w:tc>
      </w:tr>
      <w:tr>
        <w:tc>
          <w:tcPr>
            <w:tcW w:type="dxa" w:w="1587"/>
          </w:tcPr>
          <w:p>
            <w:pPr>
              <w:jc w:val="left"/>
            </w:pPr>
            <w:r/>
            <w:r>
              <w:rPr>
                <w:rFonts w:ascii="Times New Roman" w:hAnsi="Times New Roman"/>
                <w:b w:val="0"/>
                <w:i w:val="0"/>
                <w:color w:val="1A1A1A"/>
                <w:sz w:val="21"/>
              </w:rPr>
              <w:t>J-10</w:t>
            </w:r>
          </w:p>
        </w:tc>
        <w:tc>
          <w:tcPr>
            <w:tcW w:type="dxa" w:w="4195"/>
          </w:tcPr>
          <w:p>
            <w:pPr>
              <w:jc w:val="center"/>
            </w:pPr>
            <w:r/>
            <w:r>
              <w:rPr>
                <w:rFonts w:ascii="Times New Roman" w:hAnsi="Times New Roman"/>
                <w:b w:val="0"/>
                <w:i w:val="0"/>
                <w:color w:val="1A1A1A"/>
                <w:sz w:val="21"/>
              </w:rPr>
              <w:t>Reel coulisses (production IA)</w:t>
            </w:r>
          </w:p>
        </w:tc>
        <w:tc>
          <w:tcPr>
            <w:tcW w:type="dxa" w:w="3175"/>
          </w:tcPr>
          <w:p>
            <w:pPr>
              <w:jc w:val="center"/>
            </w:pPr>
            <w:r/>
            <w:r>
              <w:rPr>
                <w:rFonts w:ascii="Times New Roman" w:hAnsi="Times New Roman"/>
                <w:b w:val="0"/>
                <w:i w:val="0"/>
                <w:color w:val="1A1A1A"/>
                <w:sz w:val="21"/>
              </w:rPr>
              <w:t>Instagram, TikTok</w:t>
            </w:r>
          </w:p>
        </w:tc>
      </w:tr>
      <w:tr>
        <w:tc>
          <w:tcPr>
            <w:tcW w:type="dxa" w:w="1587"/>
          </w:tcPr>
          <w:p>
            <w:pPr>
              <w:jc w:val="left"/>
            </w:pPr>
            <w:r/>
            <w:r>
              <w:rPr>
                <w:rFonts w:ascii="Times New Roman" w:hAnsi="Times New Roman"/>
                <w:b w:val="0"/>
                <w:i w:val="0"/>
                <w:color w:val="1A1A1A"/>
                <w:sz w:val="21"/>
              </w:rPr>
              <w:t>J-7</w:t>
            </w:r>
          </w:p>
        </w:tc>
        <w:tc>
          <w:tcPr>
            <w:tcW w:type="dxa" w:w="4195"/>
          </w:tcPr>
          <w:p>
            <w:pPr>
              <w:jc w:val="center"/>
            </w:pPr>
            <w:r/>
            <w:r>
              <w:rPr>
                <w:rFonts w:ascii="Times New Roman" w:hAnsi="Times New Roman"/>
                <w:b w:val="0"/>
                <w:i w:val="0"/>
                <w:color w:val="1A1A1A"/>
                <w:sz w:val="21"/>
              </w:rPr>
              <w:t>Post compte a rebours</w:t>
            </w:r>
          </w:p>
        </w:tc>
        <w:tc>
          <w:tcPr>
            <w:tcW w:type="dxa" w:w="3175"/>
          </w:tcPr>
          <w:p>
            <w:pPr>
              <w:jc w:val="center"/>
            </w:pPr>
            <w:r/>
            <w:r>
              <w:rPr>
                <w:rFonts w:ascii="Times New Roman" w:hAnsi="Times New Roman"/>
                <w:b w:val="0"/>
                <w:i w:val="0"/>
                <w:color w:val="1A1A1A"/>
                <w:sz w:val="21"/>
              </w:rPr>
              <w:t>Toutes plateformes</w:t>
            </w:r>
          </w:p>
        </w:tc>
      </w:tr>
      <w:tr>
        <w:tc>
          <w:tcPr>
            <w:tcW w:type="dxa" w:w="1587"/>
          </w:tcPr>
          <w:p>
            <w:pPr>
              <w:jc w:val="left"/>
            </w:pPr>
            <w:r/>
            <w:r>
              <w:rPr>
                <w:rFonts w:ascii="Times New Roman" w:hAnsi="Times New Roman"/>
                <w:b w:val="0"/>
                <w:i w:val="0"/>
                <w:color w:val="1A1A1A"/>
                <w:sz w:val="21"/>
              </w:rPr>
              <w:t>J-3</w:t>
            </w:r>
          </w:p>
        </w:tc>
        <w:tc>
          <w:tcPr>
            <w:tcW w:type="dxa" w:w="4195"/>
          </w:tcPr>
          <w:p>
            <w:pPr>
              <w:jc w:val="center"/>
            </w:pPr>
            <w:r/>
            <w:r>
              <w:rPr>
                <w:rFonts w:ascii="Times New Roman" w:hAnsi="Times New Roman"/>
                <w:b w:val="0"/>
                <w:i w:val="0"/>
                <w:color w:val="1A1A1A"/>
                <w:sz w:val="21"/>
              </w:rPr>
              <w:t>Annonce de la date d'ouverture</w:t>
            </w:r>
          </w:p>
        </w:tc>
        <w:tc>
          <w:tcPr>
            <w:tcW w:type="dxa" w:w="3175"/>
          </w:tcPr>
          <w:p>
            <w:pPr>
              <w:jc w:val="center"/>
            </w:pPr>
            <w:r/>
            <w:r>
              <w:rPr>
                <w:rFonts w:ascii="Times New Roman" w:hAnsi="Times New Roman"/>
                <w:b w:val="0"/>
                <w:i w:val="0"/>
                <w:color w:val="1A1A1A"/>
                <w:sz w:val="21"/>
              </w:rPr>
              <w:t>Toutes plateformes</w:t>
            </w:r>
          </w:p>
        </w:tc>
      </w:tr>
      <w:tr>
        <w:tc>
          <w:tcPr>
            <w:tcW w:type="dxa" w:w="1587"/>
          </w:tcPr>
          <w:p>
            <w:pPr>
              <w:jc w:val="left"/>
            </w:pPr>
            <w:r/>
            <w:r>
              <w:rPr>
                <w:rFonts w:ascii="Times New Roman" w:hAnsi="Times New Roman"/>
                <w:b w:val="0"/>
                <w:i w:val="0"/>
                <w:color w:val="1A1A1A"/>
                <w:sz w:val="21"/>
              </w:rPr>
              <w:t>J-1</w:t>
            </w:r>
          </w:p>
        </w:tc>
        <w:tc>
          <w:tcPr>
            <w:tcW w:type="dxa" w:w="4195"/>
          </w:tcPr>
          <w:p>
            <w:pPr>
              <w:jc w:val="center"/>
            </w:pPr>
            <w:r/>
            <w:r>
              <w:rPr>
                <w:rFonts w:ascii="Times New Roman" w:hAnsi="Times New Roman"/>
                <w:b w:val="0"/>
                <w:i w:val="0"/>
                <w:color w:val="1A1A1A"/>
                <w:sz w:val="21"/>
              </w:rPr>
              <w:t>Dernier rappel avant ouverture</w:t>
            </w:r>
          </w:p>
        </w:tc>
        <w:tc>
          <w:tcPr>
            <w:tcW w:type="dxa" w:w="3175"/>
          </w:tcPr>
          <w:p>
            <w:pPr>
              <w:jc w:val="center"/>
            </w:pPr>
            <w:r/>
            <w:r>
              <w:rPr>
                <w:rFonts w:ascii="Times New Roman" w:hAnsi="Times New Roman"/>
                <w:b w:val="0"/>
                <w:i w:val="0"/>
                <w:color w:val="1A1A1A"/>
                <w:sz w:val="21"/>
              </w:rPr>
              <w:t>Stories</w:t>
            </w:r>
          </w:p>
        </w:tc>
      </w:tr>
      <w:tr>
        <w:tc>
          <w:tcPr>
            <w:tcW w:type="dxa" w:w="1587"/>
          </w:tcPr>
          <w:p>
            <w:pPr>
              <w:jc w:val="left"/>
            </w:pPr>
            <w:r/>
            <w:r>
              <w:rPr>
                <w:rFonts w:ascii="Times New Roman" w:hAnsi="Times New Roman"/>
                <w:b w:val="0"/>
                <w:i w:val="0"/>
                <w:color w:val="1A1A1A"/>
                <w:sz w:val="21"/>
              </w:rPr>
              <w:t>Jour J</w:t>
            </w:r>
          </w:p>
        </w:tc>
        <w:tc>
          <w:tcPr>
            <w:tcW w:type="dxa" w:w="4195"/>
          </w:tcPr>
          <w:p>
            <w:pPr>
              <w:jc w:val="center"/>
            </w:pPr>
            <w:r/>
            <w:r>
              <w:rPr>
                <w:rFonts w:ascii="Times New Roman" w:hAnsi="Times New Roman"/>
                <w:b w:val="0"/>
                <w:i w:val="0"/>
                <w:color w:val="1A1A1A"/>
                <w:sz w:val="21"/>
              </w:rPr>
              <w:t>Devoilement - Video 2 (mascotte)</w:t>
            </w:r>
          </w:p>
        </w:tc>
        <w:tc>
          <w:tcPr>
            <w:tcW w:type="dxa" w:w="3175"/>
          </w:tcPr>
          <w:p>
            <w:pPr>
              <w:jc w:val="center"/>
            </w:pPr>
            <w:r/>
            <w:r>
              <w:rPr>
                <w:rFonts w:ascii="Times New Roman" w:hAnsi="Times New Roman"/>
                <w:b w:val="0"/>
                <w:i w:val="0"/>
                <w:color w:val="1A1A1A"/>
                <w:sz w:val="21"/>
              </w:rPr>
              <w:t>Toutes plateformes</w:t>
            </w:r>
          </w:p>
        </w:tc>
      </w:tr>
      <w:tr>
        <w:tc>
          <w:tcPr>
            <w:tcW w:type="dxa" w:w="1587"/>
          </w:tcPr>
          <w:p>
            <w:pPr>
              <w:jc w:val="left"/>
            </w:pPr>
            <w:r/>
            <w:r>
              <w:rPr>
                <w:rFonts w:ascii="Times New Roman" w:hAnsi="Times New Roman"/>
                <w:b w:val="0"/>
                <w:i w:val="0"/>
                <w:color w:val="1A1A1A"/>
                <w:sz w:val="21"/>
              </w:rPr>
              <w:t>J+1 a J+15</w:t>
            </w:r>
          </w:p>
        </w:tc>
        <w:tc>
          <w:tcPr>
            <w:tcW w:type="dxa" w:w="4195"/>
          </w:tcPr>
          <w:p>
            <w:pPr>
              <w:jc w:val="center"/>
            </w:pPr>
            <w:r/>
            <w:r>
              <w:rPr>
                <w:rFonts w:ascii="Times New Roman" w:hAnsi="Times New Roman"/>
                <w:b w:val="0"/>
                <w:i w:val="0"/>
                <w:color w:val="1A1A1A"/>
                <w:sz w:val="21"/>
              </w:rPr>
              <w:t>Reposts UGC, temoignages visiteurs</w:t>
            </w:r>
          </w:p>
        </w:tc>
        <w:tc>
          <w:tcPr>
            <w:tcW w:type="dxa" w:w="3175"/>
          </w:tcPr>
          <w:p>
            <w:pPr>
              <w:jc w:val="center"/>
            </w:pPr>
            <w:r/>
            <w:r>
              <w:rPr>
                <w:rFonts w:ascii="Times New Roman" w:hAnsi="Times New Roman"/>
                <w:b w:val="0"/>
                <w:i w:val="0"/>
                <w:color w:val="1A1A1A"/>
                <w:sz w:val="21"/>
              </w:rPr>
              <w:t>Instagram, Facebook</w:t>
            </w:r>
          </w:p>
        </w:tc>
      </w:tr>
    </w:tbl>
    <w:p>
      <w:pPr>
        <w:spacing w:after="80"/>
      </w:pPr>
    </w:p>
    <w:p>
      <w:pPr>
        <w:spacing w:before="240" w:after="120"/>
      </w:pPr>
      <w:r>
        <w:rPr>
          <w:rFonts w:ascii="Times New Roman" w:hAnsi="Times New Roman"/>
          <w:b/>
          <w:i w:val="0"/>
          <w:color w:val="1F4E79"/>
          <w:sz w:val="28"/>
        </w:rPr>
        <w:t>Annexe E - Note sur l'usage de l'IA dans ce travail</w:t>
      </w:r>
    </w:p>
    <w:p>
      <w:pPr>
        <w:spacing w:after="120"/>
        <w:jc w:val="both"/>
      </w:pPr>
      <w:r>
        <w:rPr>
          <w:rFonts w:ascii="Times New Roman" w:hAnsi="Times New Roman"/>
          <w:b w:val="0"/>
          <w:i w:val="0"/>
          <w:color w:val="1A1A1A"/>
          <w:sz w:val="24"/>
        </w:rPr>
        <w:t>Conformement a l'esprit de transparence evoque au chapitre 3, il est precise que les contenus de la campagne Varcadia ont ete produits a l'aide d'outils d'IA generative (Kling AI, Nano Banana Pro), sous supervision humaine constante. La conception strategique, la direction artistique, l'analyse des donnees et la redaction de ce rapport relevent du travail personnel de l'auteur.</w:t>
      </w:r>
    </w:p>
    <w:p>
      <w:r>
        <w:br w:type="page"/>
      </w:r>
    </w:p>
    <w:p>
      <w:pPr>
        <w:spacing w:before="120" w:after="280"/>
        <w:jc w:val="left"/>
        <w:pBdr>
          <w:bottom w:val="single" w:sz="6" w:space="6" w:color="1F4E79"/>
        </w:pBdr>
      </w:pPr>
      <w:r>
        <w:rPr>
          <w:rFonts w:ascii="Times New Roman" w:hAnsi="Times New Roman"/>
          <w:b/>
          <w:i w:val="0"/>
          <w:color w:val="1F4E79"/>
          <w:sz w:val="36"/>
        </w:rPr>
        <w:t>Table des matieres</w:t>
      </w:r>
    </w:p>
    <w:p>
      <w:pPr>
        <w:spacing w:after="80"/>
      </w:pPr>
      <w:r>
        <w:rPr>
          <w:rFonts w:ascii="Times New Roman" w:hAnsi="Times New Roman"/>
          <w:b/>
          <w:i w:val="0"/>
          <w:color w:val="1A1A1A"/>
          <w:sz w:val="24"/>
        </w:rPr>
        <w:t>Remerciements</w:t>
      </w:r>
    </w:p>
    <w:p>
      <w:pPr>
        <w:spacing w:after="80"/>
      </w:pPr>
      <w:r>
        <w:rPr>
          <w:rFonts w:ascii="Times New Roman" w:hAnsi="Times New Roman"/>
          <w:b/>
          <w:i w:val="0"/>
          <w:color w:val="1A1A1A"/>
          <w:sz w:val="24"/>
        </w:rPr>
        <w:t>Resume / Abstract</w:t>
      </w:r>
    </w:p>
    <w:p>
      <w:pPr>
        <w:spacing w:after="80"/>
      </w:pPr>
      <w:r>
        <w:rPr>
          <w:rFonts w:ascii="Times New Roman" w:hAnsi="Times New Roman"/>
          <w:b/>
          <w:i w:val="0"/>
          <w:color w:val="1A1A1A"/>
          <w:sz w:val="24"/>
        </w:rPr>
        <w:t>Liste des abreviations</w:t>
      </w:r>
    </w:p>
    <w:p>
      <w:pPr>
        <w:spacing w:after="80"/>
      </w:pPr>
      <w:r>
        <w:rPr>
          <w:rFonts w:ascii="Times New Roman" w:hAnsi="Times New Roman"/>
          <w:b/>
          <w:i w:val="0"/>
          <w:color w:val="1A1A1A"/>
          <w:sz w:val="24"/>
        </w:rPr>
        <w:t>Introduction generale</w:t>
      </w:r>
    </w:p>
    <w:p>
      <w:pPr>
        <w:spacing w:after="80"/>
      </w:pPr>
      <w:r>
        <w:rPr>
          <w:rFonts w:ascii="Times New Roman" w:hAnsi="Times New Roman"/>
          <w:b/>
          <w:i w:val="0"/>
          <w:color w:val="1F4E79"/>
          <w:sz w:val="24"/>
        </w:rPr>
        <w:t>PARTIE 1 - CADRE THEORIQUE ET CONCEPTUEL</w:t>
      </w:r>
    </w:p>
    <w:p>
      <w:pPr>
        <w:spacing w:after="80"/>
      </w:pPr>
      <w:r>
        <w:rPr>
          <w:rFonts w:ascii="Times New Roman" w:hAnsi="Times New Roman"/>
          <w:b/>
          <w:i w:val="0"/>
          <w:color w:val="1A1A1A"/>
          <w:sz w:val="24"/>
        </w:rPr>
        <w:t>Chapitre 1 - Le marketing digital a l'ere de l'IA</w:t>
      </w:r>
    </w:p>
    <w:p>
      <w:pPr>
        <w:spacing w:after="80"/>
      </w:pPr>
      <w:r>
        <w:rPr>
          <w:rFonts w:ascii="Times New Roman" w:hAnsi="Times New Roman"/>
          <w:b w:val="0"/>
          <w:i w:val="0"/>
          <w:color w:val="1A1A1A"/>
          <w:sz w:val="23"/>
        </w:rPr>
        <w:t xml:space="preserve">   1.1  Evolution du marketing digital</w:t>
      </w:r>
    </w:p>
    <w:p>
      <w:pPr>
        <w:spacing w:after="80"/>
      </w:pPr>
      <w:r>
        <w:rPr>
          <w:rFonts w:ascii="Times New Roman" w:hAnsi="Times New Roman"/>
          <w:b w:val="0"/>
          <w:i w:val="0"/>
          <w:color w:val="1A1A1A"/>
          <w:sz w:val="23"/>
        </w:rPr>
        <w:t xml:space="preserve">   1.2  Definition et typologies de l'IA appliquee au marketing</w:t>
      </w:r>
    </w:p>
    <w:p>
      <w:pPr>
        <w:spacing w:after="80"/>
      </w:pPr>
      <w:r>
        <w:rPr>
          <w:rFonts w:ascii="Times New Roman" w:hAnsi="Times New Roman"/>
          <w:b w:val="0"/>
          <w:i w:val="0"/>
          <w:color w:val="1A1A1A"/>
          <w:sz w:val="23"/>
        </w:rPr>
        <w:t xml:space="preserve">   1.3  Les principaux outils IA en marketing digital</w:t>
      </w:r>
    </w:p>
    <w:p>
      <w:pPr>
        <w:spacing w:after="80"/>
      </w:pPr>
      <w:r>
        <w:rPr>
          <w:rFonts w:ascii="Times New Roman" w:hAnsi="Times New Roman"/>
          <w:b w:val="0"/>
          <w:i w:val="0"/>
          <w:color w:val="1A1A1A"/>
          <w:sz w:val="23"/>
        </w:rPr>
        <w:t xml:space="preserve">   1.4  Etat de l'adoption de l'IA au Maroc</w:t>
      </w:r>
    </w:p>
    <w:p>
      <w:pPr>
        <w:spacing w:after="80"/>
      </w:pPr>
      <w:r>
        <w:rPr>
          <w:rFonts w:ascii="Times New Roman" w:hAnsi="Times New Roman"/>
          <w:b/>
          <w:i w:val="0"/>
          <w:color w:val="1A1A1A"/>
          <w:sz w:val="24"/>
        </w:rPr>
        <w:t>Chapitre 2 - L'IA au service du ciblage publicitaire</w:t>
      </w:r>
    </w:p>
    <w:p>
      <w:pPr>
        <w:spacing w:after="80"/>
      </w:pPr>
      <w:r>
        <w:rPr>
          <w:rFonts w:ascii="Times New Roman" w:hAnsi="Times New Roman"/>
          <w:b w:val="0"/>
          <w:i w:val="0"/>
          <w:color w:val="1A1A1A"/>
          <w:sz w:val="23"/>
        </w:rPr>
        <w:t xml:space="preserve">   2.1  Les fondements du ciblage</w:t>
      </w:r>
    </w:p>
    <w:p>
      <w:pPr>
        <w:spacing w:after="80"/>
      </w:pPr>
      <w:r>
        <w:rPr>
          <w:rFonts w:ascii="Times New Roman" w:hAnsi="Times New Roman"/>
          <w:b w:val="0"/>
          <w:i w:val="0"/>
          <w:color w:val="1A1A1A"/>
          <w:sz w:val="23"/>
        </w:rPr>
        <w:t xml:space="preserve">   2.2  L'apport de l'IA dans la segmentation</w:t>
      </w:r>
    </w:p>
    <w:p>
      <w:pPr>
        <w:spacing w:after="80"/>
      </w:pPr>
      <w:r>
        <w:rPr>
          <w:rFonts w:ascii="Times New Roman" w:hAnsi="Times New Roman"/>
          <w:b w:val="0"/>
          <w:i w:val="0"/>
          <w:color w:val="1A1A1A"/>
          <w:sz w:val="23"/>
        </w:rPr>
        <w:t xml:space="preserve">   2.3  Personnalisation dynamique et recommandation</w:t>
      </w:r>
    </w:p>
    <w:p>
      <w:pPr>
        <w:spacing w:after="80"/>
      </w:pPr>
      <w:r>
        <w:rPr>
          <w:rFonts w:ascii="Times New Roman" w:hAnsi="Times New Roman"/>
          <w:b w:val="0"/>
          <w:i w:val="0"/>
          <w:color w:val="1A1A1A"/>
          <w:sz w:val="23"/>
        </w:rPr>
        <w:t xml:space="preserve">   2.4  Cas d'usage : YouTube, Meta, affichage</w:t>
      </w:r>
    </w:p>
    <w:p>
      <w:pPr>
        <w:spacing w:after="80"/>
      </w:pPr>
      <w:r>
        <w:rPr>
          <w:rFonts w:ascii="Times New Roman" w:hAnsi="Times New Roman"/>
          <w:b/>
          <w:i w:val="0"/>
          <w:color w:val="1A1A1A"/>
          <w:sz w:val="24"/>
        </w:rPr>
        <w:t>Chapitre 3 - L'IA et la generation de contenu publicitaire</w:t>
      </w:r>
    </w:p>
    <w:p>
      <w:pPr>
        <w:spacing w:after="80"/>
      </w:pPr>
      <w:r>
        <w:rPr>
          <w:rFonts w:ascii="Times New Roman" w:hAnsi="Times New Roman"/>
          <w:b w:val="0"/>
          <w:i w:val="0"/>
          <w:color w:val="1A1A1A"/>
          <w:sz w:val="23"/>
        </w:rPr>
        <w:t xml:space="preserve">   3.1  Le contenu a l'ere de l'IA generative</w:t>
      </w:r>
    </w:p>
    <w:p>
      <w:pPr>
        <w:spacing w:after="80"/>
      </w:pPr>
      <w:r>
        <w:rPr>
          <w:rFonts w:ascii="Times New Roman" w:hAnsi="Times New Roman"/>
          <w:b w:val="0"/>
          <w:i w:val="0"/>
          <w:color w:val="1A1A1A"/>
          <w:sz w:val="23"/>
        </w:rPr>
        <w:t xml:space="preserve">   3.2  Kling AI et Nano Banana Pro</w:t>
      </w:r>
    </w:p>
    <w:p>
      <w:pPr>
        <w:spacing w:after="80"/>
      </w:pPr>
      <w:r>
        <w:rPr>
          <w:rFonts w:ascii="Times New Roman" w:hAnsi="Times New Roman"/>
          <w:b w:val="0"/>
          <w:i w:val="0"/>
          <w:color w:val="1A1A1A"/>
          <w:sz w:val="23"/>
        </w:rPr>
        <w:t xml:space="preserve">   3.3  Performance du contenu genere par IA</w:t>
      </w:r>
    </w:p>
    <w:p>
      <w:pPr>
        <w:spacing w:after="80"/>
      </w:pPr>
      <w:r>
        <w:rPr>
          <w:rFonts w:ascii="Times New Roman" w:hAnsi="Times New Roman"/>
          <w:b w:val="0"/>
          <w:i w:val="0"/>
          <w:color w:val="1A1A1A"/>
          <w:sz w:val="23"/>
        </w:rPr>
        <w:t xml:space="preserve">   3.4  Limites ethiques et propriete intellectuelle</w:t>
      </w:r>
    </w:p>
    <w:p>
      <w:pPr>
        <w:spacing w:after="80"/>
      </w:pPr>
      <w:r>
        <w:rPr>
          <w:rFonts w:ascii="Times New Roman" w:hAnsi="Times New Roman"/>
          <w:b/>
          <w:i w:val="0"/>
          <w:color w:val="1F4E79"/>
          <w:sz w:val="24"/>
        </w:rPr>
        <w:t>PARTIE 2 - ETUDE EMPIRIQUE ET APPLICATION PRATIQUE</w:t>
      </w:r>
    </w:p>
    <w:p>
      <w:pPr>
        <w:spacing w:after="80"/>
      </w:pPr>
      <w:r>
        <w:rPr>
          <w:rFonts w:ascii="Times New Roman" w:hAnsi="Times New Roman"/>
          <w:b/>
          <w:i w:val="0"/>
          <w:color w:val="1A1A1A"/>
          <w:sz w:val="24"/>
        </w:rPr>
        <w:t>Chapitre 4 - Methodologie de recherche</w:t>
      </w:r>
    </w:p>
    <w:p>
      <w:pPr>
        <w:spacing w:after="80"/>
      </w:pPr>
      <w:r>
        <w:rPr>
          <w:rFonts w:ascii="Times New Roman" w:hAnsi="Times New Roman"/>
          <w:b/>
          <w:i w:val="0"/>
          <w:color w:val="1A1A1A"/>
          <w:sz w:val="24"/>
        </w:rPr>
        <w:t>Chapitre 5 - Resultats et analyse</w:t>
      </w:r>
    </w:p>
    <w:p>
      <w:pPr>
        <w:spacing w:after="80"/>
      </w:pPr>
      <w:r>
        <w:rPr>
          <w:rFonts w:ascii="Times New Roman" w:hAnsi="Times New Roman"/>
          <w:b/>
          <w:i w:val="0"/>
          <w:color w:val="1A1A1A"/>
          <w:sz w:val="24"/>
        </w:rPr>
        <w:t>Chapitre 6 - Campagne Varcadia : demonstration appliquee</w:t>
      </w:r>
    </w:p>
    <w:p>
      <w:pPr>
        <w:spacing w:after="80"/>
      </w:pPr>
      <w:r>
        <w:rPr>
          <w:rFonts w:ascii="Times New Roman" w:hAnsi="Times New Roman"/>
          <w:b w:val="0"/>
          <w:i w:val="0"/>
          <w:color w:val="1A1A1A"/>
          <w:sz w:val="23"/>
        </w:rPr>
        <w:t xml:space="preserve">   6.1  Presentation du client et du contexte</w:t>
      </w:r>
    </w:p>
    <w:p>
      <w:pPr>
        <w:spacing w:after="80"/>
      </w:pPr>
      <w:r>
        <w:rPr>
          <w:rFonts w:ascii="Times New Roman" w:hAnsi="Times New Roman"/>
          <w:b w:val="0"/>
          <w:i w:val="0"/>
          <w:color w:val="1A1A1A"/>
          <w:sz w:val="23"/>
        </w:rPr>
        <w:t xml:space="preserve">   6.2  Strategie de lancement : le teasing</w:t>
      </w:r>
    </w:p>
    <w:p>
      <w:pPr>
        <w:spacing w:after="80"/>
      </w:pPr>
      <w:r>
        <w:rPr>
          <w:rFonts w:ascii="Times New Roman" w:hAnsi="Times New Roman"/>
          <w:b w:val="0"/>
          <w:i w:val="0"/>
          <w:color w:val="1A1A1A"/>
          <w:sz w:val="23"/>
        </w:rPr>
        <w:t xml:space="preserve">   6.3  Production du contenu : teaser hybride</w:t>
      </w:r>
    </w:p>
    <w:p>
      <w:pPr>
        <w:spacing w:after="80"/>
      </w:pPr>
      <w:r>
        <w:rPr>
          <w:rFonts w:ascii="Times New Roman" w:hAnsi="Times New Roman"/>
          <w:b w:val="0"/>
          <w:i w:val="0"/>
          <w:color w:val="1A1A1A"/>
          <w:sz w:val="23"/>
        </w:rPr>
        <w:t xml:space="preserve">   6.4  Analyse des deux videos de la campagne</w:t>
      </w:r>
    </w:p>
    <w:p>
      <w:pPr>
        <w:spacing w:after="80"/>
      </w:pPr>
      <w:r>
        <w:rPr>
          <w:rFonts w:ascii="Times New Roman" w:hAnsi="Times New Roman"/>
          <w:b w:val="0"/>
          <w:i w:val="0"/>
          <w:color w:val="1A1A1A"/>
          <w:sz w:val="23"/>
        </w:rPr>
        <w:t xml:space="preserve">   6.5  Les contenus social media</w:t>
      </w:r>
    </w:p>
    <w:p>
      <w:pPr>
        <w:spacing w:after="80"/>
      </w:pPr>
      <w:r>
        <w:rPr>
          <w:rFonts w:ascii="Times New Roman" w:hAnsi="Times New Roman"/>
          <w:b w:val="0"/>
          <w:i w:val="0"/>
          <w:color w:val="1A1A1A"/>
          <w:sz w:val="23"/>
        </w:rPr>
        <w:t xml:space="preserve">   6.6  Diffusion multicanale et resultats reels</w:t>
      </w:r>
    </w:p>
    <w:p>
      <w:pPr>
        <w:spacing w:after="80"/>
      </w:pPr>
      <w:r>
        <w:rPr>
          <w:rFonts w:ascii="Times New Roman" w:hAnsi="Times New Roman"/>
          <w:b w:val="0"/>
          <w:i w:val="0"/>
          <w:color w:val="1A1A1A"/>
          <w:sz w:val="23"/>
        </w:rPr>
        <w:t xml:space="preserve">   6.7  Enseignements et perspectives</w:t>
      </w:r>
    </w:p>
    <w:p>
      <w:pPr>
        <w:spacing w:after="80"/>
      </w:pPr>
      <w:r>
        <w:rPr>
          <w:rFonts w:ascii="Times New Roman" w:hAnsi="Times New Roman"/>
          <w:b/>
          <w:i w:val="0"/>
          <w:color w:val="1A1A1A"/>
          <w:sz w:val="24"/>
        </w:rPr>
        <w:t>Conclusion generale et recommandations</w:t>
      </w:r>
    </w:p>
    <w:p>
      <w:pPr>
        <w:spacing w:after="80"/>
      </w:pPr>
      <w:r>
        <w:rPr>
          <w:rFonts w:ascii="Times New Roman" w:hAnsi="Times New Roman"/>
          <w:b/>
          <w:i w:val="0"/>
          <w:color w:val="1A1A1A"/>
          <w:sz w:val="24"/>
        </w:rPr>
        <w:t>Bibliographie</w:t>
      </w:r>
    </w:p>
    <w:p>
      <w:pPr>
        <w:spacing w:after="80"/>
      </w:pPr>
      <w:r>
        <w:rPr>
          <w:rFonts w:ascii="Times New Roman" w:hAnsi="Times New Roman"/>
          <w:b/>
          <w:i w:val="0"/>
          <w:color w:val="1A1A1A"/>
          <w:sz w:val="24"/>
        </w:rPr>
        <w:t>Annexes</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olor w:val="1A1A1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