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Courier New" w:eastAsia="黑体" w:cs="Courier New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《机器学习》实验指导书</w:t>
      </w: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宋体" w:eastAsia="黑体" w:cs="Courier New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广州理工学院</w:t>
      </w:r>
      <w:r>
        <w:rPr>
          <w:rFonts w:ascii="黑体" w:hAnsi="Courier New" w:eastAsia="黑体" w:cs="Courier New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jc w:val="right"/>
        <w:rPr>
          <w:rFonts w:ascii="黑体" w:hAnsi="宋体" w:eastAsia="黑体" w:cs="Courier New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/>
        <w:jc w:val="center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机器学习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》实验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隐马尔可夫模型应用实验</w:t>
      </w:r>
    </w:p>
    <w:p>
      <w:pPr>
        <w:pStyle w:val="3"/>
        <w:spacing w:before="0" w:after="0" w:line="360" w:lineRule="auto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一、实验目的</w:t>
      </w:r>
    </w:p>
    <w:p>
      <w:pPr>
        <w:spacing w:line="360" w:lineRule="auto"/>
        <w:ind w:left="36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1）掌握隐马尔可夫模型的应用方法。</w:t>
      </w:r>
    </w:p>
    <w:p>
      <w:pPr>
        <w:spacing w:line="360" w:lineRule="auto"/>
        <w:ind w:left="36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2）掌握序列标注问题的基本处理方法。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60" w:lineRule="auto"/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二、实验内容</w:t>
      </w:r>
    </w:p>
    <w:p>
      <w:pPr>
        <w:spacing w:line="36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本次实验的具体内容是模拟全拼输入法。老师提供的训练语料（以小说《天龙八部》生成）包括许多以句子为单位的中文序列和对应的全拼拼音序列组成的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训练样本</w:t>
      </w:r>
      <w:r>
        <w:rPr>
          <w:rFonts w:hint="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训练样本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示例如下：</w:t>
      </w:r>
    </w:p>
    <w:p>
      <w:pPr>
        <w:spacing w:line="360" w:lineRule="auto"/>
        <w:ind w:left="360"/>
        <w:jc w:val="center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2920" cy="612775"/>
            <wp:effectExtent l="0" t="0" r="508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9923" cy="6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）对训练样本进行统计，得到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HMM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模型要求的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初始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概率、转移概率和观测概率，实例化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hmmlearn.hmm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模型，对测试样本进行预测。</w:t>
      </w:r>
    </w:p>
    <w:p>
      <w:pPr>
        <w:spacing w:line="360" w:lineRule="auto"/>
        <w:ind w:left="36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在提供的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hmm_model.ipynb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文件中填写代码，完成指定任务。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60" w:lineRule="auto"/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三、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实验</w:t>
      </w: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参考</w:t>
      </w:r>
    </w:p>
    <w:p>
      <w:pPr>
        <w:spacing w:line="360" w:lineRule="auto"/>
        <w:ind w:firstLine="422" w:firstLineChars="200"/>
        <w:rPr>
          <w:rFonts w:hint="default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全拼输入法</w:t>
      </w:r>
    </w:p>
    <w:p>
      <w:pPr>
        <w:spacing w:line="360" w:lineRule="auto"/>
        <w:ind w:firstLine="420" w:firstLineChars="200"/>
        <w:rPr>
          <w:rFonts w:hint="default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全拼</w:t>
      </w:r>
      <w:r>
        <w:rPr>
          <w:rFonts w:hint="default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输入法的基本功能是将键盘输入序列映射到文字序列，例如键盘按下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ni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hao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这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六</w:t>
      </w:r>
      <w:r>
        <w:rPr>
          <w:rFonts w:hint="default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个键，输出汉字“你好”。</w:t>
      </w:r>
    </w:p>
    <w:p>
      <w:pPr>
        <w:spacing w:line="360" w:lineRule="auto"/>
        <w:ind w:firstLine="420" w:firstLineChars="200"/>
        <w:rPr>
          <w:rFonts w:hint="default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由于同音字和同音词等现象的存在，无法建立字母串和汉字词的一一对应关系表，因此，需要根据上下文来判断输入的字母串应该是哪一个汉字词，如“和”和“合”、“简洁”和“简捷”等。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因此，如何利用上下文来确定正确的汉字词是拼音输入法的关键问题。该问题属于序列标注问题，因此可以采用隐马尔可夫模型、条件随机场模型和循环神经网络模型等来解决。</w:t>
      </w:r>
    </w:p>
    <w:p>
      <w:pPr>
        <w:spacing w:line="360" w:lineRule="auto"/>
        <w:ind w:firstLine="420" w:firstLineChars="200"/>
        <w:rPr>
          <w:rFonts w:hint="default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确定了合适的模型类型和结构之后，还需要有大量的样本来训练模型，才能得到一个正确率高的输入法模型。</w:t>
      </w:r>
    </w:p>
    <w:p>
      <w:pPr>
        <w:spacing w:line="360" w:lineRule="auto"/>
        <w:ind w:firstLine="422" w:firstLineChars="200"/>
        <w:rPr>
          <w:rFonts w:hint="default" w:eastAsia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隐马尔可夫模型</w:t>
      </w:r>
    </w:p>
    <w:p>
      <w:pPr>
        <w:spacing w:line="360" w:lineRule="auto"/>
        <w:ind w:firstLine="420" w:firstLineChars="20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隐马尔可夫模型是关于时间序列的概率模型，描述由一个隐藏的马尔可夫链生成不可观测的状态序列，再由状态序列生成一个观测序列的过程，序列的每一个位置可以看作是一个时刻。它常用于解决标注问题。</w:t>
      </w:r>
    </w:p>
    <w:p>
      <w:pPr>
        <w:spacing w:line="360" w:lineRule="auto"/>
        <w:ind w:firstLine="420" w:firstLineChars="200"/>
        <w:rPr>
          <w:rFonts w:hint="defaul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隐马模型相关知识参考教材6.2小节。</w:t>
      </w:r>
    </w:p>
    <w:p>
      <w:pPr>
        <w:spacing w:line="360" w:lineRule="auto"/>
        <w:ind w:firstLine="422" w:firstLineChars="200"/>
        <w:rPr>
          <w:rFonts w:hint="default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3.hmmlearn隐马尔可夫模型扩展库</w:t>
      </w:r>
    </w:p>
    <w:p>
      <w:pPr>
        <w:spacing w:line="360" w:lineRule="auto"/>
        <w:ind w:firstLine="420" w:firstLineChars="20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hmmlearn</w:t>
      </w:r>
      <w:r>
        <w:rPr>
          <w:rStyle w:val="9"/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footnoteReference w:id="0"/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曾经是scikit-learn项目的一部分，现已独立成单独的Python扩展库。hmmlearn实现了三种HMM模型类，按照观测状态是连续状态还是离散状态，可以分为两类。GaussianHMM和GMMHMM是连续观测状态的HMM模型。CategoricalHMM是离散观测状态的模型，可以用于实现拼音输入法，其原型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 hmmlearn.hmm.CategoricalHMM(  n_components=1,   # 隐藏状态的种类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630" w:firstLineChars="300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# 以下参数用于模型训练：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630" w:firstLineChars="300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n_trials=None,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630" w:firstLineChars="300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startprob_prior=1.0, # 由模型本身对初始概率分布随机初始化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630" w:firstLineChars="300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transmat_prior=1.0,  # 由模型本身对状态转移概率随机初始化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630" w:firstLineChars="300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algorithm='viterbi',  # 解码方法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630" w:firstLineChars="300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n_iter=10, # 训练迭代的次数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630" w:firstLineChars="300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tol=0.01,  # 训练结束的阈值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630" w:firstLineChars="300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verbose=False,  # 训练过程是否可见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630" w:firstLineChars="300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params='ste',  # 训练过程中更新的参数，默认为所有的参数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630" w:firstLineChars="300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init_params='ste',  # 由模型进行随机初始化的参数，默认为所有的参数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630" w:firstLineChars="300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implementation='log')  # 选择对数/缩放进行前向或后向算法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630" w:firstLineChars="300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60" w:lineRule="auto"/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四、实验要求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1"/>
        </w:rPr>
        <w:t>在提供的</w:t>
      </w:r>
      <w:r>
        <w:rPr>
          <w:szCs w:val="21"/>
        </w:rPr>
        <w:t>hmm_model.ipynb</w:t>
      </w:r>
      <w:r>
        <w:rPr>
          <w:rFonts w:hint="eastAsia"/>
          <w:szCs w:val="21"/>
        </w:rPr>
        <w:t>文件中填写代码，完成</w:t>
      </w:r>
      <w:r>
        <w:rPr>
          <w:rFonts w:hint="eastAsia"/>
          <w:szCs w:val="21"/>
          <w:lang w:val="en-US" w:eastAsia="zh-CN"/>
        </w:rPr>
        <w:t>以下</w:t>
      </w:r>
      <w:r>
        <w:rPr>
          <w:rFonts w:hint="eastAsia"/>
          <w:szCs w:val="21"/>
        </w:rPr>
        <w:t>指定任务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须运行后得到合理结果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。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default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编写代码完成对HMM模型三个概率的统计工作；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2）编写代码完成对三个概率矩阵的归一化工作；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3）缩写代码实例化</w:t>
      </w:r>
      <w:r>
        <w:rPr>
          <w:rFonts w:hint="default" w:ascii="宋体" w:hAnsi="宋体"/>
          <w:color w:val="000000" w:themeColor="text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CategoricalHM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M类，并导入三个概率矩阵；</w:t>
      </w:r>
    </w:p>
    <w:p>
      <w:pPr>
        <w:tabs>
          <w:tab w:val="left" w:pos="720"/>
        </w:tabs>
        <w:spacing w:line="360" w:lineRule="auto"/>
        <w:ind w:firstLine="420" w:firstLineChars="200"/>
        <w:rPr>
          <w:rFonts w:hint="default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4）用模型对两个测试语句进行测试，观察结果并分析原因。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Cs w:val="21"/>
        </w:rPr>
        <w:t>hmm_model.ipynb</w:t>
      </w:r>
      <w:r>
        <w:rPr>
          <w:rFonts w:hint="eastAsia"/>
          <w:szCs w:val="21"/>
        </w:rPr>
        <w:t>文件</w:t>
      </w:r>
      <w:r>
        <w:rPr>
          <w:rFonts w:hint="eastAsia"/>
          <w:szCs w:val="21"/>
          <w:lang w:val="en-US" w:eastAsia="zh-CN"/>
        </w:rPr>
        <w:t>如下所示，其中需要填写代码的地方用注释说明。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 从训练数据文件中读取样本和标签，并统计每个汉字和全拼拼音出现的次数。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 训练数据文件中，前一行为文本样本，后一行为对应的拼音标签。可用记事本打开观察一下。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 = open("traindata.txt", encoding='utf-8')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char_dict = {}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pinyin_dict = {}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lines = file.readlines()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 = True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 line in lines: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if tag: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temp_dict = char_dict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tag = False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else: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temp_dict = pinyin_dict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tag = True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for cent in line.split():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if cent in temp_dict: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temp_dict[cent] += 1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else: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temp_dict[cent] = 1    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char_id = list(char_dict) # 用列表的下标对汉字进行编号，可用list.index()获取对应汉字的编号，用list[i]获取对应编号i的汉字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pinyin_id = list(pinyin_dict) # 用列表的下标对拼音进行编号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 定义初始概率矩阵pi、转移概率矩阵A和观测概率矩阵B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 与教材上的处理方式不同，采用全1的平滑处理方式，该处理是符合hmmlearn.hmm的要求。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 但是这种处理方式简单，仅适合学生入门，效果有时不好。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pi = np.ones(len(char_id))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 = np.ones((len(char_id), len(char_id)))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 = np.ones((len(char_id), len(pinyin_id)))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 统计3个概率矩阵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###  *******************  ###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### 编写代码完成3个概率矩阵的统计工作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 对统计得到的3个概率矩阵归一化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###  *******************  ###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### 编写代码完成3个概率矩阵归一化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from hmmlearn import hmm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 = hmm.CategoricalHM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(n_components=len(char_id))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###  *******************  ###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### 编写代码导入3个概率矩阵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test = 'duan yu wen ni shi qiao feng hai shi xiao feng' # 因为是用《天龙八部》作为语料库，该句预测较好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#test = 'rong er shi she diao ying xiong chuan li de ren wu' # 该句预测较差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test = test.split()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test_data = []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 i in range(len(test)):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test_data.append(pinyin_id.index(test[i]))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test_data = np.array(test_data).reshape(-1, 1)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test_out = model.predict(test_data)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test_out_sentence = ""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 id in test_out: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test_out_sentence += char_id[id]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print(test_out_sentence)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宋体" w:hAnsi="宋体"/>
                <w:color w:val="000000" w:themeColor="text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onospace" w:hAnsi="monospace" w:cs="monospace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&gt;&gt;&gt;</w:t>
            </w: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段誉问你是乔峰还是萧峰</w:t>
            </w:r>
          </w:p>
        </w:tc>
      </w:tr>
    </w:tbl>
    <w:p>
      <w:pPr>
        <w:spacing w:line="360" w:lineRule="auto"/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60" w:lineRule="auto"/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五、实验考核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编制的程序的正确运行（70%）+实验报告(30%)</w:t>
      </w:r>
      <w:r>
        <w:rPr>
          <w:rFonts w:hint="eastAsia"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spacing w:before="0" w:after="0" w:line="360" w:lineRule="auto"/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六、实验报告</w:t>
      </w:r>
    </w:p>
    <w:p>
      <w:pPr>
        <w:spacing w:line="360" w:lineRule="auto"/>
        <w:ind w:firstLine="420" w:firstLineChars="200"/>
        <w:rPr>
          <w:rFonts w:ascii="宋体" w:hAnsi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实验结束后，撰写实验报告，实验报告【实验内容和原理】部分根据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授课相关内容和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实验指导书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相关内容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填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写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；【操作方法和实验步骤】部分应包括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关键部分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源代码及功能注释。【实验结果与分析】部分写清楚个人是如何分析实验内容将其转换为源代码</w:t>
      </w:r>
      <w:r>
        <w:rPr>
          <w:rFonts w:hint="eastAsia"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得到了什么样的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运行结果，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运行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结果的含义是什么。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4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</w:rPr>
        <w:t>https://hmmlearn.readthedocs.io/en/latest/tutorial.html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E71AA1"/>
    <w:multiLevelType w:val="singleLevel"/>
    <w:tmpl w:val="2EE71A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iY2QwZWIyYjJkZTY4YTI5MmQwNDY0NDhmODQ1Y2IifQ=="/>
  </w:docVars>
  <w:rsids>
    <w:rsidRoot w:val="2BEC1D24"/>
    <w:rsid w:val="1A445924"/>
    <w:rsid w:val="2BEC1D24"/>
    <w:rsid w:val="41A0173B"/>
    <w:rsid w:val="624125B1"/>
    <w:rsid w:val="78B64B97"/>
    <w:rsid w:val="7C05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otnote reference"/>
    <w:basedOn w:val="8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2024-05-23T08:11:00Z</dcterms:created>
  <dc:creator>宋莹莹</dc:creator>
  <cp:lastModifiedBy>宋莹莹</cp:lastModifiedBy>
  <dcterms:modified xsi:type="dcterms:W3CDTF">2024-05-23T09:36:03Z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7E21BFFBC90A4A31815E689484E16E2A_13</vt:lpwstr>
  </property>
</Properties>
</file>