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310A4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3D425E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DCC4A"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93C3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3B7600" w:rsidRDefault="00B211C9" w:rsidP="00B211C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33F6FA32" wp14:editId="24E924AF">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w:t>
      </w:r>
      <w:proofErr w:type="gramStart"/>
      <w:r>
        <w:rPr>
          <w:rFonts w:asciiTheme="majorHAnsi" w:hAnsiTheme="majorHAnsi" w:cstheme="majorHAnsi"/>
          <w:bCs/>
          <w:sz w:val="24"/>
          <w:szCs w:val="24"/>
          <w:lang w:val="en-US" w:bidi="hi-IN"/>
        </w:rPr>
        <w:t>Profile”&lt;</w:t>
      </w:r>
      <w:proofErr w:type="gramEnd"/>
      <w:r>
        <w:rPr>
          <w:rFonts w:asciiTheme="majorHAnsi" w:hAnsiTheme="majorHAnsi" w:cstheme="majorHAnsi"/>
          <w:bCs/>
          <w:sz w:val="24"/>
          <w:szCs w:val="24"/>
          <w:lang w:val="en-US" w:bidi="hi-IN"/>
        </w:rPr>
        <w:t xml:space="preserv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noProof/>
          <w:lang w:bidi="hi-IN"/>
        </w:rPr>
        <w:drawing>
          <wp:inline distT="0" distB="0" distL="0" distR="0" wp14:anchorId="78349738" wp14:editId="149A455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8"/>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w:t>
      </w:r>
      <w:r>
        <w:rPr>
          <w:rFonts w:asciiTheme="majorHAnsi" w:hAnsiTheme="majorHAnsi" w:cstheme="majorHAnsi"/>
          <w:bCs/>
          <w:sz w:val="24"/>
          <w:szCs w:val="24"/>
          <w:lang w:val="en-US" w:bidi="hi-IN"/>
        </w:rPr>
        <w:t xml:space="preserve">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 xml:space="preserve">5.4  Adding </w:t>
      </w:r>
      <w:r>
        <w:rPr>
          <w:rFonts w:asciiTheme="majorHAnsi" w:hAnsiTheme="majorHAnsi" w:cstheme="majorHAnsi"/>
          <w:szCs w:val="28"/>
          <w:lang w:bidi="hi-IN"/>
        </w:rPr>
        <w:t xml:space="preserve">images </w:t>
      </w:r>
      <w:bookmarkStart w:id="0" w:name="_GoBack"/>
      <w:bookmarkEnd w:id="0"/>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9"/>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5.6 Launch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sz w:val="24"/>
          <w:szCs w:val="24"/>
          <w:lang w:bidi="hi-IN"/>
        </w:rPr>
        <w:t xml:space="preserve"> </w:t>
      </w:r>
    </w:p>
    <w:p w:rsidR="00B211C9" w:rsidRPr="003B7600" w:rsidRDefault="00B211C9" w:rsidP="00B211C9">
      <w:pPr>
        <w:rPr>
          <w:rFonts w:asciiTheme="majorHAnsi" w:hAnsiTheme="majorHAnsi" w:cstheme="majorHAnsi"/>
          <w:b w:val="0"/>
          <w:sz w:val="24"/>
          <w:szCs w:val="24"/>
          <w:lang w:bidi="hi-IN"/>
        </w:rPr>
      </w:pP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2D2DF919" wp14:editId="57BA0B26">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0"/>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5.7 Reload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rsidR="00B211C9" w:rsidRPr="003B7600" w:rsidRDefault="00B211C9" w:rsidP="00B211C9">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6.0 Simulator App</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174A8D32" wp14:editId="22176938">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1"/>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2"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3"/>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4"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5"/>
  </w:num>
  <w:num w:numId="5">
    <w:abstractNumId w:val="1"/>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o6wUGzJ6Pw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A31A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