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B3A6B"/>
          <w:sz w:val="40"/>
          <w:szCs w:val="40"/>
        </w:rPr>
        <w:t xml:space="preserve">PROJECTIONS MRR — TIMELINE 6 MOIS</w:t>
      </w:r>
    </w:p>
    <w:p>
      <w:pPr>
        <w:spacing w:after="40" w:before="0"/>
        <w:jc w:val="center"/>
      </w:pPr>
      <w:r>
        <w:rPr>
          <w:rFonts w:ascii="Arial" w:cs="Arial" w:eastAsia="Arial" w:hAnsi="Arial"/>
          <w:i/>
          <w:iCs/>
          <w:color w:val="555555"/>
          <w:sz w:val="22"/>
          <w:szCs w:val="22"/>
        </w:rPr>
        <w:t xml:space="preserve">Plateforme SaaS Immobilier B2B avec IA  ·  Mars 2026 – Août 2026</w:t>
      </w:r>
    </w:p>
    <w:p>
      <w:pPr>
        <w:spacing w:after="280" w:before="0"/>
        <w:jc w:val="center"/>
      </w:pPr>
      <w:r>
        <w:rPr>
          <w:rFonts w:ascii="Arial" w:cs="Arial" w:eastAsia="Arial" w:hAnsi="Arial"/>
          <w:b/>
          <w:bCs/>
          <w:color w:val="CC0000"/>
          <w:sz w:val="18"/>
          <w:szCs w:val="18"/>
        </w:rPr>
        <w:t xml:space="preserve">Document d'estimation — À faire vérifier par un expert comptable</w:t>
      </w:r>
    </w:p>
    <w:p>
      <w:pPr>
        <w:pStyle w:val="Heading1"/>
        <w:spacing w:after="160" w:before="320"/>
      </w:pPr>
      <w:r>
        <w:rPr>
          <w:rFonts w:ascii="Arial" w:cs="Arial" w:eastAsia="Arial" w:hAnsi="Arial"/>
          <w:b/>
          <w:bCs/>
          <w:color w:val="1B3A6B"/>
          <w:sz w:val="28"/>
          <w:szCs w:val="28"/>
        </w:rPr>
        <w:t xml:space="preserve">1. Résumé exécutif</w:t>
      </w:r>
    </w:p>
    <w:p>
      <w:pPr>
        <w:spacing w:after="160" w:before="80"/>
      </w:pPr>
      <w:r>
        <w:rPr>
          <w:rFonts w:ascii="Arial" w:cs="Arial" w:eastAsia="Arial" w:hAnsi="Arial"/>
          <w:b w:val="false"/>
          <w:bCs w:val="false"/>
          <w:i w:val="false"/>
          <w:iCs w:val="false"/>
          <w:color w:val="000000"/>
          <w:sz w:val="20"/>
          <w:szCs w:val="20"/>
        </w:rPr>
        <w:t xml:space="preserve">Ce document projette les revenus récurrents mensuels (MRR) sur les 6 premiers mois de commercialisation de la plateforme Look4Immo.pro, un portail SaaS B2B d'annonces immobilières professionnelles augmenté par l'IA (comparable à BureauxLocaux.com). Les projections sont établies sur la base de la stratégie de communication définie, du budget publicitaire disponible et des benchmarks sectoriels.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Scénario réaliste M6</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Break-even estimé</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Nb. agences payantes (M6)</w:t>
            </w:r>
          </w:p>
        </w:tc>
        <w:tc>
          <w:tcPr>
            <w:tcW w:type="dxa" w:w="23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Prix moyen abonnement</w:t>
            </w:r>
          </w:p>
        </w:tc>
      </w:tr>
      <w:tr>
        <w:tc>
          <w:tcPr>
            <w:tcW w:type="dxa" w:w="234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30"/>
                <w:szCs w:val="30"/>
              </w:rPr>
              <w:t xml:space="preserve">18 500 €/mois</w:t>
            </w:r>
          </w:p>
        </w:tc>
        <w:tc>
          <w:tcPr>
            <w:tcW w:type="dxa" w:w="23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30"/>
                <w:szCs w:val="30"/>
              </w:rPr>
              <w:t xml:space="preserve">Mois 4 – 5</w:t>
            </w:r>
          </w:p>
        </w:tc>
        <w:tc>
          <w:tcPr>
            <w:tcW w:type="dxa" w:w="23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30"/>
                <w:szCs w:val="30"/>
              </w:rPr>
              <w:t xml:space="preserve">65 – 110</w:t>
            </w:r>
          </w:p>
        </w:tc>
        <w:tc>
          <w:tcPr>
            <w:tcW w:type="dxa" w:w="23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30"/>
                <w:szCs w:val="30"/>
              </w:rPr>
              <w:t xml:space="preserve">199 – 399 €</w:t>
            </w:r>
          </w:p>
        </w:tc>
      </w:tr>
    </w:tbl>
    <w:p>
      <w:pPr>
        <w:spacing w:after="80" w:before="80"/>
      </w:pPr>
      <w:r>
        <w:t xml:space="preserve"/>
      </w:r>
    </w:p>
    <w:p>
      <w:pPr>
        <w:pStyle w:val="Heading1"/>
        <w:spacing w:after="160" w:before="320"/>
      </w:pPr>
      <w:r>
        <w:rPr>
          <w:rFonts w:ascii="Arial" w:cs="Arial" w:eastAsia="Arial" w:hAnsi="Arial"/>
          <w:b/>
          <w:bCs/>
          <w:color w:val="1B3A6B"/>
          <w:sz w:val="28"/>
          <w:szCs w:val="28"/>
        </w:rPr>
        <w:t xml:space="preserve">2. Hypothèses de base</w:t>
      </w:r>
    </w:p>
    <w:p>
      <w:pPr>
        <w:spacing w:after="160" w:before="80"/>
      </w:pPr>
      <w:r>
        <w:rPr>
          <w:rFonts w:ascii="Arial" w:cs="Arial" w:eastAsia="Arial" w:hAnsi="Arial"/>
          <w:b w:val="false"/>
          <w:bCs w:val="false"/>
          <w:i w:val="false"/>
          <w:iCs w:val="false"/>
          <w:color w:val="000000"/>
          <w:sz w:val="20"/>
          <w:szCs w:val="20"/>
        </w:rPr>
        <w:t xml:space="preserve">Les projections reposent sur les hypothèses suivantes, issues de la stratégie de communication et du rapport de marché. Ces chiffres sont des estimations et doivent être ajustés au fil de l'exécution.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Paramètre</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 retenue</w:t>
            </w:r>
          </w:p>
        </w:tc>
        <w:tc>
          <w:tcPr>
            <w:tcW w:type="dxa" w:w="2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Commentaire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Abonnement Standard agence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199 €/mois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Offre d'entrée payante</w:t>
            </w:r>
          </w:p>
        </w:tc>
      </w:tr>
      <w:t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Abonnement Premium agence</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399 €/mois</w:t>
            </w:r>
          </w:p>
        </w:tc>
        <w:tc>
          <w:tcPr>
            <w:tcW w:type="dxa" w:w="2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Offre avec visibilité renforcée</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Mix moyen payant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~240 €/mois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70 % Standard / 30 % Premium</w:t>
            </w:r>
          </w:p>
        </w:tc>
      </w:tr>
      <w:t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Maintenance client n°1 (Mith)</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1 500 €/mois</w:t>
            </w:r>
          </w:p>
        </w:tc>
        <w:tc>
          <w:tcPr>
            <w:tcW w:type="dxa" w:w="2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Dès livraison V1 (~M2)</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Budget publicité (ads)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500 → 2 000 €/mois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Progression sur 6 mois</w:t>
            </w:r>
          </w:p>
        </w:tc>
      </w:tr>
      <w:t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Agences contactées / semaine</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50 à 80</w:t>
            </w:r>
          </w:p>
        </w:tc>
        <w:tc>
          <w:tcPr>
            <w:tcW w:type="dxa" w:w="2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Cold outreach LinkedIn + email</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Taux réponse outreach B2B</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8 – 15 %</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Benchmark secteur immo</w:t>
            </w:r>
          </w:p>
        </w:tc>
      </w:tr>
      <w:t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Taux conversion freemium → payant</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20 – 30 %</w:t>
            </w:r>
          </w:p>
        </w:tc>
        <w:tc>
          <w:tcPr>
            <w:tcW w:type="dxa" w:w="2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Après 30 jours d'essai</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Ads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Démarrage M4</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Quand stock &gt;500 annonces</w:t>
            </w:r>
          </w:p>
        </w:tc>
      </w:tr>
      <w:t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Partenariat Ubiflow</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Live à M3</w:t>
            </w:r>
          </w:p>
        </w:tc>
        <w:tc>
          <w:tcPr>
            <w:tcW w:type="dxa" w:w="2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20"/>
                <w:szCs w:val="20"/>
              </w:rPr>
              <w:t xml:space="preserve">Flux automatique d'annonces</w:t>
            </w:r>
          </w:p>
        </w:tc>
      </w:tr>
    </w:tbl>
    <w:p>
      <w:pPr>
        <w:spacing w:after="80" w:before="80"/>
      </w:pPr>
      <w:r>
        <w:t xml:space="preserve"/>
      </w:r>
    </w:p>
    <w:p>
      <w:r>
        <w:br w:type="page"/>
      </w:r>
    </w:p>
    <w:p>
      <w:pPr>
        <w:pStyle w:val="Heading1"/>
        <w:spacing w:after="160" w:before="320"/>
      </w:pPr>
      <w:r>
        <w:rPr>
          <w:rFonts w:ascii="Arial" w:cs="Arial" w:eastAsia="Arial" w:hAnsi="Arial"/>
          <w:b/>
          <w:bCs/>
          <w:color w:val="1B3A6B"/>
          <w:sz w:val="28"/>
          <w:szCs w:val="28"/>
        </w:rPr>
        <w:t xml:space="preserve">3. Timeline opérationnelle — Mois par mois</w:t>
      </w:r>
    </w:p>
    <w:p>
      <w:pPr>
        <w:spacing w:after="160" w:before="80"/>
      </w:pPr>
      <w:r>
        <w:rPr>
          <w:rFonts w:ascii="Arial" w:cs="Arial" w:eastAsia="Arial" w:hAnsi="Arial"/>
          <w:b w:val="false"/>
          <w:bCs w:val="false"/>
          <w:i w:val="false"/>
          <w:iCs w:val="false"/>
          <w:color w:val="000000"/>
          <w:sz w:val="20"/>
          <w:szCs w:val="20"/>
        </w:rPr>
        <w:t xml:space="preserve">Vue synthétique des actions clés sur chaque mois, des leviers activés, et de la croissance attendue en nombre d'agences inscrites et payantes.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280"/>
        <w:gridCol w:w="1200"/>
        <w:gridCol w:w="1200"/>
        <w:gridCol w:w="1200"/>
        <w:gridCol w:w="1200"/>
        <w:gridCol w:w="1200"/>
        <w:gridCol w:w="1040"/>
      </w:tblGrid>
      <w:tr>
        <w:tc>
          <w:tcPr>
            <w:tcW w:type="dxa" w:w="10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w:r>
          </w:p>
        </w:tc>
        <w:tc>
          <w:tcPr>
            <w:tcW w:type="dxa" w:w="12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M1
Mars</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M2
Avril</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M3
Mai</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M4
Juin</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M5
Juillet</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M6
Août</w:t>
            </w:r>
          </w:p>
        </w:tc>
        <w:tc>
          <w:tcPr>
            <w:tcW w:type="dxa" w:w="104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Impact</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Dev &amp; livraison</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V1 en cours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Livraison V1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V1 live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V1.5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V2 prep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V2 beta</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bg: BLUE_PALE</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Cold outreach</w:t>
            </w:r>
          </w:p>
        </w:tc>
        <w:tc>
          <w:tcPr>
            <w:tcW w:type="dxa" w:w="12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50/sem</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60/sem</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70/sem</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80/sem</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80/sem</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80/sem</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 Régulier</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Ubiflow</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Négociation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Intégration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Live 🟢</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Optimisation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Scale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Scale</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Flux auto</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Google Ads</w:t>
            </w:r>
          </w:p>
        </w:tc>
        <w:tc>
          <w:tcPr>
            <w:tcW w:type="dxa" w:w="12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Launch 🟢</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300 €</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600 €</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Trafic B2C</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SEO / Contenu</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Setup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art/sem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art/sem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art/sem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Premiers résultats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Croissance</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Long terme</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Agences inscrites (cumulées)</w:t>
            </w:r>
          </w:p>
        </w:tc>
        <w:tc>
          <w:tcPr>
            <w:tcW w:type="dxa" w:w="12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5 – 15</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20 – 40</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50 – 90</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90 – 150</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150 – 220</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220 – 320</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Communauté</w:t>
            </w:r>
          </w:p>
        </w:tc>
      </w:tr>
      <w:tr>
        <w:tc>
          <w:tcPr>
            <w:tcW w:type="dxa" w:w="104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Agences payantes (cumulées)</w:t>
            </w:r>
          </w:p>
        </w:tc>
        <w:tc>
          <w:tcPr>
            <w:tcW w:type="dxa" w:w="1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 – 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 – 15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15 – 30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28 – 50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45 – 75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65 – 110</w:t>
            </w:r>
          </w:p>
        </w:tc>
        <w:tc>
          <w:tcPr>
            <w:tcW w:type="dxa" w:w="104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6"/>
                <w:szCs w:val="16"/>
              </w:rPr>
              <w:t xml:space="preserve">MRR récurrent</w:t>
            </w:r>
          </w:p>
        </w:tc>
      </w:tr>
    </w:tbl>
    <w:p>
      <w:pPr>
        <w:spacing w:after="80" w:before="80"/>
      </w:pPr>
      <w:r>
        <w:t xml:space="preserve"/>
      </w:r>
    </w:p>
    <w:p>
      <w:pPr>
        <w:pStyle w:val="Heading1"/>
        <w:spacing w:after="160" w:before="320"/>
      </w:pPr>
      <w:r>
        <w:rPr>
          <w:rFonts w:ascii="Arial" w:cs="Arial" w:eastAsia="Arial" w:hAnsi="Arial"/>
          <w:b/>
          <w:bCs/>
          <w:color w:val="1B3A6B"/>
          <w:sz w:val="28"/>
          <w:szCs w:val="28"/>
        </w:rPr>
        <w:t xml:space="preserve">4. Projections MRR — 3 scénarios</w:t>
      </w:r>
    </w:p>
    <w:p>
      <w:pPr>
        <w:spacing w:after="160" w:before="80"/>
      </w:pPr>
      <w:r>
        <w:rPr>
          <w:rFonts w:ascii="Arial" w:cs="Arial" w:eastAsia="Arial" w:hAnsi="Arial"/>
          <w:b w:val="false"/>
          <w:bCs w:val="false"/>
          <w:i w:val="false"/>
          <w:iCs w:val="false"/>
          <w:color w:val="000000"/>
          <w:sz w:val="20"/>
          <w:szCs w:val="20"/>
        </w:rPr>
        <w:t xml:space="preserve">Trois scénarios sont proposés : pessimiste (faible traction), réaliste (hypothèses centrales), optimiste (surperformance du cold outreach + Ubiflow). Le MRR inclut la maintenance du client n°1 (livraison M2 ~1 500 €/mois) + abonnements SaaS agences.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Scénario</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M1 – Mars</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M2 – Avr.</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M3 – Mai</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M4 – Juin</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M5 – Juil.</w:t>
            </w:r>
          </w:p>
        </w:tc>
        <w:tc>
          <w:tcPr>
            <w:tcW w:type="dxa" w:w="13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M6 – Août</w:t>
            </w:r>
          </w:p>
        </w:tc>
      </w:tr>
      <w:tr>
        <w:tc>
          <w:tcPr>
            <w:tcW w:type="dxa" w:w="9360"/>
            <w:gridSpan w:val="7"/>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444444"/>
                <w:sz w:val="18"/>
                <w:szCs w:val="18"/>
              </w:rPr>
              <w:t xml:space="preserve">Inclut : maintenance client + abonnements SaaS agences</w:t>
            </w:r>
          </w:p>
        </w:tc>
      </w:tr>
      <w:tr>
        <w:tc>
          <w:tcPr>
            <w:tcW w:type="dxa" w:w="15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19"/>
                <w:szCs w:val="19"/>
              </w:rPr>
              <w:t xml:space="preserve">🔴 Pessimiste</w:t>
            </w:r>
          </w:p>
        </w:tc>
        <w:tc>
          <w:tcPr>
            <w:tcW w:type="dxa" w:w="13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500 €</w:t>
            </w:r>
          </w:p>
        </w:tc>
        <w:tc>
          <w:tcPr>
            <w:tcW w:type="dxa" w:w="13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1 700 €</w:t>
            </w:r>
          </w:p>
        </w:tc>
        <w:tc>
          <w:tcPr>
            <w:tcW w:type="dxa" w:w="13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3 200 €</w:t>
            </w:r>
          </w:p>
        </w:tc>
        <w:tc>
          <w:tcPr>
            <w:tcW w:type="dxa" w:w="13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4 800 €</w:t>
            </w:r>
          </w:p>
        </w:tc>
        <w:tc>
          <w:tcPr>
            <w:tcW w:type="dxa" w:w="13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6 500 €</w:t>
            </w:r>
          </w:p>
        </w:tc>
        <w:tc>
          <w:tcPr>
            <w:tcW w:type="dxa" w:w="13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8 500 €</w:t>
            </w:r>
          </w:p>
        </w:tc>
      </w:tr>
      <w:tr>
        <w:tc>
          <w:tcPr>
            <w:tcW w:type="dxa" w:w="15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7F6000"/>
                <w:sz w:val="19"/>
                <w:szCs w:val="19"/>
              </w:rPr>
              <w:t xml:space="preserve">🟡 Réaliste</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1 200 €</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3 500 €</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6 000 €</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9 500 €</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13 500 €</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18 500 €</w:t>
            </w:r>
          </w:p>
        </w:tc>
      </w:tr>
      <w:tr>
        <w:tc>
          <w:tcPr>
            <w:tcW w:type="dxa" w:w="15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9"/>
                <w:szCs w:val="19"/>
              </w:rPr>
              <w:t xml:space="preserve">🟢 Optimiste</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2 000 €</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5 500 €</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9 500 €</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15 000 €</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22 000 €</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30 000 €</w:t>
            </w:r>
          </w:p>
        </w:tc>
      </w:tr>
      <w:tr>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20"/>
                <w:szCs w:val="20"/>
              </w:rPr>
              <w:t xml:space="preserve">📍 Break-even estimé</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20"/>
                <w:szCs w:val="20"/>
              </w:rPr>
              <w:t xml:space="preserve">Possible M4</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Réaliste M5</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Confirmé M6</w:t>
            </w:r>
          </w:p>
        </w:tc>
      </w:tr>
    </w:tbl>
    <w:p>
      <w:pPr>
        <w:spacing w:after="80" w:before="80"/>
      </w:pPr>
      <w:r>
        <w:t xml:space="preserve"/>
      </w:r>
    </w:p>
    <w:p>
      <w:pPr>
        <w:pStyle w:val="Heading1"/>
        <w:spacing w:after="160" w:before="320"/>
      </w:pPr>
      <w:r>
        <w:rPr>
          <w:rFonts w:ascii="Arial" w:cs="Arial" w:eastAsia="Arial" w:hAnsi="Arial"/>
          <w:b/>
          <w:bCs/>
          <w:color w:val="1B3A6B"/>
          <w:sz w:val="28"/>
          <w:szCs w:val="28"/>
        </w:rPr>
        <w:t xml:space="preserve">5. Analyse du break-even</w:t>
      </w:r>
    </w:p>
    <w:p>
      <w:pPr>
        <w:spacing w:after="160" w:before="80"/>
      </w:pPr>
      <w:r>
        <w:rPr>
          <w:rFonts w:ascii="Arial" w:cs="Arial" w:eastAsia="Arial" w:hAnsi="Arial"/>
          <w:b w:val="false"/>
          <w:bCs w:val="false"/>
          <w:i w:val="false"/>
          <w:iCs w:val="false"/>
          <w:color w:val="000000"/>
          <w:sz w:val="20"/>
          <w:szCs w:val="20"/>
        </w:rPr>
        <w:t xml:space="preserve">Le seuil de rentabilité est atteint lorsque le MRR couvre l'ensemble des coûts fixes et variables mensuels. Voici la décomposition des coûts et le nombre d'abonnés requis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Poste de coût mensuel</w:t>
            </w:r>
          </w:p>
        </w:tc>
        <w:tc>
          <w:tcPr>
            <w:tcW w:type="dxa" w:w="2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Fourchette basse</w:t>
            </w:r>
          </w:p>
        </w:tc>
        <w:tc>
          <w:tcPr>
            <w:tcW w:type="dxa" w:w="2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Fourchette haute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 / maintenance (Mith + infra)</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3 000 €</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5 000 €</w:t>
            </w:r>
          </w:p>
        </w:tc>
      </w:tr>
      <w:tr>
        <w:tc>
          <w:tcPr>
            <w:tcW w:type="dxa" w:w="4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Marketing (ads + outils)</w:t>
            </w:r>
          </w:p>
        </w:tc>
        <w:tc>
          <w:tcPr>
            <w:tcW w:type="dxa" w:w="2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1 500 €</w:t>
            </w:r>
          </w:p>
        </w:tc>
        <w:tc>
          <w:tcPr>
            <w:tcW w:type="dxa" w:w="2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3 500 €</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Outils SaaS (Apollo, Lemlist, Semrush…)</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400 €</w:t>
            </w:r>
          </w:p>
        </w:tc>
        <w:tc>
          <w:tcPr>
            <w:tcW w:type="dxa" w:w="2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800 €</w:t>
            </w:r>
          </w:p>
        </w:tc>
      </w:tr>
      <w:tr>
        <w:tc>
          <w:tcPr>
            <w:tcW w:type="dxa" w:w="4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Divers (domaines, hébergement, misc)</w:t>
            </w:r>
          </w:p>
        </w:tc>
        <w:tc>
          <w:tcPr>
            <w:tcW w:type="dxa" w:w="2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200 €</w:t>
            </w:r>
          </w:p>
        </w:tc>
        <w:tc>
          <w:tcPr>
            <w:tcW w:type="dxa" w:w="2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500 €</w:t>
            </w:r>
          </w:p>
        </w:tc>
      </w:tr>
      <w:tr>
        <w:tc>
          <w:tcPr>
            <w:tcW w:type="dxa" w:w="4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coûts mensuels</w:t>
            </w:r>
          </w:p>
        </w:tc>
        <w:tc>
          <w:tcPr>
            <w:tcW w:type="dxa" w:w="2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5 100 €</w:t>
            </w:r>
          </w:p>
        </w:tc>
        <w:tc>
          <w:tcPr>
            <w:tcW w:type="dxa" w:w="2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9 800 €</w:t>
            </w:r>
          </w:p>
        </w:tc>
      </w:tr>
      <w:tr>
        <w:tc>
          <w:tcPr>
            <w:tcW w:type="dxa" w:w="4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Nb. d'agences payantes pour BE (à 240 € moy.)</w:t>
            </w:r>
          </w:p>
        </w:tc>
        <w:tc>
          <w:tcPr>
            <w:tcW w:type="dxa" w:w="2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~22 agences</w:t>
            </w:r>
          </w:p>
        </w:tc>
        <w:tc>
          <w:tcPr>
            <w:tcW w:type="dxa" w:w="2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~41 agences</w:t>
            </w:r>
          </w:p>
        </w:tc>
      </w:tr>
    </w:tbl>
    <w:p>
      <w:pPr>
        <w:spacing w:after="80" w:before="80"/>
      </w:pPr>
      <w:r>
        <w:t xml:space="preserve"/>
      </w:r>
    </w:p>
    <w:p>
      <w:pPr>
        <w:spacing w:after="160" w:before="80"/>
      </w:pPr>
      <w:r>
        <w:rPr>
          <w:rFonts w:ascii="Arial" w:cs="Arial" w:eastAsia="Arial" w:hAnsi="Arial"/>
          <w:b/>
          <w:bCs/>
          <w:i w:val="false"/>
          <w:iCs w:val="false"/>
          <w:color w:val="1B3A6B"/>
          <w:sz w:val="20"/>
          <w:szCs w:val="20"/>
        </w:rPr>
        <w:t xml:space="preserve">→ Avec le scénario réaliste, Look4Immo.pro atteint le break-even entre M4 et M5, avec 28 à 50 agences payantes actives.</w:t>
      </w:r>
    </w:p>
    <w:p>
      <w:pPr>
        <w:spacing w:after="80" w:before="80"/>
      </w:pPr>
      <w:r>
        <w:t xml:space="preserve"/>
      </w:r>
    </w:p>
    <w:p>
      <w:r>
        <w:br w:type="page"/>
      </w:r>
    </w:p>
    <w:p>
      <w:pPr>
        <w:pStyle w:val="Heading1"/>
        <w:spacing w:after="160" w:before="320"/>
      </w:pPr>
      <w:r>
        <w:rPr>
          <w:rFonts w:ascii="Arial" w:cs="Arial" w:eastAsia="Arial" w:hAnsi="Arial"/>
          <w:b/>
          <w:bCs/>
          <w:color w:val="1B3A6B"/>
          <w:sz w:val="28"/>
          <w:szCs w:val="28"/>
        </w:rPr>
        <w:t xml:space="preserve">6. Leviers de croissance &amp; plan d'activation</w:t>
      </w:r>
    </w:p>
    <w:p>
      <w:pPr>
        <w:spacing w:after="160" w:before="80"/>
      </w:pPr>
      <w:r>
        <w:rPr>
          <w:rFonts w:ascii="Arial" w:cs="Arial" w:eastAsia="Arial" w:hAnsi="Arial"/>
          <w:b w:val="false"/>
          <w:bCs w:val="false"/>
          <w:i w:val="false"/>
          <w:iCs w:val="false"/>
          <w:color w:val="000000"/>
          <w:sz w:val="20"/>
          <w:szCs w:val="20"/>
        </w:rPr>
        <w:t xml:space="preserve">Quatre canaux prioritaires ont été identifiés. Le cold outreach est à activer immédiatement (ROI le plus rapide). Google Ads attend la disponibilité d'un stock d'annonces suffisant (&gt;500 biens via Ubiflow).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Canal</w:t>
            </w:r>
          </w:p>
        </w:tc>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Coût mensuel</w:t>
            </w:r>
          </w:p>
        </w:tc>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Délai d'effet</w:t>
            </w:r>
          </w:p>
        </w:tc>
        <w:tc>
          <w:tcPr>
            <w:tcW w:type="dxa" w:w="2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 MRR estimé</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Cold outreach LinkedIn + email</w:t>
            </w:r>
          </w:p>
        </w:tc>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 – 400 €
(outils)</w:t>
            </w:r>
          </w:p>
        </w:tc>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Immédiat (M1)</w:t>
            </w:r>
          </w:p>
        </w:tc>
        <w:tc>
          <w:tcPr>
            <w:tcW w:type="dxa" w:w="276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+500 à 1 500 €/mois dès M2</w:t>
            </w:r>
          </w:p>
        </w:tc>
      </w:tr>
      <w:tr>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Partenariat Ubiflow</w:t>
            </w:r>
          </w:p>
        </w:tc>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Quasi nul
(2j dev)</w:t>
            </w:r>
          </w:p>
        </w:tc>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M3 (contenu auto)</w:t>
            </w:r>
          </w:p>
        </w:tc>
        <w:tc>
          <w:tcPr>
            <w:tcW w:type="dxa" w:w="27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x2 sur SEO + crédibilité</w:t>
            </w:r>
          </w:p>
        </w:tc>
      </w:tr>
      <w:tr>
        <w:tc>
          <w:tcPr>
            <w:tcW w:type="dxa" w:w="18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Google Ads</w:t>
            </w:r>
          </w:p>
        </w:tc>
        <w:tc>
          <w:tcPr>
            <w:tcW w:type="dxa" w:w="2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500 – 2 000 €</w:t>
            </w:r>
          </w:p>
        </w:tc>
        <w:tc>
          <w:tcPr>
            <w:tcW w:type="dxa" w:w="2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M4 (stock annonces requis)</w:t>
            </w:r>
          </w:p>
        </w:tc>
        <w:tc>
          <w:tcPr>
            <w:tcW w:type="dxa" w:w="27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+1 000 à 3 000 € leads/mois</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SEO &amp; Contenu</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400 – 800 €
(rédacteur)</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M5 – M6 (long terme)</w:t>
            </w:r>
          </w:p>
        </w:tc>
        <w:tc>
          <w:tcPr>
            <w:tcW w:type="dxa" w:w="2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+2 000 à 5 000 €/mois à M9+</w:t>
            </w:r>
          </w:p>
        </w:tc>
      </w:tr>
      <w:tr>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Référencement agences
(réseau Mith + client n°1)</w:t>
            </w:r>
          </w:p>
        </w:tc>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0 €</w:t>
            </w:r>
          </w:p>
        </w:tc>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Immédiat</w:t>
            </w:r>
          </w:p>
        </w:tc>
        <w:tc>
          <w:tcPr>
            <w:tcW w:type="dxa" w:w="27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à 5 agences/mois via réseau</w:t>
            </w:r>
          </w:p>
        </w:tc>
      </w:tr>
    </w:tbl>
    <w:p>
      <w:pPr>
        <w:spacing w:after="80" w:before="80"/>
      </w:pPr>
      <w:r>
        <w:t xml:space="preserve"/>
      </w:r>
    </w:p>
    <w:p>
      <w:pPr>
        <w:pStyle w:val="Heading1"/>
        <w:spacing w:after="160" w:before="320"/>
      </w:pPr>
      <w:r>
        <w:rPr>
          <w:rFonts w:ascii="Arial" w:cs="Arial" w:eastAsia="Arial" w:hAnsi="Arial"/>
          <w:b/>
          <w:bCs/>
          <w:color w:val="1B3A6B"/>
          <w:sz w:val="28"/>
          <w:szCs w:val="28"/>
        </w:rPr>
        <w:t xml:space="preserve">7. Risques &amp; facteurs de correction</w:t>
      </w:r>
    </w:p>
    <w:p>
      <w:pPr>
        <w:spacing w:after="160" w:before="80"/>
      </w:pPr>
      <w:r>
        <w:rPr>
          <w:rFonts w:ascii="Arial" w:cs="Arial" w:eastAsia="Arial" w:hAnsi="Arial"/>
          <w:b w:val="false"/>
          <w:bCs w:val="false"/>
          <w:i w:val="false"/>
          <w:iCs w:val="false"/>
          <w:color w:val="000000"/>
          <w:sz w:val="20"/>
          <w:szCs w:val="20"/>
        </w:rPr>
        <w:t xml:space="preserve">Ce document est une estimation. Les principaux facteurs pouvant dégrader les projections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Risque</w:t>
            </w:r>
          </w:p>
        </w:tc>
        <w:tc>
          <w:tcPr>
            <w:tcW w:type="dxa" w:w="2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Probabilité</w:t>
            </w:r>
          </w:p>
        </w:tc>
        <w:tc>
          <w:tcPr>
            <w:tcW w:type="dxa" w:w="3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32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Délai de livraison V1 (Mith)</w:t>
            </w:r>
          </w:p>
        </w:tc>
        <w:tc>
          <w:tcPr>
            <w:tcW w:type="dxa" w:w="28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Moyenne</w:t>
            </w:r>
          </w:p>
        </w:tc>
        <w:tc>
          <w:tcPr>
            <w:tcW w:type="dxa" w:w="33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Contrat avec jalons + pénalités</w:t>
            </w:r>
          </w:p>
        </w:tc>
      </w:tr>
      <w:tr>
        <w:tc>
          <w:tcPr>
            <w:tcW w:type="dxa" w:w="32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Faible taux de conversion freemium → payant</w:t>
            </w:r>
          </w:p>
        </w:tc>
        <w:tc>
          <w:tcPr>
            <w:tcW w:type="dxa" w:w="28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Moyenne</w:t>
            </w:r>
          </w:p>
        </w:tc>
        <w:tc>
          <w:tcPr>
            <w:tcW w:type="dxa" w:w="336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Onboarding personnalisé, trial 30j</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Concurrence SeLoger Pro / BureauxLocaux</w:t>
            </w:r>
          </w:p>
        </w:tc>
        <w:tc>
          <w:tcPr>
            <w:tcW w:type="dxa" w:w="2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Faible à court terme</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Niche IA conversationnelle différenciante</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Dépassement budget marketing</w:t>
            </w:r>
          </w:p>
        </w:tc>
        <w:tc>
          <w:tcPr>
            <w:tcW w:type="dxa" w:w="2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Faible</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 mensuel fixé, reporting hebdo</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Refus partenariat Ubiflow</w:t>
            </w:r>
          </w:p>
        </w:tc>
        <w:tc>
          <w:tcPr>
            <w:tcW w:type="dxa" w:w="28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Faible</w:t>
            </w:r>
          </w:p>
        </w:tc>
        <w:tc>
          <w:tcPr>
            <w:tcW w:type="dxa" w:w="33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Alternatives : Netty, Apimo, Bien'ici Pro</w:t>
            </w:r>
          </w:p>
        </w:tc>
      </w:tr>
    </w:tbl>
    <w:p>
      <w:pPr>
        <w:spacing w:after="80" w:before="80"/>
      </w:pPr>
      <w:r>
        <w:t xml:space="preserve"/>
      </w:r>
    </w:p>
    <w:p>
      <w:pPr>
        <w:pBdr>
          <w:top w:val="single" w:color="CCCCCC" w:sz="4" w:space="4"/>
        </w:pBdr>
        <w:spacing w:after="120" w:before="320"/>
      </w:pPr>
      <w:r>
        <w:rPr>
          <w:rFonts w:ascii="Arial" w:cs="Arial" w:eastAsia="Arial" w:hAnsi="Arial"/>
          <w:i/>
          <w:iCs/>
          <w:color w:val="888888"/>
          <w:sz w:val="17"/>
          <w:szCs w:val="17"/>
        </w:rPr>
        <w:t xml:space="preserve">⚠  Avertissement : ce document est une estimation prospective basée sur des hypothèses de marché. Les résultats réels peuvent différer significativement. Ces projections ne constituent pas une garantie de performance et doivent être validées par un expert-comptable avant toute décision d'investissement.</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pPr>
    <w:r>
      <w:rPr>
        <w:rFonts w:ascii="Arial" w:cs="Arial" w:eastAsia="Arial" w:hAnsi="Arial"/>
        <w:i/>
        <w:iCs/>
        <w:color w:val="999999"/>
        <w:sz w:val="16"/>
        <w:szCs w:val="16"/>
      </w:rPr>
      <w:t xml:space="preserve">Document confidentiel — À usage interne</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0"/>
    </w:pPr>
    <w:r>
      <w:rPr>
        <w:rFonts w:ascii="Arial" w:cs="Arial" w:eastAsia="Arial" w:hAnsi="Arial"/>
        <w:b/>
        <w:bCs/>
        <w:color w:val="1B3A6B"/>
        <w:sz w:val="18"/>
        <w:szCs w:val="18"/>
      </w:rPr>
      <w:t xml:space="preserve">Look4Immo.pro — Projections MRR &amp; Timeline 6 Mois</w:t>
    </w:r>
    <w:r>
      <w:rPr>
        <w:rFonts w:ascii="Arial" w:cs="Arial" w:eastAsia="Arial" w:hAnsi="Arial"/>
        <w:color w:val="777777"/>
        <w:sz w:val="18"/>
        <w:szCs w:val="18"/>
      </w:rPr>
      <w:t xml:space="preserve">   |   Mars – Août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28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2026-03-06T20:38:17.461Z</dcterms:created>
  <dcterms:modified xsi:type="dcterms:W3CDTF">2026-03-06T20:38:17.461Z</dcterms:modified>
</cp:coreProperties>
</file>

<file path=docProps/custom.xml><?xml version="1.0" encoding="utf-8"?>
<Properties xmlns="http://schemas.openxmlformats.org/officeDocument/2006/custom-properties" xmlns:vt="http://schemas.openxmlformats.org/officeDocument/2006/docPropsVTypes"/>
</file>